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20"/>
                <w:szCs w:val="20"/>
                <w:color w:val="auto"/>
              </w:rPr>
            </w:pPr>
            <w:r>
              <w:rPr>
                <w:rFonts w:ascii="Arial" w:cs="Arial" w:eastAsia="Arial" w:hAnsi="Arial"/>
                <w:sz w:val="14"/>
                <w:szCs w:val="14"/>
                <w:b w:val="1"/>
                <w:bCs w:val="1"/>
                <w:color w:val="auto"/>
              </w:rPr>
              <w:t>Term sheet</w:t>
            </w:r>
          </w:p>
        </w:tc>
        <w:tc>
          <w:tcPr>
            <w:tcW w:w="5220" w:type="dxa"/>
            <w:vAlign w:val="bottom"/>
          </w:tcPr>
          <w:p>
            <w:pPr>
              <w:jc w:val="right"/>
              <w:spacing w:after="0"/>
              <w:rPr>
                <w:sz w:val="20"/>
                <w:szCs w:val="20"/>
                <w:color w:val="auto"/>
              </w:rPr>
            </w:pPr>
            <w:r>
              <w:rPr>
                <w:rFonts w:ascii="Arial" w:cs="Arial" w:eastAsia="Arial" w:hAnsi="Arial"/>
                <w:sz w:val="14"/>
                <w:szCs w:val="14"/>
                <w:b w:val="1"/>
                <w:bCs w:val="1"/>
                <w:color w:val="auto"/>
              </w:rPr>
              <w:t>Term sheet to</w:t>
            </w: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i w:val="1"/>
                <w:iCs w:val="1"/>
                <w:color w:val="auto"/>
              </w:rPr>
              <w:t>To prospectus dated November 14, 2011,</w:t>
            </w:r>
          </w:p>
        </w:tc>
        <w:tc>
          <w:tcPr>
            <w:tcW w:w="5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Product Supplement no. 4-I</w:t>
            </w: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i w:val="1"/>
                <w:iCs w:val="1"/>
                <w:color w:val="auto"/>
              </w:rPr>
              <w:t>prospectus supplement dated November 14, 2011,</w:t>
            </w:r>
          </w:p>
        </w:tc>
        <w:tc>
          <w:tcPr>
            <w:tcW w:w="5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Registration Statement No. 333-177923</w:t>
            </w:r>
          </w:p>
        </w:tc>
      </w:tr>
      <w:tr>
        <w:trPr>
          <w:trHeight w:val="151"/>
        </w:trPr>
        <w:tc>
          <w:tcPr>
            <w:tcW w:w="6200" w:type="dxa"/>
            <w:vAlign w:val="bottom"/>
          </w:tcPr>
          <w:p>
            <w:pPr>
              <w:spacing w:after="0" w:line="151" w:lineRule="exact"/>
              <w:rPr>
                <w:sz w:val="20"/>
                <w:szCs w:val="20"/>
                <w:color w:val="auto"/>
              </w:rPr>
            </w:pPr>
            <w:r>
              <w:rPr>
                <w:rFonts w:ascii="Arial" w:cs="Arial" w:eastAsia="Arial" w:hAnsi="Arial"/>
                <w:sz w:val="14"/>
                <w:szCs w:val="14"/>
                <w:i w:val="1"/>
                <w:iCs w:val="1"/>
                <w:color w:val="auto"/>
              </w:rPr>
              <w:t>product supplement no. 4-I dated November 14, 2011 and</w:t>
            </w:r>
          </w:p>
        </w:tc>
        <w:tc>
          <w:tcPr>
            <w:tcW w:w="522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Dated February 6, 2012; Rule 433</w:t>
            </w:r>
          </w:p>
        </w:tc>
      </w:tr>
      <w:tr>
        <w:trPr>
          <w:trHeight w:val="176"/>
        </w:trPr>
        <w:tc>
          <w:tcPr>
            <w:tcW w:w="6200" w:type="dxa"/>
            <w:vAlign w:val="bottom"/>
          </w:tcPr>
          <w:p>
            <w:pPr>
              <w:spacing w:after="0"/>
              <w:rPr>
                <w:sz w:val="20"/>
                <w:szCs w:val="20"/>
                <w:color w:val="auto"/>
              </w:rPr>
            </w:pPr>
            <w:r>
              <w:rPr>
                <w:rFonts w:ascii="Arial" w:cs="Arial" w:eastAsia="Arial" w:hAnsi="Arial"/>
                <w:sz w:val="14"/>
                <w:szCs w:val="14"/>
                <w:i w:val="1"/>
                <w:iCs w:val="1"/>
                <w:color w:val="auto"/>
              </w:rPr>
              <w:t>underlying supplement no. 1-I dated November 14, 2011</w:t>
            </w:r>
          </w:p>
        </w:tc>
        <w:tc>
          <w:tcPr>
            <w:tcW w:w="52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96735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67355" cy="180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2340"/>
        <w:spacing w:after="0"/>
        <w:rPr>
          <w:sz w:val="20"/>
          <w:szCs w:val="20"/>
          <w:color w:val="auto"/>
        </w:rPr>
      </w:pPr>
      <w:r>
        <w:rPr>
          <w:rFonts w:ascii="Arial" w:cs="Arial" w:eastAsia="Arial" w:hAnsi="Arial"/>
          <w:sz w:val="22"/>
          <w:szCs w:val="22"/>
          <w:b w:val="1"/>
          <w:bCs w:val="1"/>
          <w:color w:val="64807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34620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6200" cy="420370"/>
                    </a:xfrm>
                    <a:prstGeom prst="rect">
                      <a:avLst/>
                    </a:prstGeom>
                    <a:noFill/>
                  </pic:spPr>
                </pic:pic>
              </a:graphicData>
            </a:graphic>
          </wp:anchor>
        </w:drawing>
      </w:r>
    </w:p>
    <w:p>
      <w:pPr>
        <w:spacing w:after="0" w:line="51" w:lineRule="exact"/>
        <w:rPr>
          <w:sz w:val="24"/>
          <w:szCs w:val="24"/>
          <w:color w:val="auto"/>
        </w:rPr>
      </w:pPr>
    </w:p>
    <w:p>
      <w:pPr>
        <w:ind w:left="2340"/>
        <w:spacing w:after="0"/>
        <w:rPr>
          <w:sz w:val="20"/>
          <w:szCs w:val="20"/>
          <w:color w:val="auto"/>
        </w:rPr>
      </w:pPr>
      <w:r>
        <w:rPr>
          <w:rFonts w:ascii="Arial" w:cs="Arial" w:eastAsia="Arial" w:hAnsi="Arial"/>
          <w:sz w:val="22"/>
          <w:szCs w:val="22"/>
          <w:b w:val="1"/>
          <w:bCs w:val="1"/>
          <w:color w:val="648079"/>
        </w:rPr>
        <w:t>Buffered Return Enhanced Notes Linked to the S&amp;P 500</w:t>
      </w:r>
      <w:r>
        <w:rPr>
          <w:rFonts w:ascii="Arial" w:cs="Arial" w:eastAsia="Arial" w:hAnsi="Arial"/>
          <w:sz w:val="29"/>
          <w:szCs w:val="29"/>
          <w:b w:val="1"/>
          <w:bCs w:val="1"/>
          <w:color w:val="648079"/>
          <w:vertAlign w:val="superscript"/>
        </w:rPr>
        <w:t>®</w:t>
      </w:r>
      <w:r>
        <w:rPr>
          <w:rFonts w:ascii="Arial" w:cs="Arial" w:eastAsia="Arial" w:hAnsi="Arial"/>
          <w:sz w:val="22"/>
          <w:szCs w:val="22"/>
          <w:b w:val="1"/>
          <w:bCs w:val="1"/>
          <w:color w:val="648079"/>
        </w:rPr>
        <w:t xml:space="preserve"> Index due February 13, 2014</w:t>
      </w:r>
    </w:p>
    <w:p>
      <w:pPr>
        <w:spacing w:after="0" w:line="237" w:lineRule="auto"/>
        <w:rPr>
          <w:sz w:val="20"/>
          <w:szCs w:val="20"/>
          <w:color w:val="auto"/>
        </w:rPr>
      </w:pPr>
      <w:r>
        <w:rPr>
          <w:rFonts w:ascii="Arial" w:cs="Arial" w:eastAsia="Arial" w:hAnsi="Arial"/>
          <w:sz w:val="18"/>
          <w:szCs w:val="18"/>
          <w:b w:val="1"/>
          <w:bCs w:val="1"/>
          <w:color w:val="648079"/>
        </w:rPr>
        <w:t>General</w:t>
      </w:r>
    </w:p>
    <w:p>
      <w:pPr>
        <w:spacing w:after="0" w:line="1" w:lineRule="exact"/>
        <w:rPr>
          <w:sz w:val="24"/>
          <w:szCs w:val="24"/>
          <w:color w:val="auto"/>
        </w:rPr>
      </w:pPr>
    </w:p>
    <w:p>
      <w:pPr>
        <w:ind w:left="1120" w:right="200" w:hanging="446"/>
        <w:spacing w:after="0" w:line="200" w:lineRule="auto"/>
        <w:rPr>
          <w:sz w:val="24"/>
          <w:szCs w:val="24"/>
          <w:color w:val="auto"/>
        </w:rPr>
      </w:pPr>
      <w:r>
        <w:rPr>
          <w:rFonts w:ascii="Arial" w:cs="Arial" w:eastAsia="Arial" w:hAnsi="Arial"/>
          <w:sz w:val="14"/>
          <w:szCs w:val="14"/>
          <w:color w:val="auto"/>
        </w:rPr>
        <w:t>—The notes are designed for investors who seek a return of two times the appreciation of the S&amp;P 500</w:t>
      </w:r>
      <w:r>
        <w:rPr>
          <w:rFonts w:ascii="Arial" w:cs="Arial" w:eastAsia="Arial" w:hAnsi="Arial"/>
          <w:sz w:val="22"/>
          <w:szCs w:val="22"/>
          <w:color w:val="auto"/>
          <w:vertAlign w:val="superscript"/>
        </w:rPr>
        <w:t>®</w:t>
      </w:r>
      <w:r>
        <w:rPr>
          <w:rFonts w:ascii="Arial" w:cs="Arial" w:eastAsia="Arial" w:hAnsi="Arial"/>
          <w:sz w:val="14"/>
          <w:szCs w:val="14"/>
          <w:color w:val="auto"/>
        </w:rPr>
        <w:t xml:space="preserve"> Index, up to a maximum return that will not be less than 21.00% or greater than 22.00% at maturity. Investors should be willing to forgo interest and dividend payments and, if the Ending Index Level is less than the Initial Index Level by more than 10%, be willing to lose up to 90% of their principal. </w:t>
      </w:r>
      <w:r>
        <w:rPr>
          <w:rFonts w:ascii="Arial" w:cs="Arial" w:eastAsia="Arial" w:hAnsi="Arial"/>
          <w:sz w:val="14"/>
          <w:szCs w:val="14"/>
          <w:b w:val="1"/>
          <w:bCs w:val="1"/>
          <w:color w:val="auto"/>
        </w:rPr>
        <w:t>Any payment on the notes is subject to the credit risk of JPMorgan Chase &amp; Co.</w:t>
      </w:r>
    </w:p>
    <w:p>
      <w:pPr>
        <w:ind w:left="680"/>
        <w:spacing w:after="0"/>
        <w:rPr>
          <w:sz w:val="24"/>
          <w:szCs w:val="24"/>
          <w:color w:val="auto"/>
        </w:rPr>
      </w:pPr>
      <w:r>
        <w:rPr>
          <w:rFonts w:ascii="Arial" w:cs="Arial" w:eastAsia="Arial" w:hAnsi="Arial"/>
          <w:sz w:val="14"/>
          <w:szCs w:val="14"/>
          <w:color w:val="auto"/>
        </w:rPr>
        <w:t>—</w:t>
      </w:r>
      <w:r>
        <w:rPr>
          <w:rFonts w:ascii="Arial" w:cs="Arial" w:eastAsia="Arial" w:hAnsi="Arial"/>
          <w:sz w:val="12"/>
          <w:szCs w:val="12"/>
          <w:color w:val="auto"/>
        </w:rPr>
        <w:t>Senior unsecured obligations of JPMorgan Chase &amp; Co. maturing December February 13, 2014*</w:t>
      </w:r>
    </w:p>
    <w:p>
      <w:pPr>
        <w:ind w:left="680"/>
        <w:spacing w:after="0"/>
        <w:rPr>
          <w:sz w:val="24"/>
          <w:szCs w:val="24"/>
          <w:color w:val="auto"/>
        </w:rPr>
      </w:pPr>
      <w:r>
        <w:rPr>
          <w:rFonts w:ascii="Arial" w:cs="Arial" w:eastAsia="Arial" w:hAnsi="Arial"/>
          <w:sz w:val="14"/>
          <w:szCs w:val="14"/>
          <w:color w:val="auto"/>
        </w:rPr>
        <w:t>—</w:t>
      </w:r>
      <w:r>
        <w:rPr>
          <w:rFonts w:ascii="Arial" w:cs="Arial" w:eastAsia="Arial" w:hAnsi="Arial"/>
          <w:sz w:val="12"/>
          <w:szCs w:val="12"/>
          <w:color w:val="auto"/>
        </w:rPr>
        <w:t>Minimum denominations of $1,000 and integral multiples thereof</w:t>
      </w:r>
    </w:p>
    <w:p>
      <w:pPr>
        <w:ind w:left="680"/>
        <w:spacing w:after="0"/>
        <w:rPr>
          <w:sz w:val="24"/>
          <w:szCs w:val="24"/>
          <w:color w:val="auto"/>
        </w:rPr>
      </w:pPr>
      <w:r>
        <w:rPr>
          <w:rFonts w:ascii="Arial" w:cs="Arial" w:eastAsia="Arial" w:hAnsi="Arial"/>
          <w:sz w:val="14"/>
          <w:szCs w:val="14"/>
          <w:color w:val="auto"/>
        </w:rPr>
        <w:t>—</w:t>
      </w:r>
      <w:r>
        <w:rPr>
          <w:rFonts w:ascii="Arial" w:cs="Arial" w:eastAsia="Arial" w:hAnsi="Arial"/>
          <w:sz w:val="12"/>
          <w:szCs w:val="12"/>
          <w:color w:val="auto"/>
        </w:rPr>
        <w:t>The notes are expected to price on or about February 8, 2012 and are expected to settle on or about February 13, 2012.</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b w:val="1"/>
          <w:bCs w:val="1"/>
          <w:color w:val="648079"/>
        </w:rPr>
        <w:t>Key Terms</w:t>
      </w:r>
    </w:p>
    <w:tbl>
      <w:tblPr>
        <w:tblLayout w:type="fixed"/>
        <w:tblInd w:w="0" w:type="dxa"/>
        <w:tblCellMar>
          <w:top w:w="0" w:type="dxa"/>
          <w:left w:w="0" w:type="dxa"/>
          <w:bottom w:w="0" w:type="dxa"/>
          <w:right w:w="0" w:type="dxa"/>
        </w:tblCellMar>
      </w:tblP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Index:</w:t>
            </w:r>
          </w:p>
        </w:tc>
        <w:tc>
          <w:tcPr>
            <w:tcW w:w="9220" w:type="dxa"/>
            <w:vAlign w:val="bottom"/>
            <w:gridSpan w:val="3"/>
          </w:tcPr>
          <w:p>
            <w:pPr>
              <w:ind w:left="620"/>
              <w:spacing w:after="0" w:line="183" w:lineRule="exact"/>
              <w:rPr>
                <w:sz w:val="20"/>
                <w:szCs w:val="20"/>
                <w:color w:val="auto"/>
              </w:rPr>
            </w:pPr>
            <w:r>
              <w:rPr>
                <w:rFonts w:ascii="Arial" w:cs="Arial" w:eastAsia="Arial" w:hAnsi="Arial"/>
                <w:sz w:val="13"/>
                <w:szCs w:val="13"/>
                <w:color w:val="auto"/>
              </w:rPr>
              <w:t>The S&amp;P 500</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Index (“SPX”) (the “Index”)</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Upside Leverage Factor:</w:t>
            </w:r>
          </w:p>
        </w:tc>
        <w:tc>
          <w:tcPr>
            <w:tcW w:w="2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w:t>
            </w:r>
          </w:p>
        </w:tc>
        <w:tc>
          <w:tcPr>
            <w:tcW w:w="6240" w:type="dxa"/>
            <w:vAlign w:val="bottom"/>
          </w:tcPr>
          <w:p>
            <w:pPr>
              <w:spacing w:after="0"/>
              <w:rPr>
                <w:sz w:val="12"/>
                <w:szCs w:val="12"/>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Payment at Maturity:</w:t>
            </w:r>
          </w:p>
        </w:tc>
        <w:tc>
          <w:tcPr>
            <w:tcW w:w="922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8"/>
              </w:rPr>
              <w:t>If the Ending Index Level is greater than the Initial Index Level, at maturity you will receive a cash payment that provides you with a return per</w:t>
            </w:r>
          </w:p>
        </w:tc>
      </w:tr>
      <w:tr>
        <w:trPr>
          <w:trHeight w:val="149"/>
        </w:trPr>
        <w:tc>
          <w:tcPr>
            <w:tcW w:w="2120" w:type="dxa"/>
            <w:vAlign w:val="bottom"/>
          </w:tcPr>
          <w:p>
            <w:pPr>
              <w:spacing w:after="0"/>
              <w:rPr>
                <w:sz w:val="12"/>
                <w:szCs w:val="12"/>
                <w:color w:val="auto"/>
              </w:rPr>
            </w:pPr>
          </w:p>
        </w:tc>
        <w:tc>
          <w:tcPr>
            <w:tcW w:w="922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6"/>
              </w:rPr>
              <w:t>$1,000 principal amount note equal to the Index Return multiplied by two, subject to the Maximum Return. Accordingly, if the Ending Index Level</w:t>
            </w:r>
          </w:p>
        </w:tc>
      </w:tr>
      <w:tr>
        <w:trPr>
          <w:trHeight w:val="162"/>
        </w:trPr>
        <w:tc>
          <w:tcPr>
            <w:tcW w:w="2120" w:type="dxa"/>
            <w:vAlign w:val="bottom"/>
          </w:tcPr>
          <w:p>
            <w:pPr>
              <w:spacing w:after="0"/>
              <w:rPr>
                <w:sz w:val="14"/>
                <w:szCs w:val="14"/>
                <w:color w:val="auto"/>
              </w:rPr>
            </w:pPr>
          </w:p>
        </w:tc>
        <w:tc>
          <w:tcPr>
            <w:tcW w:w="9220" w:type="dxa"/>
            <w:vAlign w:val="bottom"/>
            <w:gridSpan w:val="3"/>
          </w:tcPr>
          <w:p>
            <w:pPr>
              <w:ind w:left="620"/>
              <w:spacing w:after="0"/>
              <w:rPr>
                <w:sz w:val="20"/>
                <w:szCs w:val="20"/>
                <w:color w:val="auto"/>
              </w:rPr>
            </w:pPr>
            <w:r>
              <w:rPr>
                <w:rFonts w:ascii="Arial" w:cs="Arial" w:eastAsia="Arial" w:hAnsi="Arial"/>
                <w:sz w:val="14"/>
                <w:szCs w:val="14"/>
                <w:color w:val="auto"/>
              </w:rPr>
              <w:t>is greater than the Initial Index Level, your payment at maturity per $1,000 principal amount note will be calculated as follows:</w:t>
            </w:r>
          </w:p>
        </w:tc>
      </w:tr>
      <w:tr>
        <w:trPr>
          <w:trHeight w:val="216"/>
        </w:trPr>
        <w:tc>
          <w:tcPr>
            <w:tcW w:w="2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gridSpan w:val="2"/>
          </w:tcPr>
          <w:p>
            <w:pPr>
              <w:jc w:val="center"/>
              <w:ind w:left="12"/>
              <w:spacing w:after="0"/>
              <w:rPr>
                <w:sz w:val="20"/>
                <w:szCs w:val="20"/>
                <w:color w:val="auto"/>
              </w:rPr>
            </w:pPr>
            <w:r>
              <w:rPr>
                <w:rFonts w:ascii="Arial" w:cs="Arial" w:eastAsia="Arial" w:hAnsi="Arial"/>
                <w:sz w:val="14"/>
                <w:szCs w:val="14"/>
                <w:color w:val="auto"/>
                <w:w w:val="96"/>
              </w:rPr>
              <w:t>$1,000 + [$1,000 × (Index Return × 2)], subject to the Maximum Return</w:t>
            </w:r>
          </w:p>
        </w:tc>
      </w:tr>
      <w:tr>
        <w:trPr>
          <w:trHeight w:val="202"/>
        </w:trPr>
        <w:tc>
          <w:tcPr>
            <w:tcW w:w="2120" w:type="dxa"/>
            <w:vAlign w:val="bottom"/>
          </w:tcPr>
          <w:p>
            <w:pPr>
              <w:spacing w:after="0"/>
              <w:rPr>
                <w:sz w:val="17"/>
                <w:szCs w:val="17"/>
                <w:color w:val="auto"/>
              </w:rPr>
            </w:pPr>
          </w:p>
        </w:tc>
        <w:tc>
          <w:tcPr>
            <w:tcW w:w="9220" w:type="dxa"/>
            <w:vAlign w:val="bottom"/>
            <w:gridSpan w:val="3"/>
          </w:tcPr>
          <w:p>
            <w:pPr>
              <w:ind w:left="620"/>
              <w:spacing w:after="0"/>
              <w:rPr>
                <w:sz w:val="20"/>
                <w:szCs w:val="20"/>
                <w:color w:val="auto"/>
              </w:rPr>
            </w:pPr>
            <w:r>
              <w:rPr>
                <w:rFonts w:ascii="Arial" w:cs="Arial" w:eastAsia="Arial" w:hAnsi="Arial"/>
                <w:sz w:val="14"/>
                <w:szCs w:val="14"/>
                <w:color w:val="auto"/>
              </w:rPr>
              <w:t>If the Ending Index Level is equal to or less than the Initial Index Level by up to 10%, you will receive the principal amount of your notes at</w:t>
            </w:r>
          </w:p>
        </w:tc>
      </w:tr>
      <w:tr>
        <w:trPr>
          <w:trHeight w:val="162"/>
        </w:trPr>
        <w:tc>
          <w:tcPr>
            <w:tcW w:w="2120" w:type="dxa"/>
            <w:vAlign w:val="bottom"/>
          </w:tcPr>
          <w:p>
            <w:pPr>
              <w:spacing w:after="0"/>
              <w:rPr>
                <w:sz w:val="14"/>
                <w:szCs w:val="14"/>
                <w:color w:val="auto"/>
              </w:rPr>
            </w:pPr>
          </w:p>
        </w:tc>
        <w:tc>
          <w:tcPr>
            <w:tcW w:w="9220" w:type="dxa"/>
            <w:vAlign w:val="bottom"/>
            <w:gridSpan w:val="3"/>
          </w:tcPr>
          <w:p>
            <w:pPr>
              <w:ind w:left="620"/>
              <w:spacing w:after="0"/>
              <w:rPr>
                <w:sz w:val="20"/>
                <w:szCs w:val="20"/>
                <w:color w:val="auto"/>
              </w:rPr>
            </w:pPr>
            <w:r>
              <w:rPr>
                <w:rFonts w:ascii="Arial" w:cs="Arial" w:eastAsia="Arial" w:hAnsi="Arial"/>
                <w:sz w:val="14"/>
                <w:szCs w:val="14"/>
                <w:color w:val="auto"/>
              </w:rPr>
              <w:t>maturity.</w:t>
            </w:r>
          </w:p>
        </w:tc>
      </w:tr>
      <w:tr>
        <w:trPr>
          <w:trHeight w:val="202"/>
        </w:trPr>
        <w:tc>
          <w:tcPr>
            <w:tcW w:w="2120" w:type="dxa"/>
            <w:vAlign w:val="bottom"/>
          </w:tcPr>
          <w:p>
            <w:pPr>
              <w:spacing w:after="0"/>
              <w:rPr>
                <w:sz w:val="17"/>
                <w:szCs w:val="17"/>
                <w:color w:val="auto"/>
              </w:rPr>
            </w:pPr>
          </w:p>
        </w:tc>
        <w:tc>
          <w:tcPr>
            <w:tcW w:w="9220" w:type="dxa"/>
            <w:vAlign w:val="bottom"/>
            <w:gridSpan w:val="3"/>
          </w:tcPr>
          <w:p>
            <w:pPr>
              <w:ind w:left="620"/>
              <w:spacing w:after="0"/>
              <w:rPr>
                <w:sz w:val="20"/>
                <w:szCs w:val="20"/>
                <w:color w:val="auto"/>
              </w:rPr>
            </w:pPr>
            <w:r>
              <w:rPr>
                <w:rFonts w:ascii="Arial" w:cs="Arial" w:eastAsia="Arial" w:hAnsi="Arial"/>
                <w:sz w:val="14"/>
                <w:szCs w:val="14"/>
                <w:color w:val="auto"/>
                <w:w w:val="97"/>
              </w:rPr>
              <w:t>If the Ending Index Level is less than the Initial Index Level by more than 10%, you will lose 1% of the principal amount of your notes for every</w:t>
            </w:r>
          </w:p>
        </w:tc>
      </w:tr>
      <w:tr>
        <w:trPr>
          <w:trHeight w:val="149"/>
        </w:trPr>
        <w:tc>
          <w:tcPr>
            <w:tcW w:w="2120" w:type="dxa"/>
            <w:vAlign w:val="bottom"/>
          </w:tcPr>
          <w:p>
            <w:pPr>
              <w:spacing w:after="0"/>
              <w:rPr>
                <w:sz w:val="12"/>
                <w:szCs w:val="12"/>
                <w:color w:val="auto"/>
              </w:rPr>
            </w:pPr>
          </w:p>
        </w:tc>
        <w:tc>
          <w:tcPr>
            <w:tcW w:w="922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6"/>
              </w:rPr>
              <w:t>1% that the Ending Index Level is less than the Initial Index Level by more than 10%, and your payment at maturity per $1,000 principal amount</w:t>
            </w:r>
          </w:p>
        </w:tc>
      </w:tr>
      <w:tr>
        <w:trPr>
          <w:trHeight w:val="162"/>
        </w:trPr>
        <w:tc>
          <w:tcPr>
            <w:tcW w:w="2120" w:type="dxa"/>
            <w:vAlign w:val="bottom"/>
          </w:tcPr>
          <w:p>
            <w:pPr>
              <w:spacing w:after="0"/>
              <w:rPr>
                <w:sz w:val="14"/>
                <w:szCs w:val="14"/>
                <w:color w:val="auto"/>
              </w:rPr>
            </w:pPr>
          </w:p>
        </w:tc>
        <w:tc>
          <w:tcPr>
            <w:tcW w:w="9220" w:type="dxa"/>
            <w:vAlign w:val="bottom"/>
            <w:gridSpan w:val="3"/>
          </w:tcPr>
          <w:p>
            <w:pPr>
              <w:ind w:left="620"/>
              <w:spacing w:after="0"/>
              <w:rPr>
                <w:sz w:val="20"/>
                <w:szCs w:val="20"/>
                <w:color w:val="auto"/>
              </w:rPr>
            </w:pPr>
            <w:r>
              <w:rPr>
                <w:rFonts w:ascii="Arial" w:cs="Arial" w:eastAsia="Arial" w:hAnsi="Arial"/>
                <w:sz w:val="14"/>
                <w:szCs w:val="14"/>
                <w:color w:val="auto"/>
              </w:rPr>
              <w:t>note will be calculated as follows:</w:t>
            </w:r>
          </w:p>
        </w:tc>
      </w:tr>
      <w:tr>
        <w:trPr>
          <w:trHeight w:val="216"/>
        </w:trPr>
        <w:tc>
          <w:tcPr>
            <w:tcW w:w="2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240" w:type="dxa"/>
            <w:vAlign w:val="bottom"/>
          </w:tcPr>
          <w:p>
            <w:pPr>
              <w:jc w:val="center"/>
              <w:ind w:right="2192"/>
              <w:spacing w:after="0"/>
              <w:rPr>
                <w:sz w:val="20"/>
                <w:szCs w:val="20"/>
                <w:color w:val="auto"/>
              </w:rPr>
            </w:pPr>
            <w:r>
              <w:rPr>
                <w:rFonts w:ascii="Arial" w:cs="Arial" w:eastAsia="Arial" w:hAnsi="Arial"/>
                <w:sz w:val="14"/>
                <w:szCs w:val="14"/>
                <w:color w:val="auto"/>
                <w:w w:val="96"/>
              </w:rPr>
              <w:t>$1,000 + [$1,000 × (Index Return + 10%)]</w:t>
            </w:r>
          </w:p>
        </w:tc>
      </w:tr>
      <w:tr>
        <w:trPr>
          <w:trHeight w:val="216"/>
        </w:trPr>
        <w:tc>
          <w:tcPr>
            <w:tcW w:w="2120" w:type="dxa"/>
            <w:vAlign w:val="bottom"/>
          </w:tcPr>
          <w:p>
            <w:pPr>
              <w:spacing w:after="0"/>
              <w:rPr>
                <w:sz w:val="18"/>
                <w:szCs w:val="18"/>
                <w:color w:val="auto"/>
              </w:rPr>
            </w:pPr>
          </w:p>
        </w:tc>
        <w:tc>
          <w:tcPr>
            <w:tcW w:w="9220" w:type="dxa"/>
            <w:vAlign w:val="bottom"/>
            <w:gridSpan w:val="3"/>
          </w:tcPr>
          <w:p>
            <w:pPr>
              <w:ind w:left="620"/>
              <w:spacing w:after="0"/>
              <w:rPr>
                <w:sz w:val="20"/>
                <w:szCs w:val="20"/>
                <w:color w:val="auto"/>
              </w:rPr>
            </w:pPr>
            <w:r>
              <w:rPr>
                <w:rFonts w:ascii="Arial" w:cs="Arial" w:eastAsia="Arial" w:hAnsi="Arial"/>
                <w:sz w:val="14"/>
                <w:szCs w:val="14"/>
                <w:i w:val="1"/>
                <w:iCs w:val="1"/>
                <w:color w:val="auto"/>
                <w:w w:val="99"/>
              </w:rPr>
              <w:t>If the Ending Index Level is less than the Initial Index Level by more than 10%, you could lose up to $900 per $1,000 principal amount note.</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Maximum Return:</w:t>
            </w:r>
          </w:p>
        </w:tc>
        <w:tc>
          <w:tcPr>
            <w:tcW w:w="922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7"/>
              </w:rPr>
              <w:t>Between 21.00% and 22.00%. For example, assuming the Maximum Return is 21.00%, if the Index Return is equal to or greater than 10.50%,</w:t>
            </w:r>
          </w:p>
        </w:tc>
      </w:tr>
      <w:tr>
        <w:trPr>
          <w:trHeight w:val="149"/>
        </w:trPr>
        <w:tc>
          <w:tcPr>
            <w:tcW w:w="2120" w:type="dxa"/>
            <w:vAlign w:val="bottom"/>
          </w:tcPr>
          <w:p>
            <w:pPr>
              <w:spacing w:after="0"/>
              <w:rPr>
                <w:sz w:val="12"/>
                <w:szCs w:val="12"/>
                <w:color w:val="auto"/>
              </w:rPr>
            </w:pPr>
          </w:p>
        </w:tc>
        <w:tc>
          <w:tcPr>
            <w:tcW w:w="922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8"/>
              </w:rPr>
              <w:t>you will receive the Maximum Return of 21.00%, which entitles you to a maximum payment at maturity of $1,210 per $1,000 principal amount</w:t>
            </w:r>
          </w:p>
        </w:tc>
      </w:tr>
      <w:tr>
        <w:trPr>
          <w:trHeight w:val="149"/>
        </w:trPr>
        <w:tc>
          <w:tcPr>
            <w:tcW w:w="2120" w:type="dxa"/>
            <w:vAlign w:val="bottom"/>
          </w:tcPr>
          <w:p>
            <w:pPr>
              <w:spacing w:after="0"/>
              <w:rPr>
                <w:sz w:val="12"/>
                <w:szCs w:val="12"/>
                <w:color w:val="auto"/>
              </w:rPr>
            </w:pPr>
          </w:p>
        </w:tc>
        <w:tc>
          <w:tcPr>
            <w:tcW w:w="922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6"/>
              </w:rPr>
              <w:t>note that you hold. The actual Maximum Return will be determined on the pricing date and will not be less than 21.00% or greater than 22.00%.</w:t>
            </w:r>
          </w:p>
        </w:tc>
      </w:tr>
      <w:tr>
        <w:trPr>
          <w:trHeight w:val="149"/>
        </w:trPr>
        <w:tc>
          <w:tcPr>
            <w:tcW w:w="2120" w:type="dxa"/>
            <w:vAlign w:val="bottom"/>
          </w:tcPr>
          <w:p>
            <w:pPr>
              <w:spacing w:after="0"/>
              <w:rPr>
                <w:sz w:val="12"/>
                <w:szCs w:val="12"/>
                <w:color w:val="auto"/>
              </w:rPr>
            </w:pPr>
          </w:p>
        </w:tc>
        <w:tc>
          <w:tcPr>
            <w:tcW w:w="922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9"/>
              </w:rPr>
              <w:t>Accordingly, the actual maximum payment at maturity per $1,000 principal amount note will not be less than $1,210 or greater than $1,220.</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Buffer Amount:</w:t>
            </w:r>
          </w:p>
        </w:tc>
        <w:tc>
          <w:tcPr>
            <w:tcW w:w="2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10%</w:t>
            </w:r>
          </w:p>
        </w:tc>
        <w:tc>
          <w:tcPr>
            <w:tcW w:w="6240" w:type="dxa"/>
            <w:vAlign w:val="bottom"/>
          </w:tcPr>
          <w:p>
            <w:pPr>
              <w:spacing w:after="0"/>
              <w:rPr>
                <w:sz w:val="12"/>
                <w:szCs w:val="12"/>
                <w:color w:val="auto"/>
              </w:rPr>
            </w:pPr>
          </w:p>
        </w:tc>
      </w:tr>
      <w:tr>
        <w:trPr>
          <w:trHeight w:val="136"/>
        </w:trPr>
        <w:tc>
          <w:tcPr>
            <w:tcW w:w="2120" w:type="dxa"/>
            <w:vAlign w:val="bottom"/>
          </w:tcPr>
          <w:p>
            <w:pPr>
              <w:spacing w:after="0" w:line="136" w:lineRule="exact"/>
              <w:rPr>
                <w:sz w:val="20"/>
                <w:szCs w:val="20"/>
                <w:color w:val="auto"/>
              </w:rPr>
            </w:pPr>
            <w:r>
              <w:rPr>
                <w:rFonts w:ascii="Arial" w:cs="Arial" w:eastAsia="Arial" w:hAnsi="Arial"/>
                <w:sz w:val="14"/>
                <w:szCs w:val="14"/>
                <w:color w:val="auto"/>
              </w:rPr>
              <w:t>Index Return:</w:t>
            </w:r>
          </w:p>
        </w:tc>
        <w:tc>
          <w:tcPr>
            <w:tcW w:w="9220" w:type="dxa"/>
            <w:vAlign w:val="bottom"/>
            <w:gridSpan w:val="3"/>
          </w:tcPr>
          <w:p>
            <w:pPr>
              <w:ind w:left="620"/>
              <w:spacing w:after="0" w:line="136" w:lineRule="exact"/>
              <w:rPr>
                <w:sz w:val="20"/>
                <w:szCs w:val="20"/>
                <w:color w:val="auto"/>
              </w:rPr>
            </w:pPr>
            <w:r>
              <w:rPr>
                <w:rFonts w:ascii="Arial" w:cs="Arial" w:eastAsia="Arial" w:hAnsi="Arial"/>
                <w:sz w:val="14"/>
                <w:szCs w:val="14"/>
                <w:color w:val="auto"/>
              </w:rPr>
              <w:t>Ending Index Level – Initial Index Level</w:t>
            </w:r>
          </w:p>
        </w:tc>
      </w:tr>
      <w:tr>
        <w:trPr>
          <w:trHeight w:val="155"/>
        </w:trPr>
        <w:tc>
          <w:tcPr>
            <w:tcW w:w="2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60" w:type="dxa"/>
            <w:vAlign w:val="bottom"/>
            <w:tcBorders>
              <w:top w:val="single" w:sz="8" w:color="auto"/>
            </w:tcBorders>
          </w:tcPr>
          <w:p>
            <w:pPr>
              <w:ind w:left="620"/>
              <w:spacing w:after="0" w:line="155" w:lineRule="exact"/>
              <w:rPr>
                <w:sz w:val="20"/>
                <w:szCs w:val="20"/>
                <w:color w:val="auto"/>
              </w:rPr>
            </w:pPr>
            <w:r>
              <w:rPr>
                <w:rFonts w:ascii="Arial" w:cs="Arial" w:eastAsia="Arial" w:hAnsi="Arial"/>
                <w:sz w:val="14"/>
                <w:szCs w:val="14"/>
                <w:color w:val="auto"/>
              </w:rPr>
              <w:t>Initial Index Level</w:t>
            </w:r>
          </w:p>
        </w:tc>
        <w:tc>
          <w:tcPr>
            <w:tcW w:w="6240" w:type="dxa"/>
            <w:vAlign w:val="bottom"/>
          </w:tcPr>
          <w:p>
            <w:pPr>
              <w:spacing w:after="0"/>
              <w:rPr>
                <w:sz w:val="13"/>
                <w:szCs w:val="13"/>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Initial Index Level:</w:t>
            </w:r>
          </w:p>
        </w:tc>
        <w:tc>
          <w:tcPr>
            <w:tcW w:w="922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The Index closing level on the pricing date</w:t>
            </w: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Ending Index Level:</w:t>
            </w:r>
          </w:p>
        </w:tc>
        <w:tc>
          <w:tcPr>
            <w:tcW w:w="9220" w:type="dxa"/>
            <w:vAlign w:val="bottom"/>
            <w:gridSpan w:val="3"/>
          </w:tcPr>
          <w:p>
            <w:pPr>
              <w:ind w:left="620"/>
              <w:spacing w:after="0"/>
              <w:rPr>
                <w:sz w:val="20"/>
                <w:szCs w:val="20"/>
                <w:color w:val="auto"/>
              </w:rPr>
            </w:pPr>
            <w:r>
              <w:rPr>
                <w:rFonts w:ascii="Arial" w:cs="Arial" w:eastAsia="Arial" w:hAnsi="Arial"/>
                <w:sz w:val="14"/>
                <w:szCs w:val="14"/>
                <w:color w:val="auto"/>
              </w:rPr>
              <w:t>The Index closing level on the Observation Date</w:t>
            </w:r>
          </w:p>
        </w:tc>
      </w:tr>
      <w:tr>
        <w:trPr>
          <w:trHeight w:val="182"/>
        </w:trPr>
        <w:tc>
          <w:tcPr>
            <w:tcW w:w="2120" w:type="dxa"/>
            <w:vAlign w:val="bottom"/>
          </w:tcPr>
          <w:p>
            <w:pPr>
              <w:spacing w:after="0" w:line="183" w:lineRule="exact"/>
              <w:rPr>
                <w:sz w:val="20"/>
                <w:szCs w:val="20"/>
                <w:color w:val="auto"/>
              </w:rPr>
            </w:pPr>
            <w:r>
              <w:rPr>
                <w:rFonts w:ascii="Arial" w:cs="Arial" w:eastAsia="Arial" w:hAnsi="Arial"/>
                <w:sz w:val="13"/>
                <w:szCs w:val="13"/>
                <w:color w:val="auto"/>
              </w:rPr>
              <w:t>Observation Date</w:t>
            </w:r>
            <w:r>
              <w:rPr>
                <w:rFonts w:ascii="Arial" w:cs="Arial" w:eastAsia="Arial" w:hAnsi="Arial"/>
                <w:sz w:val="21"/>
                <w:szCs w:val="21"/>
                <w:color w:val="auto"/>
                <w:vertAlign w:val="superscript"/>
              </w:rPr>
              <w:t>†</w:t>
            </w:r>
            <w:r>
              <w:rPr>
                <w:rFonts w:ascii="Arial" w:cs="Arial" w:eastAsia="Arial" w:hAnsi="Arial"/>
                <w:sz w:val="13"/>
                <w:szCs w:val="13"/>
                <w:color w:val="auto"/>
              </w:rPr>
              <w:t>:</w:t>
            </w:r>
          </w:p>
        </w:tc>
        <w:tc>
          <w:tcPr>
            <w:tcW w:w="9220" w:type="dxa"/>
            <w:vAlign w:val="bottom"/>
            <w:gridSpan w:val="3"/>
          </w:tcPr>
          <w:p>
            <w:pPr>
              <w:ind w:left="620"/>
              <w:spacing w:after="0"/>
              <w:rPr>
                <w:sz w:val="20"/>
                <w:szCs w:val="20"/>
                <w:color w:val="auto"/>
              </w:rPr>
            </w:pPr>
            <w:r>
              <w:rPr>
                <w:rFonts w:ascii="Arial" w:cs="Arial" w:eastAsia="Arial" w:hAnsi="Arial"/>
                <w:sz w:val="14"/>
                <w:szCs w:val="14"/>
                <w:color w:val="auto"/>
              </w:rPr>
              <w:t>February 10, 2014</w:t>
            </w:r>
          </w:p>
        </w:tc>
      </w:tr>
      <w:tr>
        <w:trPr>
          <w:trHeight w:val="182"/>
        </w:trPr>
        <w:tc>
          <w:tcPr>
            <w:tcW w:w="2120" w:type="dxa"/>
            <w:vAlign w:val="bottom"/>
          </w:tcPr>
          <w:p>
            <w:pPr>
              <w:spacing w:after="0" w:line="183" w:lineRule="exact"/>
              <w:rPr>
                <w:sz w:val="20"/>
                <w:szCs w:val="20"/>
                <w:color w:val="auto"/>
              </w:rPr>
            </w:pPr>
            <w:r>
              <w:rPr>
                <w:rFonts w:ascii="Arial" w:cs="Arial" w:eastAsia="Arial" w:hAnsi="Arial"/>
                <w:sz w:val="13"/>
                <w:szCs w:val="13"/>
                <w:color w:val="auto"/>
              </w:rPr>
              <w:t>Maturity Date</w:t>
            </w:r>
            <w:r>
              <w:rPr>
                <w:rFonts w:ascii="Arial" w:cs="Arial" w:eastAsia="Arial" w:hAnsi="Arial"/>
                <w:sz w:val="21"/>
                <w:szCs w:val="21"/>
                <w:color w:val="auto"/>
                <w:vertAlign w:val="superscript"/>
              </w:rPr>
              <w:t>†</w:t>
            </w:r>
            <w:r>
              <w:rPr>
                <w:rFonts w:ascii="Arial" w:cs="Arial" w:eastAsia="Arial" w:hAnsi="Arial"/>
                <w:sz w:val="13"/>
                <w:szCs w:val="13"/>
                <w:color w:val="auto"/>
              </w:rPr>
              <w:t>:</w:t>
            </w:r>
          </w:p>
        </w:tc>
        <w:tc>
          <w:tcPr>
            <w:tcW w:w="9220" w:type="dxa"/>
            <w:vAlign w:val="bottom"/>
            <w:gridSpan w:val="3"/>
          </w:tcPr>
          <w:p>
            <w:pPr>
              <w:ind w:left="620"/>
              <w:spacing w:after="0"/>
              <w:rPr>
                <w:sz w:val="20"/>
                <w:szCs w:val="20"/>
                <w:color w:val="auto"/>
              </w:rPr>
            </w:pPr>
            <w:r>
              <w:rPr>
                <w:rFonts w:ascii="Arial" w:cs="Arial" w:eastAsia="Arial" w:hAnsi="Arial"/>
                <w:sz w:val="14"/>
                <w:szCs w:val="14"/>
                <w:color w:val="auto"/>
              </w:rPr>
              <w:t>February 13, 2014</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CUSIP:</w:t>
            </w:r>
          </w:p>
        </w:tc>
        <w:tc>
          <w:tcPr>
            <w:tcW w:w="922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48125VMR8</w:t>
            </w:r>
          </w:p>
        </w:tc>
      </w:tr>
    </w:tbl>
    <w:p>
      <w:pPr>
        <w:ind w:left="560" w:right="980" w:hanging="336"/>
        <w:spacing w:after="0" w:line="221" w:lineRule="auto"/>
        <w:tabs>
          <w:tab w:leader="none" w:pos="5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postponement in the event of a market disruption event and as described under “Description of Notes — Payment at Maturity” and “Description of Notes — Postponement of a Determination Date—A. Notes Linked to a Single Component” in the accompanying product supplement no. 4-I</w:t>
      </w:r>
    </w:p>
    <w:p>
      <w:pPr>
        <w:spacing w:after="0" w:line="1" w:lineRule="exact"/>
        <w:rPr>
          <w:sz w:val="24"/>
          <w:szCs w:val="24"/>
          <w:color w:val="auto"/>
        </w:rPr>
      </w:pPr>
    </w:p>
    <w:p>
      <w:pPr>
        <w:ind w:right="260"/>
        <w:spacing w:after="0" w:line="272" w:lineRule="auto"/>
        <w:rPr>
          <w:sz w:val="20"/>
          <w:szCs w:val="20"/>
          <w:color w:val="auto"/>
        </w:rPr>
      </w:pPr>
      <w:r>
        <w:rPr>
          <w:rFonts w:ascii="Arial" w:cs="Arial" w:eastAsia="Arial" w:hAnsi="Arial"/>
          <w:sz w:val="12"/>
          <w:szCs w:val="12"/>
          <w:b w:val="1"/>
          <w:bCs w:val="1"/>
          <w:color w:val="auto"/>
        </w:rPr>
        <w:t xml:space="preserve">Investing in the Buffered Return Enhanced Notes involves a number of risks. See “Risk Factors” beginning on page PS-21 of the accompanying product supplement no. 4-I, “Risk Factors” beginning on page US-1 of the accompanying underlying supplement no. 1-I and “Selected Risk Considerations” beginning on page TS-2 of this term sheet. </w:t>
      </w:r>
      <w:r>
        <w:rPr>
          <w:rFonts w:ascii="Arial" w:cs="Arial" w:eastAsia="Arial" w:hAnsi="Arial"/>
          <w:sz w:val="12"/>
          <w:szCs w:val="12"/>
          <w:color w:val="auto"/>
        </w:rPr>
        <w:t>Neither the Securities and Exchange Commission nor any state securities commission has approved or disapproved of the notes or passed upon the accuracy or the adequacy of this term sheet or the accompanying product supplement, underlying supplement, prospectus supplement and prospectus. Any representation to the contrary is a criminal offense.</w:t>
      </w:r>
    </w:p>
    <w:p>
      <w:pPr>
        <w:sectPr>
          <w:pgSz w:w="11900" w:h="16838" w:orient="portrait"/>
          <w:cols w:equalWidth="0" w:num="1">
            <w:col w:w="11420"/>
          </w:cols>
          <w:pgMar w:left="240" w:top="218" w:right="239" w:bottom="1440" w:gutter="0" w:footer="0" w:header="0"/>
        </w:sectPr>
      </w:pPr>
    </w:p>
    <w:bookmarkStart w:id="1" w:name="page2"/>
    <w:bookmarkEnd w:id="1"/>
    <w:tbl>
      <w:tblPr>
        <w:tblLayout w:type="fixed"/>
        <w:tblInd w:w="2880" w:type="dxa"/>
        <w:tblCellMar>
          <w:top w:w="0" w:type="dxa"/>
          <w:left w:w="0" w:type="dxa"/>
          <w:bottom w:w="0" w:type="dxa"/>
          <w:right w:w="0" w:type="dxa"/>
        </w:tblCellMar>
      </w:tblPr>
      <w:tr>
        <w:trPr>
          <w:trHeight w:val="178"/>
        </w:trPr>
        <w:tc>
          <w:tcPr>
            <w:tcW w:w="2000" w:type="dxa"/>
            <w:vAlign w:val="bottom"/>
          </w:tcPr>
          <w:p>
            <w:pPr>
              <w:spacing w:after="0"/>
              <w:rPr>
                <w:sz w:val="20"/>
                <w:szCs w:val="20"/>
                <w:color w:val="auto"/>
              </w:rPr>
            </w:pPr>
            <w:r>
              <w:rPr>
                <w:rFonts w:ascii="Arial" w:cs="Arial" w:eastAsia="Arial" w:hAnsi="Arial"/>
                <w:sz w:val="14"/>
                <w:szCs w:val="14"/>
                <w:b w:val="1"/>
                <w:bCs w:val="1"/>
                <w:color w:val="auto"/>
              </w:rPr>
              <w:t>Price to Public (1)</w:t>
            </w:r>
          </w:p>
        </w:tc>
        <w:tc>
          <w:tcPr>
            <w:tcW w:w="3180" w:type="dxa"/>
            <w:vAlign w:val="bottom"/>
          </w:tcPr>
          <w:p>
            <w:pPr>
              <w:ind w:left="860"/>
              <w:spacing w:after="0"/>
              <w:rPr>
                <w:sz w:val="20"/>
                <w:szCs w:val="20"/>
                <w:color w:val="auto"/>
              </w:rPr>
            </w:pPr>
            <w:r>
              <w:rPr>
                <w:rFonts w:ascii="Arial" w:cs="Arial" w:eastAsia="Arial" w:hAnsi="Arial"/>
                <w:sz w:val="14"/>
                <w:szCs w:val="14"/>
                <w:b w:val="1"/>
                <w:bCs w:val="1"/>
                <w:color w:val="auto"/>
              </w:rPr>
              <w:t>Fees and Commissions (2)</w:t>
            </w:r>
          </w:p>
        </w:tc>
        <w:tc>
          <w:tcPr>
            <w:tcW w:w="1620" w:type="dxa"/>
            <w:vAlign w:val="bottom"/>
          </w:tcPr>
          <w:p>
            <w:pPr>
              <w:ind w:left="640"/>
              <w:spacing w:after="0"/>
              <w:rPr>
                <w:sz w:val="20"/>
                <w:szCs w:val="20"/>
                <w:color w:val="auto"/>
              </w:rPr>
            </w:pPr>
            <w:r>
              <w:rPr>
                <w:rFonts w:ascii="Arial" w:cs="Arial" w:eastAsia="Arial" w:hAnsi="Arial"/>
                <w:sz w:val="14"/>
                <w:szCs w:val="14"/>
                <w:b w:val="1"/>
                <w:bCs w:val="1"/>
                <w:color w:val="auto"/>
                <w:w w:val="94"/>
              </w:rPr>
              <w:t>Proceeds to Us</w:t>
            </w:r>
          </w:p>
        </w:tc>
      </w:tr>
    </w:tbl>
    <w:p>
      <w:pPr>
        <w:ind w:left="1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54875"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394335"/>
                    </a:xfrm>
                    <a:prstGeom prst="rect">
                      <a:avLst/>
                    </a:prstGeom>
                    <a:noFill/>
                  </pic:spPr>
                </pic:pic>
              </a:graphicData>
            </a:graphic>
          </wp:anchor>
        </w:drawing>
        <w:t>Per note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Total</w:t>
      </w:r>
    </w:p>
    <w:p>
      <w:pPr>
        <w:ind w:left="800" w:hanging="454"/>
        <w:spacing w:after="0" w:line="223"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price to the public includes the estimated cost of hedging our obligations under the notes through one or more of our affiliates.</w:t>
      </w:r>
    </w:p>
    <w:p>
      <w:pPr>
        <w:ind w:left="800" w:hanging="454"/>
        <w:spacing w:after="0" w:line="225"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the notes priced today and assuming a Maximum Return of 21.00%, J.P. Morgan Securities LLC, which we refer to as JPMS, acting as agent for JPMorgan Chase &amp; Co., would receive a commission of approximately $10.00 per $1,000 principal amount note. This commission includes the projected profits that our affiliates expect to realize for assuming risks inherent in hedging our obligations under the notes. The actual commission received by JPMS may be more or less than $10.00 and will depend on market conditions on the pricing date. In no event will the commission received by JPMS exceed $15.00 per $1,000 principal amount note. See “Plan of Distribution (Conflicts of Interest)” beginning on page PS-77 of the accompanying product supplement no. 4-I.</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notes are not bank deposits and are not insured by the Federal Deposit Insurance Corporation or any other governmental agency, nor are they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247650</wp:posOffset>
            </wp:positionV>
            <wp:extent cx="64325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February 6, 2012</w:t>
      </w:r>
    </w:p>
    <w:p>
      <w:pPr>
        <w:sectPr>
          <w:pgSz w:w="11900" w:h="16838" w:orient="portrait"/>
          <w:cols w:equalWidth="0" w:num="1">
            <w:col w:w="11420"/>
          </w:cols>
          <w:pgMar w:left="240" w:top="46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648079"/>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Terms Specific to the Notes</w:t>
      </w:r>
    </w:p>
    <w:p>
      <w:pPr>
        <w:spacing w:after="0" w:line="50"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JPMorgan Chase &amp; Co. has filed a registration statement (including a prospectus) with the Securities and Exchange Commission, or SEC,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website at www.sec.gov. Alternatively, JPMorgan Chase &amp; Co., any agent or any dealer participating in this offering will arrange to send you the prospectus, the prospectus supplement, product supplement no. 4-I, underlying supplement no. 1-I and this term sheet if you so request by calling toll-free 866-535-9248.</w:t>
      </w:r>
    </w:p>
    <w:p>
      <w:pPr>
        <w:spacing w:after="0" w:line="29" w:lineRule="exact"/>
        <w:rPr>
          <w:sz w:val="20"/>
          <w:szCs w:val="20"/>
          <w:color w:val="auto"/>
        </w:rPr>
      </w:pPr>
    </w:p>
    <w:p>
      <w:pPr>
        <w:jc w:val="both"/>
        <w:ind w:right="160"/>
        <w:spacing w:after="0" w:line="244" w:lineRule="auto"/>
        <w:rPr>
          <w:sz w:val="20"/>
          <w:szCs w:val="20"/>
          <w:color w:val="auto"/>
        </w:rPr>
      </w:pPr>
      <w:r>
        <w:rPr>
          <w:rFonts w:ascii="Arial" w:cs="Arial" w:eastAsia="Arial" w:hAnsi="Arial"/>
          <w:sz w:val="18"/>
          <w:szCs w:val="18"/>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4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You should read this term sheet together with the prospectus dated November 14, 2011, as supplemented by the prospectus supplement dated November 14, 2011 relating to our Series E medium-term notes of which these notes are a part, and the more detailed information contained in product supplement no. 4-I dated November 14, 2011 and underlying supplement no. 1-I dated November 14, 2011. </w:t>
      </w:r>
      <w:r>
        <w:rPr>
          <w:rFonts w:ascii="Arial" w:cs="Arial" w:eastAsia="Arial" w:hAnsi="Arial"/>
          <w:sz w:val="18"/>
          <w:szCs w:val="18"/>
          <w:b w:val="1"/>
          <w:bCs w:val="1"/>
          <w:color w:val="auto"/>
        </w:rPr>
        <w:t>This term sheet, together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8"/>
          <w:szCs w:val="18"/>
          <w:color w:val="auto"/>
        </w:rPr>
        <w:t>You should carefully consider, among</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things, the matters set forth in “Risk Factors” in the accompanying product supplement no. 4-I and “Risk Factors” in the accompanying underlying supplement no. 1-I, as the notes involve risks not associated with conventional debt securities. We urge you to consult your investment, legal, tax, accounting and other advisers before you invest in the notes.</w:t>
      </w:r>
    </w:p>
    <w:p>
      <w:pPr>
        <w:spacing w:after="0" w:line="5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49" w:lineRule="exact"/>
        <w:rPr>
          <w:sz w:val="20"/>
          <w:szCs w:val="20"/>
          <w:color w:val="auto"/>
        </w:rPr>
      </w:pPr>
    </w:p>
    <w:p>
      <w:pPr>
        <w:ind w:left="580" w:right="3900" w:hanging="354"/>
        <w:spacing w:after="0" w:line="317"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 Product supplement no. 4-I dated November 14, 2011: </w:t>
      </w:r>
      <w:hyperlink r:id="rId13">
        <w:r>
          <w:rPr>
            <w:rFonts w:ascii="Arial" w:cs="Arial" w:eastAsia="Arial" w:hAnsi="Arial"/>
            <w:sz w:val="16"/>
            <w:szCs w:val="16"/>
            <w:u w:val="single" w:color="auto"/>
            <w:color w:val="0000EE"/>
          </w:rPr>
          <w:t>http://www.sec.gov/Archives/edgar/data/19617/000089109211007593/e46160_424b2.pdf</w:t>
        </w:r>
      </w:hyperlink>
    </w:p>
    <w:p>
      <w:pPr>
        <w:ind w:left="580" w:right="3900" w:hanging="354"/>
        <w:spacing w:after="0" w:line="317"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 Underlying supplement no. 1-I dated November 14, 2011: </w:t>
      </w:r>
      <w:hyperlink r:id="rId14">
        <w:r>
          <w:rPr>
            <w:rFonts w:ascii="Arial" w:cs="Arial" w:eastAsia="Arial" w:hAnsi="Arial"/>
            <w:sz w:val="16"/>
            <w:szCs w:val="16"/>
            <w:u w:val="single" w:color="auto"/>
            <w:color w:val="0000EE"/>
          </w:rPr>
          <w:t>http://www.sec.gov/Archives/edgar/data/19617/000089109211007615/e46154_424b2.pdf</w:t>
        </w:r>
      </w:hyperlink>
    </w:p>
    <w:p>
      <w:pPr>
        <w:ind w:left="580" w:right="3900" w:hanging="354"/>
        <w:spacing w:after="0" w:line="317"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 Prospectus supplement dated November 14, 2011: </w:t>
      </w:r>
      <w:hyperlink r:id="rId15">
        <w:r>
          <w:rPr>
            <w:rFonts w:ascii="Arial" w:cs="Arial" w:eastAsia="Arial" w:hAnsi="Arial"/>
            <w:sz w:val="16"/>
            <w:szCs w:val="16"/>
            <w:u w:val="single" w:color="auto"/>
            <w:color w:val="0000EE"/>
          </w:rPr>
          <w:t>http://www.sec.gov/Archives/edgar/data/19617/000089109211007578/e46180_424b2.pdf</w:t>
        </w:r>
      </w:hyperlink>
    </w:p>
    <w:p>
      <w:pPr>
        <w:ind w:left="580" w:right="3900" w:hanging="354"/>
        <w:spacing w:after="0" w:line="31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 Prospectus dated November 14, 2011: </w:t>
      </w:r>
      <w:hyperlink r:id="rId16">
        <w:r>
          <w:rPr>
            <w:rFonts w:ascii="Arial" w:cs="Arial" w:eastAsia="Arial" w:hAnsi="Arial"/>
            <w:sz w:val="16"/>
            <w:szCs w:val="16"/>
            <w:u w:val="single" w:color="auto"/>
            <w:color w:val="0000EE"/>
          </w:rPr>
          <w:t>http://www.sec.gov/Archives/edgar/data/19617/000089109211007568/e46179_424b2.pdf</w:t>
        </w:r>
      </w:hyperlink>
    </w:p>
    <w:p>
      <w:pPr>
        <w:spacing w:after="0" w:line="1" w:lineRule="exact"/>
        <w:rPr>
          <w:rFonts w:ascii="Arial" w:cs="Arial" w:eastAsia="Arial" w:hAnsi="Arial"/>
          <w:sz w:val="16"/>
          <w:szCs w:val="16"/>
          <w:u w:val="single" w:color="auto"/>
          <w:color w:val="0000EE"/>
        </w:rPr>
      </w:pPr>
    </w:p>
    <w:p>
      <w:pPr>
        <w:ind w:right="300"/>
        <w:spacing w:after="0" w:line="239" w:lineRule="auto"/>
        <w:rPr>
          <w:sz w:val="20"/>
          <w:szCs w:val="20"/>
          <w:color w:val="auto"/>
        </w:rPr>
      </w:pPr>
      <w:r>
        <w:rPr>
          <w:rFonts w:ascii="Arial" w:cs="Arial" w:eastAsia="Arial" w:hAnsi="Arial"/>
          <w:sz w:val="18"/>
          <w:szCs w:val="18"/>
          <w:color w:val="auto"/>
        </w:rPr>
        <w:t>Our Central Index Key, or CIK, on the SEC website is 19617. As used in this term sheet, the “Company,” “we,” “us” and “our” refer to JPMorgan Chase &amp; Co.</w:t>
      </w:r>
    </w:p>
    <w:p>
      <w:pPr>
        <w:spacing w:after="0" w:line="25"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63" w:lineRule="exact"/>
        <w:rPr>
          <w:rFonts w:ascii="Arial" w:cs="Arial" w:eastAsia="Arial" w:hAnsi="Arial"/>
          <w:sz w:val="16"/>
          <w:szCs w:val="16"/>
          <w:u w:val="single" w:color="auto"/>
          <w:color w:val="0000EE"/>
        </w:rPr>
      </w:pPr>
    </w:p>
    <w:p>
      <w:pPr>
        <w:jc w:val="both"/>
        <w:ind w:left="540" w:right="160" w:hanging="324"/>
        <w:spacing w:after="0" w:line="242" w:lineRule="auto"/>
        <w:rPr>
          <w:rFonts w:ascii="Arial" w:cs="Arial" w:eastAsia="Arial" w:hAnsi="Arial"/>
          <w:sz w:val="16"/>
          <w:szCs w:val="16"/>
          <w:u w:val="single" w:color="auto"/>
          <w:color w:val="0000EE"/>
        </w:rPr>
      </w:pPr>
      <w:r>
        <w:rPr>
          <w:rFonts w:ascii="Arial" w:cs="Arial" w:eastAsia="Arial" w:hAnsi="Arial"/>
          <w:sz w:val="18"/>
          <w:szCs w:val="18"/>
          <w:color w:val="auto"/>
        </w:rPr>
        <w:t xml:space="preserve">— </w:t>
      </w:r>
      <w:r>
        <w:rPr>
          <w:rFonts w:ascii="Arial" w:cs="Arial" w:eastAsia="Arial" w:hAnsi="Arial"/>
          <w:sz w:val="18"/>
          <w:szCs w:val="18"/>
          <w:b w:val="1"/>
          <w:bCs w:val="1"/>
          <w:color w:val="auto"/>
        </w:rPr>
        <w:t>CAPPED APPRECIATION POTENTIAL</w:t>
      </w:r>
      <w:r>
        <w:rPr>
          <w:rFonts w:ascii="Arial" w:cs="Arial" w:eastAsia="Arial" w:hAnsi="Arial"/>
          <w:sz w:val="18"/>
          <w:szCs w:val="18"/>
          <w:color w:val="auto"/>
        </w:rPr>
        <w:t xml:space="preserve"> — The notes provide the opportunity to enhance equity returns by multiplying a positive Index Return by two, up to the Maximum Return. The actual Maximum Return will be set on the pricing date and will not be less than 21.00% or greater than 22.00%. Accordingly, the actual maximum payment at maturity will not be less than $1,210 or greater than $1,220 per $1,000 principal amount note. Because the notes are our senior unsecured obligations, payment of any amount at maturity is subject to our ability to pay our obligations as they become due.</w:t>
      </w:r>
    </w:p>
    <w:p>
      <w:pPr>
        <w:spacing w:after="0" w:line="50" w:lineRule="exact"/>
        <w:rPr>
          <w:rFonts w:ascii="Arial" w:cs="Arial" w:eastAsia="Arial" w:hAnsi="Arial"/>
          <w:sz w:val="16"/>
          <w:szCs w:val="16"/>
          <w:u w:val="single" w:color="auto"/>
          <w:color w:val="0000EE"/>
        </w:rPr>
      </w:pPr>
    </w:p>
    <w:p>
      <w:pPr>
        <w:ind w:left="540" w:right="180" w:hanging="324"/>
        <w:spacing w:after="0" w:line="244" w:lineRule="auto"/>
        <w:rPr>
          <w:rFonts w:ascii="Arial" w:cs="Arial" w:eastAsia="Arial" w:hAnsi="Arial"/>
          <w:sz w:val="16"/>
          <w:szCs w:val="16"/>
          <w:u w:val="single" w:color="auto"/>
          <w:color w:val="0000EE"/>
        </w:rPr>
      </w:pPr>
      <w:r>
        <w:rPr>
          <w:rFonts w:ascii="Arial" w:cs="Arial" w:eastAsia="Arial" w:hAnsi="Arial"/>
          <w:sz w:val="18"/>
          <w:szCs w:val="18"/>
          <w:color w:val="auto"/>
        </w:rPr>
        <w:t xml:space="preserve">— </w:t>
      </w:r>
      <w:r>
        <w:rPr>
          <w:rFonts w:ascii="Arial" w:cs="Arial" w:eastAsia="Arial" w:hAnsi="Arial"/>
          <w:sz w:val="18"/>
          <w:szCs w:val="18"/>
          <w:b w:val="1"/>
          <w:bCs w:val="1"/>
          <w:color w:val="auto"/>
        </w:rPr>
        <w:t>LIMITED PROTECTION AGAINST LOSS</w:t>
      </w:r>
      <w:r>
        <w:rPr>
          <w:rFonts w:ascii="Arial" w:cs="Arial" w:eastAsia="Arial" w:hAnsi="Arial"/>
          <w:sz w:val="18"/>
          <w:szCs w:val="18"/>
          <w:color w:val="auto"/>
        </w:rPr>
        <w:t xml:space="preserve"> — We will pay you your principal back at maturity if the Ending Index Level is not less than the Initial Index Level by more than 10%. If the Ending Index Level is less than the Initial Index Level by more than 10%, for every 1% that the Ending Index Level is less than the Initial Index Level by more than 10%, you will lose an amount equal to 1% of the principal amount of your notes.</w:t>
      </w:r>
    </w:p>
    <w:p>
      <w:pPr>
        <w:spacing w:after="0" w:line="49" w:lineRule="exact"/>
        <w:rPr>
          <w:rFonts w:ascii="Arial" w:cs="Arial" w:eastAsia="Arial" w:hAnsi="Arial"/>
          <w:sz w:val="16"/>
          <w:szCs w:val="16"/>
          <w:u w:val="single" w:color="auto"/>
          <w:color w:val="0000EE"/>
        </w:rPr>
      </w:pPr>
    </w:p>
    <w:p>
      <w:pPr>
        <w:ind w:left="540" w:right="360" w:hanging="324"/>
        <w:spacing w:after="0" w:line="239" w:lineRule="auto"/>
        <w:rPr>
          <w:rFonts w:ascii="Arial" w:cs="Arial" w:eastAsia="Arial" w:hAnsi="Arial"/>
          <w:sz w:val="16"/>
          <w:szCs w:val="16"/>
          <w:u w:val="single" w:color="auto"/>
          <w:color w:val="0000EE"/>
        </w:rPr>
      </w:pPr>
      <w:r>
        <w:rPr>
          <w:rFonts w:ascii="Arial" w:cs="Arial" w:eastAsia="Arial" w:hAnsi="Arial"/>
          <w:sz w:val="18"/>
          <w:szCs w:val="18"/>
          <w:color w:val="auto"/>
        </w:rPr>
        <w:t xml:space="preserve">— </w:t>
      </w:r>
      <w:r>
        <w:rPr>
          <w:rFonts w:ascii="Arial" w:cs="Arial" w:eastAsia="Arial" w:hAnsi="Arial"/>
          <w:sz w:val="18"/>
          <w:szCs w:val="18"/>
          <w:b w:val="1"/>
          <w:bCs w:val="1"/>
          <w:color w:val="auto"/>
        </w:rPr>
        <w:t>RETURN LINKED TO THE S&amp;P 500</w:t>
      </w:r>
      <w:r>
        <w:rPr>
          <w:rFonts w:ascii="Arial" w:cs="Arial" w:eastAsia="Arial" w:hAnsi="Arial"/>
          <w:sz w:val="22"/>
          <w:szCs w:val="22"/>
          <w:b w:val="1"/>
          <w:b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INDEX</w:t>
      </w:r>
      <w:r>
        <w:rPr>
          <w:rFonts w:ascii="Arial" w:cs="Arial" w:eastAsia="Arial" w:hAnsi="Arial"/>
          <w:sz w:val="18"/>
          <w:szCs w:val="18"/>
          <w:color w:val="auto"/>
        </w:rPr>
        <w:t xml:space="preserve"> — The return on the notes is linked to the S&amp;P 500</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Index. The S&amp;P 500</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Index consists of 500 component stocks selected to provide a performance benchmark for the U.S. equity markets. See “Equity Index Descriptions — The S&amp;P 500</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Index” in the accompanying underlying supplement no. 1-I.</w:t>
      </w:r>
    </w:p>
    <w:p>
      <w:pPr>
        <w:ind w:left="540" w:right="60" w:hanging="324"/>
        <w:spacing w:after="0" w:line="237" w:lineRule="auto"/>
        <w:rPr>
          <w:rFonts w:ascii="Arial" w:cs="Arial" w:eastAsia="Arial" w:hAnsi="Arial"/>
          <w:sz w:val="16"/>
          <w:szCs w:val="16"/>
          <w:u w:val="single" w:color="auto"/>
          <w:color w:val="0000EE"/>
        </w:rPr>
      </w:pPr>
      <w:r>
        <w:rPr>
          <w:rFonts w:ascii="Arial" w:cs="Arial" w:eastAsia="Arial" w:hAnsi="Arial"/>
          <w:sz w:val="18"/>
          <w:szCs w:val="18"/>
          <w:color w:val="auto"/>
        </w:rPr>
        <w:t xml:space="preserve">— </w:t>
      </w:r>
      <w:r>
        <w:rPr>
          <w:rFonts w:ascii="Arial" w:cs="Arial" w:eastAsia="Arial" w:hAnsi="Arial"/>
          <w:sz w:val="18"/>
          <w:szCs w:val="18"/>
          <w:b w:val="1"/>
          <w:bCs w:val="1"/>
          <w:color w:val="auto"/>
        </w:rPr>
        <w:t>CAPITAL GAINS TAX TREATMENT</w:t>
      </w:r>
      <w:r>
        <w:rPr>
          <w:rFonts w:ascii="Arial" w:cs="Arial" w:eastAsia="Arial" w:hAnsi="Arial"/>
          <w:sz w:val="18"/>
          <w:szCs w:val="18"/>
          <w:color w:val="auto"/>
        </w:rPr>
        <w:t xml:space="preserve"> — You should review carefully the section entitled “Material U.S. Federal Income Tax Consequences” in the accompanying product supplement no. 4-I. The following discussion, when read in combination with that section, constitutes the full opinion of our special tax counsel, Davis Polk &amp; Wardwell LLP, regarding the material U.S. federal income tax consequences of owning and disposing of notes.</w:t>
      </w:r>
    </w:p>
    <w:p>
      <w:pPr>
        <w:spacing w:after="0" w:line="47" w:lineRule="exact"/>
        <w:rPr>
          <w:rFonts w:ascii="Arial" w:cs="Arial" w:eastAsia="Arial" w:hAnsi="Arial"/>
          <w:sz w:val="16"/>
          <w:szCs w:val="16"/>
          <w:u w:val="single" w:color="auto"/>
          <w:color w:val="0000EE"/>
        </w:rPr>
      </w:pPr>
    </w:p>
    <w:p>
      <w:pPr>
        <w:ind w:left="580" w:right="80"/>
        <w:spacing w:after="0" w:line="236" w:lineRule="auto"/>
        <w:rPr>
          <w:sz w:val="20"/>
          <w:szCs w:val="20"/>
          <w:color w:val="auto"/>
        </w:rPr>
      </w:pPr>
      <w:r>
        <w:rPr>
          <w:rFonts w:ascii="Arial" w:cs="Arial" w:eastAsia="Arial" w:hAnsi="Arial"/>
          <w:sz w:val="18"/>
          <w:szCs w:val="18"/>
          <w:color w:val="auto"/>
        </w:rPr>
        <w:t>Based on current market conditions, in the opinion of our special tax counsel it is reasonable to treat the notes as “open transactions” that are not debt instruments for U.S. federal income tax purposes. Assuming this treatment is respected, the gain or loss on your notes should be treated as long-term capital gain or loss if you hold your notes for more than a year, whether or not you are an initial purchaser of notes at the issue price. However, the Internal Revenue Service (the “IRS”) or a court may not respect this treatment of the notes, in which case the timing and character of any income or loss on the notes could be significantly and adversely affected. In addition, in 2007 Treasury and the IRS released a notice requesting comments on the U.S. federal income tax treatment of “prepaid forward contracts” and similar instruments, such as the notes. The notice focuses in particular on whether to</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18"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92ABA4"/>
        </w:rPr>
        <w:t>JPMorgan Structured Investments —</w:t>
      </w:r>
    </w:p>
    <w:p>
      <w:pPr>
        <w:spacing w:after="0"/>
        <w:rPr>
          <w:sz w:val="20"/>
          <w:szCs w:val="20"/>
          <w:color w:val="auto"/>
        </w:rPr>
      </w:pPr>
      <w:r>
        <w:rPr>
          <w:rFonts w:ascii="Arial" w:cs="Arial" w:eastAsia="Arial" w:hAnsi="Arial"/>
          <w:sz w:val="16"/>
          <w:szCs w:val="16"/>
          <w:b w:val="1"/>
          <w:bCs w:val="1"/>
          <w:color w:val="648079"/>
        </w:rPr>
        <w:t>Buffered Return Enhanced Notes Linked to the S&amp;P 500</w:t>
      </w:r>
      <w:r>
        <w:rPr>
          <w:rFonts w:ascii="Arial" w:cs="Arial" w:eastAsia="Arial" w:hAnsi="Arial"/>
          <w:sz w:val="10"/>
          <w:szCs w:val="10"/>
          <w:b w:val="1"/>
          <w:bCs w:val="1"/>
          <w:color w:val="648079"/>
        </w:rPr>
        <w:t>®</w:t>
      </w:r>
      <w:r>
        <w:rPr>
          <w:rFonts w:ascii="Arial" w:cs="Arial" w:eastAsia="Arial" w:hAnsi="Arial"/>
          <w:sz w:val="16"/>
          <w:szCs w:val="16"/>
          <w:b w:val="1"/>
          <w:bCs w:val="1"/>
          <w:color w:val="648079"/>
        </w:rPr>
        <w:t xml:space="preserve"> Index</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3"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92ABA4"/>
        </w:rPr>
        <w:t>TS-1</w:t>
      </w:r>
    </w:p>
    <w:p>
      <w:pPr>
        <w:sectPr>
          <w:pgSz w:w="11900" w:h="16838" w:orient="portrait"/>
          <w:cols w:equalWidth="0" w:num="2">
            <w:col w:w="9920" w:space="720"/>
            <w:col w:w="760"/>
          </w:cols>
          <w:pgMar w:left="240" w:top="269" w:right="259" w:bottom="1440" w:gutter="0" w:footer="0" w:header="0"/>
          <w:type w:val="continuous"/>
        </w:sectPr>
      </w:pPr>
    </w:p>
    <w:bookmarkStart w:id="3" w:name="page4"/>
    <w:bookmarkEnd w:id="3"/>
    <w:p>
      <w:pPr>
        <w:ind w:left="580" w:right="12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 holders of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Holders should be subject to withholding tax; and whether these instruments are or should be subject to the “constructive ownership” regime, which very generally can operate to recharacterize certain long-term capital gain as ordinary income and impose an interest charge.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Both U.S. and Non-U.S. Holders should consult their tax advisers regarding the U.S. federal income tax consequences of an investment in the notes, including possible alternative treatments and the issues presented by this notice.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7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An investment in the notes involves significant risks. Investing in the notes is not equivalent to investing directly in the Index or any of the component securities of the Index. These risks are explained in more detail in the “Risk Factors” section of the accompanying product supplement no. 4-I dated November 14, 2011 and “Risk Factors” in the accompanying underlying supplement no. 1-I dated November 14, 2011.</w:t>
      </w:r>
    </w:p>
    <w:p>
      <w:pPr>
        <w:spacing w:after="0" w:line="7" w:lineRule="exact"/>
        <w:rPr>
          <w:sz w:val="20"/>
          <w:szCs w:val="20"/>
          <w:color w:val="auto"/>
        </w:rPr>
      </w:pPr>
    </w:p>
    <w:p>
      <w:pPr>
        <w:ind w:left="540" w:right="60" w:hanging="324"/>
        <w:spacing w:after="0" w:line="24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YOUR INVESTMENT IN THE NOTES MAY RESULT IN A LOSS</w:t>
      </w:r>
      <w:r>
        <w:rPr>
          <w:rFonts w:ascii="Arial" w:cs="Arial" w:eastAsia="Arial" w:hAnsi="Arial"/>
          <w:sz w:val="18"/>
          <w:szCs w:val="18"/>
          <w:color w:val="auto"/>
        </w:rPr>
        <w:t xml:space="preserve"> — The notes do not guarantee any return of principal. The return on the notes at maturity is linked to the performance of the Index and will depend on whether, and the extent to which, the Index Return is positive or negative. Your investment will be exposed to loss if the Ending Index Level is less than the Initial Index Level by more than 10%. For every 1% that the Ending Index Level is less than the Initial Index Level by more than 10%, you will lose an amount equal to 1% of the principal amount of your notes. Accordingly, you could lose up to 90% of your initial investment at maturity.</w:t>
      </w:r>
    </w:p>
    <w:p>
      <w:pPr>
        <w:spacing w:after="0" w:line="36" w:lineRule="exact"/>
        <w:rPr>
          <w:sz w:val="20"/>
          <w:szCs w:val="20"/>
          <w:color w:val="auto"/>
        </w:rPr>
      </w:pPr>
    </w:p>
    <w:p>
      <w:pPr>
        <w:ind w:left="540" w:right="100" w:hanging="324"/>
        <w:spacing w:after="0" w:line="24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YOUR MAXIMUM GAIN ON THE NOTES IS LIMITED TO THE MAXIMUM RETURN</w:t>
      </w:r>
      <w:r>
        <w:rPr>
          <w:rFonts w:ascii="Arial" w:cs="Arial" w:eastAsia="Arial" w:hAnsi="Arial"/>
          <w:sz w:val="18"/>
          <w:szCs w:val="18"/>
          <w:color w:val="auto"/>
        </w:rPr>
        <w:t xml:space="preserve"> — If the Ending Index Level is greater than the Initial Index Level, for each $1,000 principal amount note, you will receive at maturity $1,000 plus an additional return that will not exceed a predetermined percentage of the principal amount, regardless of the appreciation in the Index, which may be significant. We refer to this predetermined percentage as the Maximum Return, which will be set on the pricing date and will not be less than 21.00% or greater than 22.00%.</w:t>
      </w:r>
    </w:p>
    <w:p>
      <w:pPr>
        <w:spacing w:after="0" w:line="36" w:lineRule="exact"/>
        <w:rPr>
          <w:sz w:val="20"/>
          <w:szCs w:val="20"/>
          <w:color w:val="auto"/>
        </w:rPr>
      </w:pPr>
    </w:p>
    <w:p>
      <w:pPr>
        <w:ind w:left="540" w:hanging="32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CREDIT RISK OF JPMORGAN CHASE &amp; CO.</w:t>
      </w:r>
      <w:r>
        <w:rPr>
          <w:rFonts w:ascii="Arial" w:cs="Arial" w:eastAsia="Arial" w:hAnsi="Arial"/>
          <w:sz w:val="18"/>
          <w:szCs w:val="18"/>
          <w:color w:val="auto"/>
        </w:rPr>
        <w:t xml:space="preserve"> — The notes are subject to the credit risk of JPMorgan Chase &amp; Co., and our credit ratings and credit spreads may adversely affect the market value of the notes. Investors are dependent on JPMorgan Chase &amp; Co.’s ability to pay all amounts due on the notes at maturity, and therefore investors are subject to our credit risk and to changes in the market’s view of our creditworthiness. Any decline in our credit ratings or increase in the credit spreads charged by the market for taking our credit risk is likely to affect adversely the value of the notes. If we were to default on our payment obligations, you may not receive any amounts owed to you under the notes and you could lose your entire investment.</w:t>
      </w:r>
    </w:p>
    <w:p>
      <w:pPr>
        <w:spacing w:after="0" w:line="41" w:lineRule="exact"/>
        <w:rPr>
          <w:sz w:val="20"/>
          <w:szCs w:val="20"/>
          <w:color w:val="auto"/>
        </w:rPr>
      </w:pPr>
    </w:p>
    <w:p>
      <w:pPr>
        <w:ind w:left="540" w:right="120" w:hanging="324"/>
        <w:spacing w:after="0" w:line="285"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POTENTIAL CONFLICTS</w:t>
      </w:r>
      <w:r>
        <w:rPr>
          <w:rFonts w:ascii="Arial" w:cs="Arial" w:eastAsia="Arial" w:hAnsi="Arial"/>
          <w:sz w:val="16"/>
          <w:szCs w:val="16"/>
          <w:color w:val="auto"/>
        </w:rPr>
        <w:t xml:space="preserve"> — We and our affiliates play a variety of roles in connection with the issuance of the notes, including acting as calculation agent and hedging our obligations under the notes. In performing these duties, the economic interests of the calculation agent and other affiliates of ours are potentially adverse to your interests as an investor in the notes. It is possible that these hedging activities or other trading activities of ours or our affiliates could result in substantial returns for us or our affiliates while the value of the notes declines.</w:t>
      </w:r>
    </w:p>
    <w:p>
      <w:pPr>
        <w:spacing w:after="0" w:line="12" w:lineRule="exact"/>
        <w:rPr>
          <w:sz w:val="20"/>
          <w:szCs w:val="20"/>
          <w:color w:val="auto"/>
        </w:rPr>
      </w:pPr>
    </w:p>
    <w:p>
      <w:pPr>
        <w:ind w:left="580" w:right="180"/>
        <w:spacing w:after="0" w:line="239" w:lineRule="auto"/>
        <w:rPr>
          <w:sz w:val="20"/>
          <w:szCs w:val="20"/>
          <w:color w:val="auto"/>
        </w:rPr>
      </w:pPr>
      <w:r>
        <w:rPr>
          <w:rFonts w:ascii="Arial" w:cs="Arial" w:eastAsia="Arial" w:hAnsi="Arial"/>
          <w:sz w:val="18"/>
          <w:szCs w:val="18"/>
          <w:color w:val="auto"/>
        </w:rPr>
        <w:t>In addition, we are currently one of the companies that make up the Index. We will not have any obligation to consider your interests as a holder of the notes in taking any corporate action that might affect the value of the Index and the notes.</w:t>
      </w:r>
    </w:p>
    <w:p>
      <w:pPr>
        <w:spacing w:after="0" w:line="38" w:lineRule="exact"/>
        <w:rPr>
          <w:sz w:val="20"/>
          <w:szCs w:val="20"/>
          <w:color w:val="auto"/>
        </w:rPr>
      </w:pPr>
    </w:p>
    <w:p>
      <w:pPr>
        <w:ind w:left="540" w:right="40" w:hanging="324"/>
        <w:spacing w:after="0" w:line="23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BUILT-IN COSTS ARE LIKELY TO AFFECT ADVERSELY THE VALUE OF THE NOTES PRIOR TO MATURITY</w:t>
      </w:r>
      <w:r>
        <w:rPr>
          <w:rFonts w:ascii="Arial" w:cs="Arial" w:eastAsia="Arial" w:hAnsi="Arial"/>
          <w:sz w:val="18"/>
          <w:szCs w:val="18"/>
          <w:color w:val="auto"/>
        </w:rPr>
        <w:t xml:space="preserve"> — While the payment at maturity, described in this term sheet is based on the full principal amount of your notes, the original issue price of the notes includes the agent’s commission and the estimated cost of hedging our obligations under the notes. As a result, and as a general matter, the price, if any, at which JPMS will be willing to purchase notes from you in secondary market transactions, if at all, will likely be lower than the original issue price and any sale prior to the maturity date could result in a substantial loss to you. This secondary market price will also be affected by a number of factors aside from the agent’s commission and hedging costs, including those set forth under “Many Economic and Market Factors Will Impact the Value of the Notes” below.</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notes are not designed to be short-term trading instruments. Accordingly, you should be able and willing to hold your notes to maturity.</w:t>
      </w:r>
    </w:p>
    <w:p>
      <w:pPr>
        <w:spacing w:after="0" w:line="64" w:lineRule="exact"/>
        <w:rPr>
          <w:sz w:val="20"/>
          <w:szCs w:val="20"/>
          <w:color w:val="auto"/>
        </w:rPr>
      </w:pPr>
    </w:p>
    <w:p>
      <w:pPr>
        <w:ind w:left="540" w:right="180" w:hanging="324"/>
        <w:spacing w:after="0" w:line="24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NO INTEREST OR DIVIDEND PAYMENTS OR VOTING RIGHTS</w:t>
      </w:r>
      <w:r>
        <w:rPr>
          <w:rFonts w:ascii="Arial" w:cs="Arial" w:eastAsia="Arial" w:hAnsi="Arial"/>
          <w:sz w:val="18"/>
          <w:szCs w:val="18"/>
          <w:color w:val="auto"/>
        </w:rPr>
        <w:t xml:space="preserve"> — As a holder of the notes, you will not receive interest payments, and you will not have voting rights or rights to receive cash dividends or other distributions or other rights that holders of securities composing the Index would have.</w:t>
      </w:r>
    </w:p>
    <w:p>
      <w:pPr>
        <w:spacing w:after="0" w:line="31" w:lineRule="exact"/>
        <w:rPr>
          <w:sz w:val="20"/>
          <w:szCs w:val="20"/>
          <w:color w:val="auto"/>
        </w:rPr>
      </w:pPr>
    </w:p>
    <w:p>
      <w:pPr>
        <w:jc w:val="both"/>
        <w:ind w:left="540" w:right="80" w:hanging="324"/>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LACK OF LIQUIDITY</w:t>
      </w:r>
      <w:r>
        <w:rPr>
          <w:rFonts w:ascii="Arial" w:cs="Arial" w:eastAsia="Arial" w:hAnsi="Arial"/>
          <w:sz w:val="18"/>
          <w:szCs w:val="18"/>
          <w:color w:val="auto"/>
        </w:rPr>
        <w:t xml:space="preserve"> — The notes will not be listed on any securities exchange. JPMS intends to offer to purchase the notes in the 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36" w:lineRule="exact"/>
        <w:rPr>
          <w:sz w:val="20"/>
          <w:szCs w:val="20"/>
          <w:color w:val="auto"/>
        </w:rPr>
      </w:pPr>
    </w:p>
    <w:p>
      <w:pPr>
        <w:ind w:left="540" w:right="100" w:hanging="324"/>
        <w:spacing w:after="0" w:line="24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MANY ECONOMIC AND MARKET FACTORS WILL IMPACT THE VALUE OF THE NOTES</w:t>
      </w:r>
      <w:r>
        <w:rPr>
          <w:rFonts w:ascii="Arial" w:cs="Arial" w:eastAsia="Arial" w:hAnsi="Arial"/>
          <w:sz w:val="18"/>
          <w:szCs w:val="18"/>
          <w:color w:val="auto"/>
        </w:rPr>
        <w:t xml:space="preserve"> — In addition to the level of the Index on any day, the value of the notes will be affected by a number of economic and market factors that may either offset or magnify each other, including:</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the actual and expected volatility of the Index;</w:t>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the time to maturity of the notes;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the dividend rates on the equity securities underlying the Index;</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interest and yield rates in the market generally;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a variety of economic, financial, political, regulatory and judicial events; and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our creditworthiness, including actual or anticipated downgrades in our 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91" w:right="27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92ABA4"/>
        </w:rPr>
        <w:t>JPMorgan Structured Investments —</w:t>
      </w:r>
    </w:p>
    <w:p>
      <w:pPr>
        <w:spacing w:after="0"/>
        <w:rPr>
          <w:sz w:val="20"/>
          <w:szCs w:val="20"/>
          <w:color w:val="auto"/>
        </w:rPr>
      </w:pPr>
      <w:r>
        <w:rPr>
          <w:rFonts w:ascii="Arial" w:cs="Arial" w:eastAsia="Arial" w:hAnsi="Arial"/>
          <w:sz w:val="16"/>
          <w:szCs w:val="16"/>
          <w:b w:val="1"/>
          <w:bCs w:val="1"/>
          <w:color w:val="648079"/>
        </w:rPr>
        <w:t>Buffered Return Enhanced Notes Linked to the S&amp;P 500</w:t>
      </w:r>
      <w:r>
        <w:rPr>
          <w:rFonts w:ascii="Arial" w:cs="Arial" w:eastAsia="Arial" w:hAnsi="Arial"/>
          <w:sz w:val="10"/>
          <w:szCs w:val="10"/>
          <w:b w:val="1"/>
          <w:bCs w:val="1"/>
          <w:color w:val="648079"/>
        </w:rPr>
        <w:t>®</w:t>
      </w:r>
      <w:r>
        <w:rPr>
          <w:rFonts w:ascii="Arial" w:cs="Arial" w:eastAsia="Arial" w:hAnsi="Arial"/>
          <w:sz w:val="16"/>
          <w:szCs w:val="16"/>
          <w:b w:val="1"/>
          <w:bCs w:val="1"/>
          <w:color w:val="648079"/>
        </w:rPr>
        <w:t xml:space="preserve"> Index</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92ABA4"/>
        </w:rPr>
        <w:t>TS-2</w:t>
      </w:r>
    </w:p>
    <w:p>
      <w:pPr>
        <w:sectPr>
          <w:pgSz w:w="11900" w:h="16838" w:orient="portrait"/>
          <w:cols w:equalWidth="0" w:num="2">
            <w:col w:w="9920" w:space="720"/>
            <w:col w:w="740"/>
          </w:cols>
          <w:pgMar w:left="240" w:top="291" w:right="2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648079"/>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Is the Total Return on the Notes at Maturity Assuming a Range of Performances for the Index?</w:t>
      </w:r>
    </w:p>
    <w:p>
      <w:pPr>
        <w:spacing w:after="0" w:line="7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following table, graph and examples illustrate the hypothetical total return at maturity on the notes. The “total return” as used in this term sheet is the number, expressed as a percentage, that results from comparing the payment at maturity per $1,000 principal amount note to $1,000. The hypothetical total returns set forth below assume an Initial Index Level of 1300 and a Maximum Return of 21.00%. The actual Maximum Return will be determined on the pricing date and will not be less than 21.00% or greater than 22.00%. The hypothetical total returns set forth below are for illustrative purposes only and may not be the actual total returns applicable to a purchaser of the notes. The numbers appearing in the following table and examples been rounded for ease of analysis.</w:t>
      </w:r>
    </w:p>
    <w:p>
      <w:pPr>
        <w:spacing w:after="0" w:line="174" w:lineRule="exact"/>
        <w:rPr>
          <w:sz w:val="20"/>
          <w:szCs w:val="20"/>
          <w:color w:val="auto"/>
        </w:rPr>
      </w:pPr>
    </w:p>
    <w:tbl>
      <w:tblPr>
        <w:tblLayout w:type="fixed"/>
        <w:tblInd w:w="930" w:type="dxa"/>
        <w:tblCellMar>
          <w:top w:w="0" w:type="dxa"/>
          <w:left w:w="0" w:type="dxa"/>
          <w:bottom w:w="0" w:type="dxa"/>
          <w:right w:w="0" w:type="dxa"/>
        </w:tblCellMar>
      </w:tblPr>
      <w:tr>
        <w:trPr>
          <w:trHeight w:val="440"/>
        </w:trPr>
        <w:tc>
          <w:tcPr>
            <w:tcW w:w="2500" w:type="dxa"/>
            <w:vAlign w:val="bottom"/>
            <w:tcBorders>
              <w:top w:val="single" w:sz="8" w:color="auto"/>
              <w:left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Ending Index</w:t>
            </w:r>
          </w:p>
        </w:tc>
        <w:tc>
          <w:tcPr>
            <w:tcW w:w="230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Total Return on</w:t>
            </w:r>
          </w:p>
        </w:tc>
        <w:tc>
          <w:tcPr>
            <w:tcW w:w="2440" w:type="dxa"/>
            <w:vAlign w:val="bottom"/>
            <w:tcBorders>
              <w:top w:val="single" w:sz="8" w:color="auto"/>
              <w:right w:val="single" w:sz="8" w:color="auto"/>
            </w:tcBorders>
          </w:tcPr>
          <w:p>
            <w:pPr>
              <w:spacing w:after="0"/>
              <w:rPr>
                <w:sz w:val="24"/>
                <w:szCs w:val="24"/>
                <w:color w:val="auto"/>
              </w:rPr>
            </w:pPr>
          </w:p>
        </w:tc>
      </w:tr>
      <w:tr>
        <w:trPr>
          <w:trHeight w:val="235"/>
        </w:trPr>
        <w:tc>
          <w:tcPr>
            <w:tcW w:w="2500" w:type="dxa"/>
            <w:vAlign w:val="bottom"/>
            <w:tcBorders>
              <w:left w:val="single" w:sz="8" w:color="auto"/>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rPr>
              <w:t>Level</w:t>
            </w:r>
          </w:p>
        </w:tc>
        <w:tc>
          <w:tcPr>
            <w:tcW w:w="23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Index Return</w:t>
            </w:r>
          </w:p>
        </w:tc>
        <w:tc>
          <w:tcPr>
            <w:tcW w:w="236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Notes</w:t>
            </w:r>
          </w:p>
        </w:tc>
        <w:tc>
          <w:tcPr>
            <w:tcW w:w="244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Payment at Maturity</w:t>
            </w:r>
          </w:p>
        </w:tc>
      </w:tr>
      <w:tr>
        <w:trPr>
          <w:trHeight w:val="199"/>
        </w:trPr>
        <w:tc>
          <w:tcPr>
            <w:tcW w:w="2500" w:type="dxa"/>
            <w:vAlign w:val="bottom"/>
            <w:tcBorders>
              <w:left w:val="single" w:sz="8" w:color="auto"/>
            </w:tcBorders>
          </w:tcPr>
          <w:p>
            <w:pPr>
              <w:jc w:val="right"/>
              <w:ind w:right="832"/>
              <w:spacing w:after="0" w:line="200" w:lineRule="exact"/>
              <w:rPr>
                <w:sz w:val="20"/>
                <w:szCs w:val="20"/>
                <w:color w:val="auto"/>
              </w:rPr>
            </w:pPr>
            <w:r>
              <w:rPr>
                <w:rFonts w:ascii="Arial" w:cs="Arial" w:eastAsia="Arial" w:hAnsi="Arial"/>
                <w:sz w:val="18"/>
                <w:szCs w:val="18"/>
                <w:color w:val="auto"/>
              </w:rPr>
              <w:t>2340.00</w:t>
            </w:r>
          </w:p>
        </w:tc>
        <w:tc>
          <w:tcPr>
            <w:tcW w:w="2300" w:type="dxa"/>
            <w:vAlign w:val="bottom"/>
          </w:tcPr>
          <w:p>
            <w:pPr>
              <w:jc w:val="right"/>
              <w:ind w:right="632"/>
              <w:spacing w:after="0" w:line="200" w:lineRule="exact"/>
              <w:rPr>
                <w:sz w:val="20"/>
                <w:szCs w:val="20"/>
                <w:color w:val="auto"/>
              </w:rPr>
            </w:pPr>
            <w:r>
              <w:rPr>
                <w:rFonts w:ascii="Arial" w:cs="Arial" w:eastAsia="Arial" w:hAnsi="Arial"/>
                <w:sz w:val="18"/>
                <w:szCs w:val="18"/>
                <w:color w:val="auto"/>
              </w:rPr>
              <w:t>80.00%</w:t>
            </w:r>
          </w:p>
        </w:tc>
        <w:tc>
          <w:tcPr>
            <w:tcW w:w="2360" w:type="dxa"/>
            <w:vAlign w:val="bottom"/>
          </w:tcPr>
          <w:p>
            <w:pPr>
              <w:jc w:val="right"/>
              <w:ind w:right="652"/>
              <w:spacing w:after="0" w:line="200" w:lineRule="exact"/>
              <w:rPr>
                <w:sz w:val="20"/>
                <w:szCs w:val="20"/>
                <w:color w:val="auto"/>
              </w:rPr>
            </w:pPr>
            <w:r>
              <w:rPr>
                <w:rFonts w:ascii="Arial" w:cs="Arial" w:eastAsia="Arial" w:hAnsi="Arial"/>
                <w:sz w:val="18"/>
                <w:szCs w:val="18"/>
                <w:color w:val="auto"/>
              </w:rPr>
              <w:t>21.00%</w:t>
            </w:r>
          </w:p>
        </w:tc>
        <w:tc>
          <w:tcPr>
            <w:tcW w:w="2440" w:type="dxa"/>
            <w:vAlign w:val="bottom"/>
            <w:tcBorders>
              <w:right w:val="single" w:sz="8" w:color="auto"/>
            </w:tcBorders>
          </w:tcPr>
          <w:p>
            <w:pPr>
              <w:jc w:val="right"/>
              <w:ind w:right="812"/>
              <w:spacing w:after="0" w:line="200" w:lineRule="exact"/>
              <w:rPr>
                <w:sz w:val="20"/>
                <w:szCs w:val="20"/>
                <w:color w:val="auto"/>
              </w:rPr>
            </w:pPr>
            <w:r>
              <w:rPr>
                <w:rFonts w:ascii="Arial" w:cs="Arial" w:eastAsia="Arial" w:hAnsi="Arial"/>
                <w:sz w:val="18"/>
                <w:szCs w:val="18"/>
                <w:color w:val="auto"/>
              </w:rPr>
              <w:t>$1,210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2210.00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70.00%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21.00%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$1,210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2080.00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60.00%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21.00%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$1,210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1950.00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50.00%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21.00%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$1,210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1690.00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30.00%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21.00%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$1,210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1560.00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20.00%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21.00%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$1,210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1495.00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15.00%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21.00%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$1,210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1436.50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10.50%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21.00%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$1,210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1365.00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5.00%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10.00%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$1,100</w:t>
            </w:r>
          </w:p>
        </w:tc>
      </w:tr>
      <w:tr>
        <w:trPr>
          <w:trHeight w:val="199"/>
        </w:trPr>
        <w:tc>
          <w:tcPr>
            <w:tcW w:w="2500" w:type="dxa"/>
            <w:vAlign w:val="bottom"/>
            <w:tcBorders>
              <w:left w:val="single" w:sz="8" w:color="auto"/>
            </w:tcBorders>
          </w:tcPr>
          <w:p>
            <w:pPr>
              <w:jc w:val="right"/>
              <w:ind w:right="832"/>
              <w:spacing w:after="0" w:line="200" w:lineRule="exact"/>
              <w:rPr>
                <w:sz w:val="20"/>
                <w:szCs w:val="20"/>
                <w:color w:val="auto"/>
              </w:rPr>
            </w:pPr>
            <w:r>
              <w:rPr>
                <w:rFonts w:ascii="Arial" w:cs="Arial" w:eastAsia="Arial" w:hAnsi="Arial"/>
                <w:sz w:val="18"/>
                <w:szCs w:val="18"/>
                <w:color w:val="auto"/>
              </w:rPr>
              <w:t>1313.00</w:t>
            </w:r>
          </w:p>
        </w:tc>
        <w:tc>
          <w:tcPr>
            <w:tcW w:w="2300" w:type="dxa"/>
            <w:vAlign w:val="bottom"/>
          </w:tcPr>
          <w:p>
            <w:pPr>
              <w:jc w:val="right"/>
              <w:ind w:right="632"/>
              <w:spacing w:after="0" w:line="200" w:lineRule="exact"/>
              <w:rPr>
                <w:sz w:val="20"/>
                <w:szCs w:val="20"/>
                <w:color w:val="auto"/>
              </w:rPr>
            </w:pPr>
            <w:r>
              <w:rPr>
                <w:rFonts w:ascii="Arial" w:cs="Arial" w:eastAsia="Arial" w:hAnsi="Arial"/>
                <w:sz w:val="18"/>
                <w:szCs w:val="18"/>
                <w:color w:val="auto"/>
              </w:rPr>
              <w:t>1.00%</w:t>
            </w:r>
          </w:p>
        </w:tc>
        <w:tc>
          <w:tcPr>
            <w:tcW w:w="2360" w:type="dxa"/>
            <w:vAlign w:val="bottom"/>
          </w:tcPr>
          <w:p>
            <w:pPr>
              <w:jc w:val="right"/>
              <w:ind w:right="652"/>
              <w:spacing w:after="0" w:line="200" w:lineRule="exact"/>
              <w:rPr>
                <w:sz w:val="20"/>
                <w:szCs w:val="20"/>
                <w:color w:val="auto"/>
              </w:rPr>
            </w:pPr>
            <w:r>
              <w:rPr>
                <w:rFonts w:ascii="Arial" w:cs="Arial" w:eastAsia="Arial" w:hAnsi="Arial"/>
                <w:sz w:val="18"/>
                <w:szCs w:val="18"/>
                <w:color w:val="auto"/>
              </w:rPr>
              <w:t>2.00%</w:t>
            </w:r>
          </w:p>
        </w:tc>
        <w:tc>
          <w:tcPr>
            <w:tcW w:w="2440" w:type="dxa"/>
            <w:vAlign w:val="bottom"/>
            <w:tcBorders>
              <w:right w:val="single" w:sz="8" w:color="auto"/>
            </w:tcBorders>
          </w:tcPr>
          <w:p>
            <w:pPr>
              <w:jc w:val="right"/>
              <w:ind w:right="812"/>
              <w:spacing w:after="0" w:line="200" w:lineRule="exact"/>
              <w:rPr>
                <w:sz w:val="20"/>
                <w:szCs w:val="20"/>
                <w:color w:val="auto"/>
              </w:rPr>
            </w:pPr>
            <w:r>
              <w:rPr>
                <w:rFonts w:ascii="Arial" w:cs="Arial" w:eastAsia="Arial" w:hAnsi="Arial"/>
                <w:sz w:val="18"/>
                <w:szCs w:val="18"/>
                <w:color w:val="auto"/>
              </w:rPr>
              <w:t>$1,020</w:t>
            </w:r>
          </w:p>
        </w:tc>
      </w:tr>
      <w:tr>
        <w:trPr>
          <w:trHeight w:val="203"/>
        </w:trPr>
        <w:tc>
          <w:tcPr>
            <w:tcW w:w="2500" w:type="dxa"/>
            <w:vAlign w:val="bottom"/>
            <w:tcBorders>
              <w:left w:val="single" w:sz="8" w:color="auto"/>
            </w:tcBorders>
            <w:shd w:val="clear" w:color="auto" w:fill="CCCCCC"/>
          </w:tcPr>
          <w:p>
            <w:pPr>
              <w:jc w:val="right"/>
              <w:ind w:right="832"/>
              <w:spacing w:after="0" w:line="202" w:lineRule="exact"/>
              <w:rPr>
                <w:sz w:val="20"/>
                <w:szCs w:val="20"/>
                <w:color w:val="auto"/>
              </w:rPr>
            </w:pPr>
            <w:r>
              <w:rPr>
                <w:rFonts w:ascii="Arial" w:cs="Arial" w:eastAsia="Arial" w:hAnsi="Arial"/>
                <w:sz w:val="18"/>
                <w:szCs w:val="18"/>
                <w:color w:val="auto"/>
              </w:rPr>
              <w:t>1300.00</w:t>
            </w:r>
          </w:p>
        </w:tc>
        <w:tc>
          <w:tcPr>
            <w:tcW w:w="2300" w:type="dxa"/>
            <w:vAlign w:val="bottom"/>
            <w:shd w:val="clear" w:color="auto" w:fill="CCCCCC"/>
          </w:tcPr>
          <w:p>
            <w:pPr>
              <w:jc w:val="right"/>
              <w:ind w:right="632"/>
              <w:spacing w:after="0" w:line="202" w:lineRule="exact"/>
              <w:rPr>
                <w:sz w:val="20"/>
                <w:szCs w:val="20"/>
                <w:color w:val="auto"/>
              </w:rPr>
            </w:pPr>
            <w:r>
              <w:rPr>
                <w:rFonts w:ascii="Arial" w:cs="Arial" w:eastAsia="Arial" w:hAnsi="Arial"/>
                <w:sz w:val="18"/>
                <w:szCs w:val="18"/>
                <w:b w:val="1"/>
                <w:bCs w:val="1"/>
                <w:color w:val="auto"/>
              </w:rPr>
              <w:t>0.00%</w:t>
            </w:r>
          </w:p>
        </w:tc>
        <w:tc>
          <w:tcPr>
            <w:tcW w:w="2360" w:type="dxa"/>
            <w:vAlign w:val="bottom"/>
            <w:shd w:val="clear" w:color="auto" w:fill="CCCCCC"/>
          </w:tcPr>
          <w:p>
            <w:pPr>
              <w:jc w:val="right"/>
              <w:ind w:right="652"/>
              <w:spacing w:after="0" w:line="202" w:lineRule="exact"/>
              <w:rPr>
                <w:sz w:val="20"/>
                <w:szCs w:val="20"/>
                <w:color w:val="auto"/>
              </w:rPr>
            </w:pPr>
            <w:r>
              <w:rPr>
                <w:rFonts w:ascii="Arial" w:cs="Arial" w:eastAsia="Arial" w:hAnsi="Arial"/>
                <w:sz w:val="18"/>
                <w:szCs w:val="18"/>
                <w:b w:val="1"/>
                <w:bCs w:val="1"/>
                <w:color w:val="auto"/>
              </w:rPr>
              <w:t>0.00%</w:t>
            </w:r>
          </w:p>
        </w:tc>
        <w:tc>
          <w:tcPr>
            <w:tcW w:w="2440" w:type="dxa"/>
            <w:vAlign w:val="bottom"/>
            <w:tcBorders>
              <w:right w:val="single" w:sz="8" w:color="auto"/>
            </w:tcBorders>
            <w:shd w:val="clear" w:color="auto" w:fill="CCCCCC"/>
          </w:tcPr>
          <w:p>
            <w:pPr>
              <w:jc w:val="right"/>
              <w:ind w:right="812"/>
              <w:spacing w:after="0" w:line="202" w:lineRule="exact"/>
              <w:rPr>
                <w:sz w:val="20"/>
                <w:szCs w:val="20"/>
                <w:color w:val="auto"/>
              </w:rPr>
            </w:pPr>
            <w:r>
              <w:rPr>
                <w:rFonts w:ascii="Arial" w:cs="Arial" w:eastAsia="Arial" w:hAnsi="Arial"/>
                <w:sz w:val="18"/>
                <w:szCs w:val="18"/>
                <w:b w:val="1"/>
                <w:bCs w:val="1"/>
                <w:color w:val="auto"/>
              </w:rPr>
              <w:t>$1,000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1235.00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-5.00%</w:t>
            </w:r>
          </w:p>
        </w:tc>
        <w:tc>
          <w:tcPr>
            <w:tcW w:w="2360" w:type="dxa"/>
            <w:vAlign w:val="bottom"/>
            <w:shd w:val="clear" w:color="auto" w:fill="CCCCCC"/>
          </w:tcPr>
          <w:p>
            <w:pPr>
              <w:jc w:val="right"/>
              <w:ind w:right="652"/>
              <w:spacing w:after="0" w:line="202" w:lineRule="exact"/>
              <w:rPr>
                <w:sz w:val="20"/>
                <w:szCs w:val="20"/>
                <w:color w:val="auto"/>
              </w:rPr>
            </w:pPr>
            <w:r>
              <w:rPr>
                <w:rFonts w:ascii="Arial" w:cs="Arial" w:eastAsia="Arial" w:hAnsi="Arial"/>
                <w:sz w:val="18"/>
                <w:szCs w:val="18"/>
                <w:b w:val="1"/>
                <w:bCs w:val="1"/>
                <w:color w:val="auto"/>
              </w:rPr>
              <w:t>0.00%</w:t>
            </w:r>
          </w:p>
        </w:tc>
        <w:tc>
          <w:tcPr>
            <w:tcW w:w="2440" w:type="dxa"/>
            <w:vAlign w:val="bottom"/>
            <w:tcBorders>
              <w:right w:val="single" w:sz="8" w:color="auto"/>
            </w:tcBorders>
            <w:shd w:val="clear" w:color="auto" w:fill="CCCCCC"/>
          </w:tcPr>
          <w:p>
            <w:pPr>
              <w:jc w:val="right"/>
              <w:ind w:right="812"/>
              <w:spacing w:after="0" w:line="202" w:lineRule="exact"/>
              <w:rPr>
                <w:sz w:val="20"/>
                <w:szCs w:val="20"/>
                <w:color w:val="auto"/>
              </w:rPr>
            </w:pPr>
            <w:r>
              <w:rPr>
                <w:rFonts w:ascii="Arial" w:cs="Arial" w:eastAsia="Arial" w:hAnsi="Arial"/>
                <w:sz w:val="18"/>
                <w:szCs w:val="18"/>
                <w:b w:val="1"/>
                <w:bCs w:val="1"/>
                <w:color w:val="auto"/>
              </w:rPr>
              <w:t>$1,000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1170.00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-10.00%</w:t>
            </w:r>
          </w:p>
        </w:tc>
        <w:tc>
          <w:tcPr>
            <w:tcW w:w="2360" w:type="dxa"/>
            <w:vAlign w:val="bottom"/>
            <w:shd w:val="clear" w:color="auto" w:fill="CCCCCC"/>
          </w:tcPr>
          <w:p>
            <w:pPr>
              <w:jc w:val="right"/>
              <w:ind w:right="652"/>
              <w:spacing w:after="0" w:line="202" w:lineRule="exact"/>
              <w:rPr>
                <w:sz w:val="20"/>
                <w:szCs w:val="20"/>
                <w:color w:val="auto"/>
              </w:rPr>
            </w:pPr>
            <w:r>
              <w:rPr>
                <w:rFonts w:ascii="Arial" w:cs="Arial" w:eastAsia="Arial" w:hAnsi="Arial"/>
                <w:sz w:val="18"/>
                <w:szCs w:val="18"/>
                <w:b w:val="1"/>
                <w:bCs w:val="1"/>
                <w:color w:val="auto"/>
              </w:rPr>
              <w:t>0.00%</w:t>
            </w:r>
          </w:p>
        </w:tc>
        <w:tc>
          <w:tcPr>
            <w:tcW w:w="2440" w:type="dxa"/>
            <w:vAlign w:val="bottom"/>
            <w:tcBorders>
              <w:right w:val="single" w:sz="8" w:color="auto"/>
            </w:tcBorders>
            <w:shd w:val="clear" w:color="auto" w:fill="CCCCCC"/>
          </w:tcPr>
          <w:p>
            <w:pPr>
              <w:jc w:val="right"/>
              <w:ind w:right="812"/>
              <w:spacing w:after="0" w:line="202" w:lineRule="exact"/>
              <w:rPr>
                <w:sz w:val="20"/>
                <w:szCs w:val="20"/>
                <w:color w:val="auto"/>
              </w:rPr>
            </w:pPr>
            <w:r>
              <w:rPr>
                <w:rFonts w:ascii="Arial" w:cs="Arial" w:eastAsia="Arial" w:hAnsi="Arial"/>
                <w:sz w:val="18"/>
                <w:szCs w:val="18"/>
                <w:b w:val="1"/>
                <w:bCs w:val="1"/>
                <w:color w:val="auto"/>
              </w:rPr>
              <w:t>$1,000</w:t>
            </w:r>
          </w:p>
        </w:tc>
      </w:tr>
      <w:tr>
        <w:trPr>
          <w:trHeight w:val="206"/>
        </w:trPr>
        <w:tc>
          <w:tcPr>
            <w:tcW w:w="2500" w:type="dxa"/>
            <w:vAlign w:val="bottom"/>
            <w:tcBorders>
              <w:left w:val="single" w:sz="8" w:color="auto"/>
            </w:tcBorders>
          </w:tcPr>
          <w:p>
            <w:pPr>
              <w:jc w:val="right"/>
              <w:ind w:right="832"/>
              <w:spacing w:after="0" w:line="206" w:lineRule="exact"/>
              <w:rPr>
                <w:sz w:val="20"/>
                <w:szCs w:val="20"/>
                <w:color w:val="auto"/>
              </w:rPr>
            </w:pPr>
            <w:r>
              <w:rPr>
                <w:rFonts w:ascii="Arial" w:cs="Arial" w:eastAsia="Arial" w:hAnsi="Arial"/>
                <w:sz w:val="18"/>
                <w:szCs w:val="18"/>
                <w:color w:val="auto"/>
              </w:rPr>
              <w:t>1105.00</w:t>
            </w:r>
          </w:p>
        </w:tc>
        <w:tc>
          <w:tcPr>
            <w:tcW w:w="2300" w:type="dxa"/>
            <w:vAlign w:val="bottom"/>
          </w:tcPr>
          <w:p>
            <w:pPr>
              <w:jc w:val="right"/>
              <w:ind w:right="632"/>
              <w:spacing w:after="0" w:line="206" w:lineRule="exact"/>
              <w:rPr>
                <w:sz w:val="20"/>
                <w:szCs w:val="20"/>
                <w:color w:val="auto"/>
              </w:rPr>
            </w:pPr>
            <w:r>
              <w:rPr>
                <w:rFonts w:ascii="Arial" w:cs="Arial" w:eastAsia="Arial" w:hAnsi="Arial"/>
                <w:sz w:val="18"/>
                <w:szCs w:val="18"/>
                <w:color w:val="auto"/>
              </w:rPr>
              <w:t>-15.00%</w:t>
            </w:r>
          </w:p>
        </w:tc>
        <w:tc>
          <w:tcPr>
            <w:tcW w:w="2360" w:type="dxa"/>
            <w:vAlign w:val="bottom"/>
          </w:tcPr>
          <w:p>
            <w:pPr>
              <w:jc w:val="right"/>
              <w:ind w:right="652"/>
              <w:spacing w:after="0" w:line="206" w:lineRule="exact"/>
              <w:rPr>
                <w:sz w:val="20"/>
                <w:szCs w:val="20"/>
                <w:color w:val="auto"/>
              </w:rPr>
            </w:pPr>
            <w:r>
              <w:rPr>
                <w:rFonts w:ascii="Arial" w:cs="Arial" w:eastAsia="Arial" w:hAnsi="Arial"/>
                <w:sz w:val="18"/>
                <w:szCs w:val="18"/>
                <w:color w:val="auto"/>
              </w:rPr>
              <w:t>-5.00%</w:t>
            </w:r>
          </w:p>
        </w:tc>
        <w:tc>
          <w:tcPr>
            <w:tcW w:w="2440" w:type="dxa"/>
            <w:vAlign w:val="bottom"/>
            <w:tcBorders>
              <w:right w:val="single" w:sz="8" w:color="auto"/>
            </w:tcBorders>
          </w:tcPr>
          <w:p>
            <w:pPr>
              <w:jc w:val="right"/>
              <w:ind w:right="812"/>
              <w:spacing w:after="0" w:line="206" w:lineRule="exact"/>
              <w:rPr>
                <w:sz w:val="20"/>
                <w:szCs w:val="20"/>
                <w:color w:val="auto"/>
              </w:rPr>
            </w:pPr>
            <w:r>
              <w:rPr>
                <w:rFonts w:ascii="Arial" w:cs="Arial" w:eastAsia="Arial" w:hAnsi="Arial"/>
                <w:sz w:val="18"/>
                <w:szCs w:val="18"/>
                <w:color w:val="auto"/>
              </w:rPr>
              <w:t>$950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910.00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-30.00%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-20.00%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$800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780.00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-40.00%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-30.00%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$700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650.00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-50.00%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-40.00%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$600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520.00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-60.00%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-50.00%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$500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390.00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-70.00%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-60.00%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$400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260.00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-80.00%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-70.00%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$300</w:t>
            </w:r>
          </w:p>
        </w:tc>
      </w:tr>
      <w:tr>
        <w:trPr>
          <w:trHeight w:val="203"/>
        </w:trPr>
        <w:tc>
          <w:tcPr>
            <w:tcW w:w="2500" w:type="dxa"/>
            <w:vAlign w:val="bottom"/>
            <w:tcBorders>
              <w:left w:val="single" w:sz="8" w:color="auto"/>
            </w:tcBorders>
          </w:tcPr>
          <w:p>
            <w:pPr>
              <w:jc w:val="right"/>
              <w:ind w:right="832"/>
              <w:spacing w:after="0" w:line="202" w:lineRule="exact"/>
              <w:rPr>
                <w:sz w:val="20"/>
                <w:szCs w:val="20"/>
                <w:color w:val="auto"/>
              </w:rPr>
            </w:pPr>
            <w:r>
              <w:rPr>
                <w:rFonts w:ascii="Arial" w:cs="Arial" w:eastAsia="Arial" w:hAnsi="Arial"/>
                <w:sz w:val="18"/>
                <w:szCs w:val="18"/>
                <w:color w:val="auto"/>
              </w:rPr>
              <w:t>130.00</w:t>
            </w:r>
          </w:p>
        </w:tc>
        <w:tc>
          <w:tcPr>
            <w:tcW w:w="230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-90.00%</w:t>
            </w:r>
          </w:p>
        </w:tc>
        <w:tc>
          <w:tcPr>
            <w:tcW w:w="23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-80.00%</w:t>
            </w:r>
          </w:p>
        </w:tc>
        <w:tc>
          <w:tcPr>
            <w:tcW w:w="2440" w:type="dxa"/>
            <w:vAlign w:val="bottom"/>
            <w:tcBorders>
              <w:right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$200</w:t>
            </w:r>
          </w:p>
        </w:tc>
      </w:tr>
      <w:tr>
        <w:trPr>
          <w:trHeight w:val="199"/>
        </w:trPr>
        <w:tc>
          <w:tcPr>
            <w:tcW w:w="2500" w:type="dxa"/>
            <w:vAlign w:val="bottom"/>
            <w:tcBorders>
              <w:left w:val="single" w:sz="8" w:color="auto"/>
              <w:bottom w:val="single" w:sz="8" w:color="auto"/>
            </w:tcBorders>
          </w:tcPr>
          <w:p>
            <w:pPr>
              <w:jc w:val="right"/>
              <w:ind w:right="852"/>
              <w:spacing w:after="0" w:line="200" w:lineRule="exact"/>
              <w:rPr>
                <w:sz w:val="20"/>
                <w:szCs w:val="20"/>
                <w:color w:val="auto"/>
              </w:rPr>
            </w:pPr>
            <w:r>
              <w:rPr>
                <w:rFonts w:ascii="Arial" w:cs="Arial" w:eastAsia="Arial" w:hAnsi="Arial"/>
                <w:sz w:val="18"/>
                <w:szCs w:val="18"/>
                <w:color w:val="auto"/>
              </w:rPr>
              <w:t>0</w:t>
            </w:r>
          </w:p>
        </w:tc>
        <w:tc>
          <w:tcPr>
            <w:tcW w:w="2300" w:type="dxa"/>
            <w:vAlign w:val="bottom"/>
            <w:tcBorders>
              <w:bottom w:val="single" w:sz="8" w:color="auto"/>
            </w:tcBorders>
          </w:tcPr>
          <w:p>
            <w:pPr>
              <w:jc w:val="right"/>
              <w:ind w:right="632"/>
              <w:spacing w:after="0" w:line="200" w:lineRule="exact"/>
              <w:rPr>
                <w:sz w:val="20"/>
                <w:szCs w:val="20"/>
                <w:color w:val="auto"/>
              </w:rPr>
            </w:pPr>
            <w:r>
              <w:rPr>
                <w:rFonts w:ascii="Arial" w:cs="Arial" w:eastAsia="Arial" w:hAnsi="Arial"/>
                <w:sz w:val="18"/>
                <w:szCs w:val="18"/>
                <w:color w:val="auto"/>
              </w:rPr>
              <w:t>-100.00%</w:t>
            </w:r>
          </w:p>
        </w:tc>
        <w:tc>
          <w:tcPr>
            <w:tcW w:w="2360" w:type="dxa"/>
            <w:vAlign w:val="bottom"/>
            <w:tcBorders>
              <w:bottom w:val="single" w:sz="8" w:color="auto"/>
            </w:tcBorders>
          </w:tcPr>
          <w:p>
            <w:pPr>
              <w:jc w:val="right"/>
              <w:ind w:right="652"/>
              <w:spacing w:after="0" w:line="200" w:lineRule="exact"/>
              <w:rPr>
                <w:sz w:val="20"/>
                <w:szCs w:val="20"/>
                <w:color w:val="auto"/>
              </w:rPr>
            </w:pPr>
            <w:r>
              <w:rPr>
                <w:rFonts w:ascii="Arial" w:cs="Arial" w:eastAsia="Arial" w:hAnsi="Arial"/>
                <w:sz w:val="18"/>
                <w:szCs w:val="18"/>
                <w:color w:val="auto"/>
              </w:rPr>
              <w:t>-90.00%</w:t>
            </w:r>
          </w:p>
        </w:tc>
        <w:tc>
          <w:tcPr>
            <w:tcW w:w="2440" w:type="dxa"/>
            <w:vAlign w:val="bottom"/>
            <w:tcBorders>
              <w:bottom w:val="single" w:sz="8" w:color="auto"/>
              <w:right w:val="single" w:sz="8" w:color="auto"/>
            </w:tcBorders>
          </w:tcPr>
          <w:p>
            <w:pPr>
              <w:jc w:val="right"/>
              <w:ind w:right="812"/>
              <w:spacing w:after="0" w:line="200" w:lineRule="exact"/>
              <w:rPr>
                <w:sz w:val="20"/>
                <w:szCs w:val="20"/>
                <w:color w:val="auto"/>
              </w:rPr>
            </w:pPr>
            <w:r>
              <w:rPr>
                <w:rFonts w:ascii="Arial" w:cs="Arial" w:eastAsia="Arial" w:hAnsi="Arial"/>
                <w:sz w:val="18"/>
                <w:szCs w:val="18"/>
                <w:color w:val="auto"/>
              </w:rPr>
              <w:t>$100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Hypothetical Examples of Amounts Payable at Maturity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the total returns set forth in the table above are calculated.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The level of the Index increases from the Initial Index Level of 1300 to an Ending Index Level of 1365.</w:t>
      </w:r>
    </w:p>
    <w:p>
      <w:pPr>
        <w:spacing w:after="0" w:line="18"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Because the Ending Index Level of 1365 is greater than the Initial Index Level of 1300 and the Index Return of 5% multiplied by two does not exceed the hypothetical Maximum Return of 21.00%, the investor receives a payment at maturity of $1,100 per $1,000 principal amount note, calculated as follows:</w:t>
      </w:r>
    </w:p>
    <w:p>
      <w:pPr>
        <w:spacing w:after="0" w:line="4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$1,000 + [$1,000 × (5.00% × 2)] = $1,100</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The level of the Index decreases from the Initial Index Level of 1300 to an Ending Index Level of 1235.</w:t>
      </w:r>
    </w:p>
    <w:p>
      <w:pPr>
        <w:spacing w:after="0" w:line="1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Although the Index Return is negative, because the Ending Index Level of 1235 is less than the Initial Index Level of 1300 by not more than the Buffer Amount of 10%, the investor receives a payment at maturity of $1,000 per $1,000 principal amount note.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3: The level of the Index increases from the Initial Index Level of 1300 to an Ending Index Level of 1690.</w:t>
      </w:r>
    </w:p>
    <w:p>
      <w:pPr>
        <w:spacing w:after="0" w:line="18"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Because the Ending Index Level of 1690 is greater than the Initial Index Level of 1300 and the Index Return of 30% multiplied by two exceeds the hypothetical Maximum Return of 21.00%, the investor receives a payment at maturity of $1,210 per $1,000 principal amount note, the hypothetical maximum payment on the notes.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4: The level of the Index decreases from the Initial Index Level of 1300 to an Ending Index Level of 910.</w:t>
      </w:r>
    </w:p>
    <w:p>
      <w:pPr>
        <w:spacing w:after="0" w:line="18"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Because the Index Return is negative and the Ending Index Level of 910 is less than the Initial Index Level of 1300 by more than the Buffer Amount of 10%, the investor receives a payment at maturity of $800 per $1,000 principal amount note, calculated as follows:</w:t>
      </w:r>
    </w:p>
    <w:p>
      <w:pPr>
        <w:spacing w:after="0" w:line="4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$1,000 + [$1,000 × (-30% + 10%)] = $800</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5: The level of the Index decreases from the Initial Index Level of 1300 to an Ending Index Level of 0.</w:t>
      </w:r>
    </w:p>
    <w:p>
      <w:pPr>
        <w:spacing w:after="0" w:line="1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Because the Index Return is negative and the Ending Index Level of 0 is less than the Initial Index Level of 1300 by more than the Buffer Amount of 10%, the investor receives a payment at maturity of $100 per $1,000 principal amount note, calculated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20" w:type="dxa"/>
            <w:vAlign w:val="bottom"/>
          </w:tcPr>
          <w:p>
            <w:pPr>
              <w:jc w:val="right"/>
              <w:ind w:right="1552"/>
              <w:spacing w:after="0"/>
              <w:rPr>
                <w:sz w:val="20"/>
                <w:szCs w:val="20"/>
                <w:color w:val="auto"/>
              </w:rPr>
            </w:pPr>
            <w:r>
              <w:rPr>
                <w:rFonts w:ascii="Arial" w:cs="Arial" w:eastAsia="Arial" w:hAnsi="Arial"/>
                <w:sz w:val="18"/>
                <w:szCs w:val="18"/>
                <w:color w:val="auto"/>
              </w:rPr>
              <w:t>$1,000 + [$1,000 × (-100% + 10%)] = $100</w:t>
            </w:r>
          </w:p>
        </w:tc>
        <w:tc>
          <w:tcPr>
            <w:tcW w:w="2400" w:type="dxa"/>
            <w:vAlign w:val="bottom"/>
          </w:tcPr>
          <w:p>
            <w:pPr>
              <w:spacing w:after="0"/>
              <w:rPr>
                <w:sz w:val="18"/>
                <w:szCs w:val="18"/>
                <w:color w:val="auto"/>
              </w:rPr>
            </w:pPr>
          </w:p>
        </w:tc>
      </w:tr>
      <w:tr>
        <w:trPr>
          <w:trHeight w:val="137"/>
        </w:trPr>
        <w:tc>
          <w:tcPr>
            <w:tcW w:w="902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r>
      <w:tr>
        <w:trPr>
          <w:trHeight w:val="245"/>
        </w:trPr>
        <w:tc>
          <w:tcPr>
            <w:tcW w:w="9020" w:type="dxa"/>
            <w:vAlign w:val="bottom"/>
          </w:tcPr>
          <w:p>
            <w:pPr>
              <w:spacing w:after="0"/>
              <w:rPr>
                <w:sz w:val="20"/>
                <w:szCs w:val="20"/>
                <w:color w:val="auto"/>
              </w:rPr>
            </w:pPr>
            <w:r>
              <w:rPr>
                <w:rFonts w:ascii="Arial" w:cs="Arial" w:eastAsia="Arial" w:hAnsi="Arial"/>
                <w:sz w:val="18"/>
                <w:szCs w:val="18"/>
                <w:color w:val="92ABA4"/>
              </w:rPr>
              <w:t>JPMorgan Structured Investments —</w:t>
            </w:r>
          </w:p>
        </w:tc>
        <w:tc>
          <w:tcPr>
            <w:tcW w:w="2400" w:type="dxa"/>
            <w:vAlign w:val="bottom"/>
          </w:tcPr>
          <w:p>
            <w:pPr>
              <w:ind w:left="1620"/>
              <w:spacing w:after="0"/>
              <w:rPr>
                <w:sz w:val="20"/>
                <w:szCs w:val="20"/>
                <w:color w:val="auto"/>
              </w:rPr>
            </w:pPr>
            <w:r>
              <w:rPr>
                <w:rFonts w:ascii="Arial" w:cs="Arial" w:eastAsia="Arial" w:hAnsi="Arial"/>
                <w:sz w:val="18"/>
                <w:szCs w:val="18"/>
                <w:color w:val="92ABA4"/>
              </w:rPr>
              <w:t>TS-3</w:t>
            </w:r>
          </w:p>
        </w:tc>
      </w:tr>
      <w:tr>
        <w:trPr>
          <w:trHeight w:val="312"/>
        </w:trPr>
        <w:tc>
          <w:tcPr>
            <w:tcW w:w="9020" w:type="dxa"/>
            <w:vAlign w:val="bottom"/>
          </w:tcPr>
          <w:p>
            <w:pPr>
              <w:spacing w:after="0"/>
              <w:rPr>
                <w:sz w:val="20"/>
                <w:szCs w:val="20"/>
                <w:color w:val="auto"/>
              </w:rPr>
            </w:pPr>
            <w:r>
              <w:rPr>
                <w:rFonts w:ascii="Arial" w:cs="Arial" w:eastAsia="Arial" w:hAnsi="Arial"/>
                <w:sz w:val="18"/>
                <w:szCs w:val="18"/>
                <w:b w:val="1"/>
                <w:bCs w:val="1"/>
                <w:color w:val="648079"/>
              </w:rPr>
              <w:t>Buffered Return Enhanced Notes Linked to the S&amp;P 500</w:t>
            </w:r>
            <w:r>
              <w:rPr>
                <w:rFonts w:ascii="Arial" w:cs="Arial" w:eastAsia="Arial" w:hAnsi="Arial"/>
                <w:sz w:val="22"/>
                <w:szCs w:val="22"/>
                <w:b w:val="1"/>
                <w:bCs w:val="1"/>
                <w:color w:val="648079"/>
                <w:vertAlign w:val="superscript"/>
              </w:rPr>
              <w:t>®</w:t>
            </w:r>
            <w:r>
              <w:rPr>
                <w:rFonts w:ascii="Arial" w:cs="Arial" w:eastAsia="Arial" w:hAnsi="Arial"/>
                <w:sz w:val="18"/>
                <w:szCs w:val="18"/>
                <w:b w:val="1"/>
                <w:bCs w:val="1"/>
                <w:color w:val="648079"/>
              </w:rPr>
              <w:t xml:space="preserve"> Index</w:t>
            </w:r>
          </w:p>
        </w:tc>
        <w:tc>
          <w:tcPr>
            <w:tcW w:w="240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5" w:name="page6"/>
    <w:bookmarkEnd w:id="5"/>
    <w:p>
      <w:pPr>
        <w:jc w:val="both"/>
        <w:ind w:right="2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hypothetical returns and hypothetical payouts on the notes shown above do not reflect fees or expenses that would be associated with any sale in the secondary market. If these fees and expenses were included, the hypothetical returns and hypothetical payouts shown above would likely be lower.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w:t>
      </w:r>
    </w:p>
    <w:p>
      <w:pPr>
        <w:spacing w:after="0" w:line="7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graph sets forth the historical performance of the Index based on the weekly historical Index closing levels from January 5, 2007 through February 3, 2012. The Index closing level on February 3, 2012 was 1344.90. We obtained the Index closing levels below from Bloomberg Financial Markets. We make no representation or warranty as to the accuracy or completeness of the information obtained from Bloomberg Financial Markets.</w:t>
      </w:r>
    </w:p>
    <w:p>
      <w:pPr>
        <w:spacing w:after="0" w:line="4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historical levels of the Index should not be taken as an indication of future performance, and no assurance can be given as to the Index closing level on the pricing date or the Observation Date. We cannot give you assurance that the performance of the Index will result in the return of any of your initial investment in excess of $100 per $1,000 principal amount note, subject to the credit risk of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5984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246620" cy="2598420"/>
                    </a:xfrm>
                    <a:prstGeom prst="rect">
                      <a:avLst/>
                    </a:prstGeom>
                    <a:noFill/>
                  </pic:spPr>
                </pic:pic>
              </a:graphicData>
            </a:graphic>
          </wp:anchor>
        </w:drawing>
      </w:r>
    </w:p>
    <w:p>
      <w:pPr>
        <w:sectPr>
          <w:pgSz w:w="11900" w:h="16838" w:orient="portrait"/>
          <w:cols w:equalWidth="0" w:num="1">
            <w:col w:w="11300"/>
          </w:cols>
          <w:pgMar w:left="240" w:top="2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92ABA4"/>
        </w:rPr>
        <w:t>JPMorgan Structured Investments —</w:t>
      </w:r>
    </w:p>
    <w:p>
      <w:pPr>
        <w:spacing w:after="0"/>
        <w:rPr>
          <w:sz w:val="20"/>
          <w:szCs w:val="20"/>
          <w:color w:val="auto"/>
        </w:rPr>
      </w:pPr>
      <w:r>
        <w:rPr>
          <w:rFonts w:ascii="Arial" w:cs="Arial" w:eastAsia="Arial" w:hAnsi="Arial"/>
          <w:sz w:val="16"/>
          <w:szCs w:val="16"/>
          <w:b w:val="1"/>
          <w:bCs w:val="1"/>
          <w:color w:val="648079"/>
        </w:rPr>
        <w:t>Buffered Return Enhanced Notes Linked to the S&amp;P 500</w:t>
      </w:r>
      <w:r>
        <w:rPr>
          <w:rFonts w:ascii="Arial" w:cs="Arial" w:eastAsia="Arial" w:hAnsi="Arial"/>
          <w:sz w:val="10"/>
          <w:szCs w:val="10"/>
          <w:b w:val="1"/>
          <w:bCs w:val="1"/>
          <w:color w:val="648079"/>
        </w:rPr>
        <w:t>®</w:t>
      </w:r>
      <w:r>
        <w:rPr>
          <w:rFonts w:ascii="Arial" w:cs="Arial" w:eastAsia="Arial" w:hAnsi="Arial"/>
          <w:sz w:val="16"/>
          <w:szCs w:val="16"/>
          <w:b w:val="1"/>
          <w:bCs w:val="1"/>
          <w:color w:val="648079"/>
        </w:rPr>
        <w:t xml:space="preserve"> Index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92ABA4"/>
        </w:rPr>
        <w:t>TS-4</w:t>
      </w:r>
    </w:p>
    <w:sectPr>
      <w:pgSz w:w="11900" w:h="16838" w:orient="portrait"/>
      <w:cols w:equalWidth="0" w:num="2">
        <w:col w:w="9920" w:space="720"/>
        <w:col w:w="660"/>
      </w:cols>
      <w:pgMar w:left="240" w:top="29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emdash "/>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emdash "/>
      <w:numFmt w:val="bullet"/>
      <w:start w:val="1"/>
    </w:lvl>
  </w:abstractNum>
  <w:abstractNum w:abstractNumId="4">
    <w:nsid w:val="2EB141F2"/>
    <w:multiLevelType w:val="hybridMultilevel"/>
    <w:lvl w:ilvl="0">
      <w:lvlJc w:val="left"/>
      <w:lvlText w:val="\emdash "/>
      <w:numFmt w:val="bullet"/>
      <w:start w:val="1"/>
    </w:lvl>
  </w:abstractNum>
  <w:abstractNum w:abstractNumId="5">
    <w:nsid w:val="41B71EFB"/>
    <w:multiLevelType w:val="hybridMultilevel"/>
    <w:lvl w:ilvl="0">
      <w:lvlJc w:val="left"/>
      <w:lvlText w:val="\emdash "/>
      <w:numFmt w:val="bullet"/>
      <w:start w:val="1"/>
    </w:lvl>
  </w:abstractNum>
  <w:abstractNum w:abstractNumId="6">
    <w:nsid w:val="79E2A9E3"/>
    <w:multiLevelType w:val="hybridMultilevel"/>
    <w:lvl w:ilvl="0">
      <w:lvlJc w:val="left"/>
      <w:lvlText w:val="\emdash "/>
      <w:numFmt w:val="bullet"/>
      <w:start w:val="1"/>
    </w:lvl>
  </w:abstractNum>
  <w:abstractNum w:abstractNumId="7">
    <w:nsid w:val="7545E146"/>
    <w:multiLevelType w:val="hybridMultilevel"/>
    <w:lvl w:ilvl="0">
      <w:lvlJc w:val="left"/>
      <w:lvlText w:val="\emdash "/>
      <w:numFmt w:val="bullet"/>
      <w:start w:val="1"/>
    </w:lvl>
    <w:lvl w:ilvl="1">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13" Type="http://schemas.openxmlformats.org/officeDocument/2006/relationships/hyperlink" Target="http://www.sec.gov/Archives/edgar/data/19617/000089109211007593/e46160_424b2.pdf" TargetMode="External"/><Relationship Id="rId14" Type="http://schemas.openxmlformats.org/officeDocument/2006/relationships/hyperlink" Target="http://www.sec.gov/Archives/edgar/data/19617/000089109211007615/e46154_424b2.pdf" TargetMode="External"/><Relationship Id="rId15" Type="http://schemas.openxmlformats.org/officeDocument/2006/relationships/hyperlink" Target="http://www.sec.gov/Archives/edgar/data/19617/000089109211007578/e46180_424b2.pdf" TargetMode="External"/><Relationship Id="rId16" Type="http://schemas.openxmlformats.org/officeDocument/2006/relationships/hyperlink" Target="http://www.sec.gov/Archives/edgar/data/19617/000089109211007568/e46179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2019-12-09T05:29:11Z</dcterms:created>
  <dcterms:modified xsi:type="dcterms:W3CDTF">2019-12-09T05:29:11Z</dcterms:modified>
</cp:coreProperties>
</file>