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3240-01_fwp.htm"/>
      <w:bookmarkStart w:id="1" w:name="ksea030324001_fwp"/>
      <w:bookmarkStart w:id="2" w:name="ea0303240-01_fwp.htm"/>
      <w:bookmarkStart w:id="3" w:name="ksea030324001_fwp"/>
      <w:bookmarkEnd w:id="2"/>
      <w:bookmarkEnd w:id="3"/>
    </w:p>
    <w:tbl>
      <w:tblPr>
        <w:tblW w:w="10205" w:type="dxa"/>
        <w:jc w:val="left"/>
        <w:tblInd w:w="0" w:type="dxa"/>
        <w:tblLayout w:type="fixed"/>
        <w:tblCellMar>
          <w:top w:w="0" w:type="dxa"/>
          <w:left w:w="0" w:type="dxa"/>
          <w:bottom w:w="0" w:type="dxa"/>
          <w:right w:w="0" w:type="dxa"/>
        </w:tblCellMar>
      </w:tblPr>
      <w:tblGrid>
        <w:gridCol w:w="6097"/>
        <w:gridCol w:w="4108"/>
      </w:tblGrid>
      <w:tr>
        <w:trPr/>
        <w:tc>
          <w:tcPr>
            <w:tcW w:w="6097"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108"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097" w:type="dxa"/>
            <w:vMerge w:val="continue"/>
            <w:tcBorders/>
            <w:vAlign w:val="center"/>
          </w:tcPr>
          <w:p>
            <w:pPr>
              <w:pStyle w:val="Normal"/>
              <w:bidi w:val="0"/>
              <w:jc w:val="left"/>
              <w:rPr/>
            </w:pPr>
            <w:r>
              <w:rPr/>
            </w:r>
          </w:p>
        </w:tc>
        <w:tc>
          <w:tcPr>
            <w:tcW w:w="4108" w:type="dxa"/>
            <w:tcBorders/>
            <w:vAlign w:val="center"/>
          </w:tcPr>
          <w:p>
            <w:pPr>
              <w:pStyle w:val="TableContents"/>
              <w:bidi w:val="0"/>
              <w:spacing w:before="0" w:after="0"/>
              <w:ind w:left="0" w:right="360" w:hanging="0"/>
              <w:jc w:val="right"/>
              <w:rPr>
                <w:caps w:val="false"/>
                <w:smallCaps w:val="false"/>
              </w:rPr>
            </w:pPr>
            <w:r>
              <w:rPr>
                <w:caps w:val="false"/>
                <w:smallCaps w:val="false"/>
              </w:rPr>
              <w:drawing>
                <wp:inline distT="0" distB="0" distL="0" distR="0">
                  <wp:extent cx="174307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3810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Fixed Coupon and Fixed Percentage Buffered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Common Stock of Broadcom Inc., the Common Stock of Tesla, Inc., the Class A Common Stock of Meta Platforms, Inc. and the Common Stock of NVIDIA Corporation due September 4,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August 24, 2026 to Preliminary Pricing Supplement dated August 24, 2026</w:t>
            </w:r>
          </w:p>
        </w:tc>
      </w:tr>
    </w:tbl>
    <w:p>
      <w:pPr>
        <w:pStyle w:val="TextBody"/>
        <w:bidi w:val="0"/>
        <w:spacing w:before="0" w:after="2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468"/>
                              <w:gridCol w:w="8737"/>
                            </w:tblGrid>
                            <w:tr>
                              <w:trPr/>
                              <w:tc>
                                <w:tcPr>
                                  <w:tcW w:w="146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7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Broadcom Inc. (Bloomberg ticker: AVGO), the common stock of Tesla, Inc. (Bloomberg ticker: TSLA), the Class A common stock of Meta Platforms, Inc. (Bloomberg ticker: META) and the common stock of NVIDIA Corporation (Bloomberg ticker: NVDA)</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31, 2026</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4, 2029</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Payment:</w:t>
                                  </w:r>
                                </w:p>
                              </w:tc>
                              <w:tc>
                                <w:tcPr>
                                  <w:tcW w:w="87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each coupon payment date, you will receive a fixed coupon payment at a per annum rate equal to the coupon rate. Each “coupon payment”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coupon rate) / 12</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3</w:t>
                                  </w:r>
                                  <w:r>
                                    <w:rPr>
                                      <w:rFonts w:ascii="Georgia;Times;Serif" w:hAnsi="Georgia;Times;Serif"/>
                                      <w:b w:val="false"/>
                                      <w:i w:val="false"/>
                                      <w:caps w:val="false"/>
                                      <w:smallCaps w:val="false"/>
                                      <w:position w:val="5"/>
                                      <w:sz w:val="13"/>
                                      <w:sz w:val="16"/>
                                    </w:rPr>
                                    <w:t>rd</w:t>
                                  </w:r>
                                  <w:r>
                                    <w:rPr>
                                      <w:rFonts w:ascii="Georgia;Times;Serif" w:hAnsi="Georgia;Times;Serif"/>
                                      <w:b w:val="false"/>
                                      <w:i w:val="false"/>
                                      <w:caps w:val="false"/>
                                      <w:smallCaps w:val="false"/>
                                      <w:sz w:val="16"/>
                                    </w:rPr>
                                    <w:t xml:space="preserve"> day of each month, commencing October 2026 and ending September 2029, unless called earlier, </w:t>
                                  </w:r>
                                  <w:r>
                                    <w:rPr>
                                      <w:rFonts w:ascii="Georgia;Times;Serif" w:hAnsi="Georgia;Times;Serif"/>
                                      <w:b w:val="false"/>
                                      <w:i/>
                                      <w:caps w:val="false"/>
                                      <w:smallCaps w:val="false"/>
                                      <w:sz w:val="16"/>
                                    </w:rPr>
                                    <w:t>provided</w:t>
                                  </w:r>
                                  <w:r>
                                    <w:rPr>
                                      <w:rFonts w:ascii="Georgia;Times;Serif" w:hAnsi="Georgia;Times;Serif"/>
                                      <w:b w:val="false"/>
                                      <w:i w:val="false"/>
                                      <w:caps w:val="false"/>
                                      <w:smallCaps w:val="false"/>
                                      <w:sz w:val="16"/>
                                    </w:rPr>
                                    <w:t xml:space="preserve"> that the September 2029 coupon payment date will be the stated maturity date </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Rate:</w:t>
                                  </w:r>
                                </w:p>
                              </w:tc>
                              <w:tc>
                                <w:tcPr>
                                  <w:tcW w:w="8737"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14.00% per annum (to be provided in the pricing supplement)</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March 2027 to August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coupon payment.</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scheduled business day prior to each coupon payment date scheduled to occur from March 2027 and ending August 2029, </w:t>
                                  </w:r>
                                  <w:r>
                                    <w:rPr>
                                      <w:rFonts w:ascii="Georgia;Times;Serif" w:hAnsi="Georgia;Times;Serif"/>
                                      <w:b w:val="false"/>
                                      <w:i/>
                                      <w:caps w:val="false"/>
                                      <w:smallCaps w:val="false"/>
                                      <w:sz w:val="16"/>
                                    </w:rPr>
                                    <w:t>provided</w:t>
                                  </w:r>
                                  <w:r>
                                    <w:rPr>
                                      <w:rFonts w:ascii="Georgia;Times;Serif" w:hAnsi="Georgia;Times;Serif"/>
                                      <w:b w:val="false"/>
                                      <w:i w:val="false"/>
                                      <w:caps w:val="false"/>
                                      <w:smallCaps w:val="false"/>
                                      <w:sz w:val="16"/>
                                    </w:rPr>
                                    <w:t> that the August 2029 calculation day will be August 29, 2029.  We refer to August 29,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7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 + buffer amount)]</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“lowest performing Underlying Stock” will be the Underlying Stock with the lowest stock return on that calculation day.</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90% of its starting price</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468"/>
                        <w:gridCol w:w="8737"/>
                      </w:tblGrid>
                      <w:tr>
                        <w:trPr/>
                        <w:tc>
                          <w:tcPr>
                            <w:tcW w:w="146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7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Broadcom Inc. (Bloomberg ticker: AVGO), the common stock of Tesla, Inc. (Bloomberg ticker: TSLA), the Class A common stock of Meta Platforms, Inc. (Bloomberg ticker: META) and the common stock of NVIDIA Corporation (Bloomberg ticker: NVDA)</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31, 2026</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4, 2029</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Payment:</w:t>
                            </w:r>
                          </w:p>
                        </w:tc>
                        <w:tc>
                          <w:tcPr>
                            <w:tcW w:w="87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each coupon payment date, you will receive a fixed coupon payment at a per annum rate equal to the coupon rate. Each “coupon payment”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coupon rate) / 12</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3</w:t>
                            </w:r>
                            <w:r>
                              <w:rPr>
                                <w:rFonts w:ascii="Georgia;Times;Serif" w:hAnsi="Georgia;Times;Serif"/>
                                <w:b w:val="false"/>
                                <w:i w:val="false"/>
                                <w:caps w:val="false"/>
                                <w:smallCaps w:val="false"/>
                                <w:position w:val="5"/>
                                <w:sz w:val="13"/>
                                <w:sz w:val="16"/>
                              </w:rPr>
                              <w:t>rd</w:t>
                            </w:r>
                            <w:r>
                              <w:rPr>
                                <w:rFonts w:ascii="Georgia;Times;Serif" w:hAnsi="Georgia;Times;Serif"/>
                                <w:b w:val="false"/>
                                <w:i w:val="false"/>
                                <w:caps w:val="false"/>
                                <w:smallCaps w:val="false"/>
                                <w:sz w:val="16"/>
                              </w:rPr>
                              <w:t xml:space="preserve"> day of each month, commencing October 2026 and ending September 2029, unless called earlier, </w:t>
                            </w:r>
                            <w:r>
                              <w:rPr>
                                <w:rFonts w:ascii="Georgia;Times;Serif" w:hAnsi="Georgia;Times;Serif"/>
                                <w:b w:val="false"/>
                                <w:i/>
                                <w:caps w:val="false"/>
                                <w:smallCaps w:val="false"/>
                                <w:sz w:val="16"/>
                              </w:rPr>
                              <w:t>provided</w:t>
                            </w:r>
                            <w:r>
                              <w:rPr>
                                <w:rFonts w:ascii="Georgia;Times;Serif" w:hAnsi="Georgia;Times;Serif"/>
                                <w:b w:val="false"/>
                                <w:i w:val="false"/>
                                <w:caps w:val="false"/>
                                <w:smallCaps w:val="false"/>
                                <w:sz w:val="16"/>
                              </w:rPr>
                              <w:t xml:space="preserve"> that the September 2029 coupon payment date will be the stated maturity date </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Rate:</w:t>
                            </w:r>
                          </w:p>
                        </w:tc>
                        <w:tc>
                          <w:tcPr>
                            <w:tcW w:w="8737"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14.00% per annum (to be provided in the pricing supplement)</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March 2027 to August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coupon payment.</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scheduled business day prior to each coupon payment date scheduled to occur from March 2027 and ending August 2029, </w:t>
                            </w:r>
                            <w:r>
                              <w:rPr>
                                <w:rFonts w:ascii="Georgia;Times;Serif" w:hAnsi="Georgia;Times;Serif"/>
                                <w:b w:val="false"/>
                                <w:i/>
                                <w:caps w:val="false"/>
                                <w:smallCaps w:val="false"/>
                                <w:sz w:val="16"/>
                              </w:rPr>
                              <w:t>provided</w:t>
                            </w:r>
                            <w:r>
                              <w:rPr>
                                <w:rFonts w:ascii="Georgia;Times;Serif" w:hAnsi="Georgia;Times;Serif"/>
                                <w:b w:val="false"/>
                                <w:i w:val="false"/>
                                <w:caps w:val="false"/>
                                <w:smallCaps w:val="false"/>
                                <w:sz w:val="16"/>
                              </w:rPr>
                              <w:t> that the August 2029 calculation day will be August 29, 2029.  We refer to August 29,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4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7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 + buffer amount)]</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“lowest performing Underlying Stock” will be the Underlying Stock with the lowest stock return on that calculation day.</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90% of its starting price</w:t>
                            </w:r>
                          </w:p>
                        </w:tc>
                      </w:tr>
                      <w:tr>
                        <w:trPr/>
                        <w:tc>
                          <w:tcPr>
                            <w:tcW w:w="14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7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46661MCT9</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40" w:after="40"/>
                              <w:ind w:left="57" w:right="40" w:hanging="12"/>
                              <w:jc w:val="left"/>
                              <w:rPr>
                                <w:caps w:val="false"/>
                                <w:smallCaps w:val="false"/>
                                <w:color w:val="8F8F8F"/>
                              </w:rPr>
                            </w:pPr>
                            <w:r>
                              <w:rPr>
                                <w:caps w:val="false"/>
                                <w:smallCaps w:val="false"/>
                                <w:color w:val="8F8F8F"/>
                              </w:rPr>
                              <w:t> </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124200" cy="21431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124200" cy="2143125"/>
                                          </a:xfrm>
                                          <a:prstGeom prst="rect">
                                            <a:avLst/>
                                          </a:prstGeom>
                                        </pic:spPr>
                                      </pic:pic>
                                    </a:graphicData>
                                  </a:graphic>
                                </wp:inline>
                              </w:drawing>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some, and possibly up to 90%, of the principal amount of your securities at maturity.</w:t>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coupon payments. You will not participate in any appreciation of any Underlying Stock, but you will have 1-to-1 downside exposure to the lowest performing Underlying Stock on the final calculation day in excess of the buffer amount if its ending price is less than its threshold price.</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$953.80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40" w:after="40"/>
                              <w:ind w:left="130" w:right="40" w:hanging="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http://www.sec.gov/Archives/edgar/data/19617/000121390026093034/</w:t>
                                <w:br/>
                                <w:t>ea0303188-01_424b2.htm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46661MCT9</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40" w:after="40"/>
                        <w:ind w:left="57" w:right="40" w:hanging="12"/>
                        <w:jc w:val="left"/>
                        <w:rPr>
                          <w:caps w:val="false"/>
                          <w:smallCaps w:val="false"/>
                          <w:color w:val="8F8F8F"/>
                        </w:rPr>
                      </w:pPr>
                      <w:r>
                        <w:rPr>
                          <w:caps w:val="false"/>
                          <w:smallCaps w:val="false"/>
                          <w:color w:val="8F8F8F"/>
                        </w:rPr>
                        <w:t> </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124200" cy="21431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124200" cy="2143125"/>
                                    </a:xfrm>
                                    <a:prstGeom prst="rect">
                                      <a:avLst/>
                                    </a:prstGeom>
                                  </pic:spPr>
                                </pic:pic>
                              </a:graphicData>
                            </a:graphic>
                          </wp:inline>
                        </w:drawing>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some, and possibly up to 90%, of the principal amount of your securities at maturity.</w:t>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coupon payments. You will not participate in any appreciation of any Underlying Stock, but you will have 1-to-1 downside exposure to the lowest performing Underlying Stock on the final calculation day in excess of the buffer amount if its ending price is less than its threshold price.</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$953.80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40" w:after="40"/>
                        <w:ind w:left="130" w:right="40" w:hanging="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http://www.sec.gov/Archives/edgar/data/19617/000121390026093034/</w:t>
                          <w:br/>
                          <w:t>ea0303188-01_424b2.htm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837"/>
        <w:gridCol w:w="5368"/>
      </w:tblGrid>
      <w:tr>
        <w:trPr/>
        <w:tc>
          <w:tcPr>
            <w:tcW w:w="4837"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Up to 90%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Potential Return on the Securities Is Limited to the Sum of the Coupon Payments and You Will Not Participate in Any Appreciation of Any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 Stocks.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368"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Any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The Maturity Payment Amount Will Depend upon the Performance of Each Underlying Stock and Therefore the Securities Are Subject to the Risks Associated with Each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3034/ea0303188-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3034/ea0303188-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1710</Words>
  <Characters>9159</Characters>
  <CharactersWithSpaces>10900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