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6925-01_fwp.htm"/>
      <w:bookmarkStart w:id="1" w:name="ksea030692501_fwp"/>
      <w:bookmarkStart w:id="2" w:name="ea0306925-01_fwp.htm"/>
      <w:bookmarkStart w:id="3" w:name="ksea030692501_fwp"/>
      <w:bookmarkEnd w:id="2"/>
      <w:bookmarkEnd w:id="3"/>
    </w:p>
    <w:tbl>
      <w:tblPr>
        <w:tblW w:w="10205" w:type="dxa"/>
        <w:jc w:val="left"/>
        <w:tblInd w:w="0" w:type="dxa"/>
        <w:tblLayout w:type="fixed"/>
        <w:tblCellMar>
          <w:top w:w="0" w:type="dxa"/>
          <w:left w:w="0" w:type="dxa"/>
          <w:bottom w:w="0" w:type="dxa"/>
          <w:right w:w="0" w:type="dxa"/>
        </w:tblCellMar>
      </w:tblPr>
      <w:tblGrid>
        <w:gridCol w:w="5651"/>
        <w:gridCol w:w="4554"/>
      </w:tblGrid>
      <w:tr>
        <w:trPr/>
        <w:tc>
          <w:tcPr>
            <w:tcW w:w="5651"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554"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ind w:left="0" w:right="0" w:firstLine="72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5651" w:type="dxa"/>
            <w:vMerge w:val="continue"/>
            <w:tcBorders/>
            <w:vAlign w:val="center"/>
          </w:tcPr>
          <w:p>
            <w:pPr>
              <w:pStyle w:val="Normal"/>
              <w:bidi w:val="0"/>
              <w:jc w:val="left"/>
              <w:rPr/>
            </w:pPr>
            <w:r>
              <w:rPr/>
            </w:r>
          </w:p>
        </w:tc>
        <w:tc>
          <w:tcPr>
            <w:tcW w:w="4554" w:type="dxa"/>
            <w:tcBorders/>
            <w:vAlign w:val="center"/>
          </w:tcPr>
          <w:p>
            <w:pPr>
              <w:pStyle w:val="TableContents"/>
              <w:bidi w:val="0"/>
              <w:spacing w:before="0" w:after="283"/>
              <w:jc w:val="left"/>
              <w:rPr/>
            </w:pPr>
            <w:r>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Auto-Callable with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Lowest Performing of the Dow Jones Industrial Average</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the Russell 2000</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xml:space="preserve"> Index and the Nasdaq-100 Index</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xml:space="preserve"> due October 4,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September 28, 2026 to Preliminary Pricing Supplement dated September 28, 2026</w:t>
            </w:r>
          </w:p>
        </w:tc>
      </w:tr>
    </w:tbl>
    <w:p>
      <w:pPr>
        <w:pStyle w:val="TextBody"/>
        <w:bidi w:val="0"/>
        <w:ind w:left="36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 Jones Industrial Average</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INDU),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 and 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4,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the call date is greater than or equal to its starting level,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20.75%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4,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greater than its starting level:</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 × upside participation rate);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or equal to its starting level, but greater than or equal to its threshold level: $1,000; or</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the call date or the final calculation day, the Index with the lowest index return on that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Index, 75% of its starting level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the call date or the final calculation day and for each Index: (closing level on that day – starting level) / starting level</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46661PBW6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 Jones Industrial Average</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INDU),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 and 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4,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the call date is greater than or equal to its starting level,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20.75%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4,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greater than its starting level:</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 × upside participation rate);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or equal to its starting level, but greater than or equal to its threshold level: $1,000; or</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the call date or the final calculation day, the Index with the lowest index return on that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Index, 75% of its starting level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the call date or the final calculation day and for each Index: (closing level on that day – starting level) / starting level</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46661PBW6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700010"/>
                <wp:effectExtent l="0" t="0" r="0" b="0"/>
                <wp:wrapSquare wrapText="left"/>
                <wp:docPr id="3" name="Frame2"/>
                <a:graphic xmlns:a="http://schemas.openxmlformats.org/drawingml/2006/main">
                  <a:graphicData uri="http://schemas.microsoft.com/office/word/2010/wordprocessingShape">
                    <wps:wsp>
                      <wps:cNvSpPr txBox="1"/>
                      <wps:spPr>
                        <a:xfrm>
                          <a:off x="0" y="0"/>
                          <a:ext cx="3175000" cy="770001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524250" cy="2295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524250" cy="22955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closing level of the lowest performing Index on the call date significantly exceeds its starting level. If the securities are automatically called, you will not have the opportunity to participate in any appreciation of the lowest performing Index on the final calculation day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level of the lowest performing Index on the final calculation day is less than its threshold level, you will have full downside exposure to the decrease in the level of that Index from its starting level and you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$960.30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http://www.sec.gov/Archives/edgar/data/19617/000121390026104049/</w:t>
                                <w:br/>
                                <w:t>ea0306870-01_424b2.htm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06.3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524250" cy="2295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524250" cy="22955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closing level of the lowest performing Index on the call date significantly exceeds its starting level. If the securities are automatically called, you will not have the opportunity to participate in any appreciation of the lowest performing Index on the final calculation day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level of the lowest performing Index on the final calculation day is less than its threshold level, you will have full downside exposure to the decrease in the level of that Index from its starting level and you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$960.30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http://www.sec.gov/Archives/edgar/data/19617/000121390026104049/</w:t>
                          <w:br/>
                          <w:t>ea0306870-01_424b2.htm</w:t>
                        </w:r>
                      </w:hyperlink>
                    </w:p>
                  </w:txbxContent>
                </v:textbox>
                <w10:wrap type="square" side="left"/>
              </v:rect>
            </w:pict>
          </mc:Fallback>
        </mc:AlternateContent>
      </w:r>
    </w:p>
    <w:p>
      <w:pPr>
        <w:pStyle w:val="TextBody"/>
        <w:bidi w:val="0"/>
        <w:spacing w:before="60" w:after="60"/>
        <w:ind w:left="360"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360" w:right="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120"/>
        <w:gridCol w:w="5085"/>
      </w:tblGrid>
      <w:tr>
        <w:trPr/>
        <w:tc>
          <w:tcPr>
            <w:tcW w:w="5120"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Level of the Lowest Performing Index on the Final Calculation Day Is Less Than Its Threshold Level, You Will Lose More Than 25%,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Indices.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Level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085"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shd w:fill="FFFFFF" w:val="clear"/>
              </w:rPr>
              <w:t>JPMorgan Chase &amp; Co. Is Currently One of the Companies that Make Up the Dow Jones Industrial Average</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An Investment in the Securities Is Subject to Risks Associated with Small Capitalization Stocks with Respect to the Russell 2000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w:t>
            </w:r>
            <w:r>
              <w:rPr>
                <w:rFonts w:ascii="Georgia;Times;Serif" w:hAnsi="Georgia;Times;Serif"/>
                <w:b/>
                <w:i w:val="false"/>
                <w:caps w:val="false"/>
                <w:smallCaps w:val="false"/>
                <w:sz w:val="18"/>
              </w:rPr>
              <w:t xml:space="preserve">Securities </w:t>
            </w:r>
            <w:r>
              <w:rPr>
                <w:rFonts w:ascii="Georgia;Times;Serif" w:hAnsi="Georgia;Times;Serif"/>
                <w:b/>
                <w:i w:val="false"/>
                <w:caps w:val="false"/>
                <w:smallCaps w:val="false"/>
                <w:sz w:val="18"/>
                <w:shd w:fill="FFFFFF" w:val="clear"/>
              </w:rPr>
              <w:t>Are Subject to Non-U.S. Securities Risk with Respect to the Nasdaq-100 Index</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Any Payment on the Securities Will Depend upon the Performance of Each Index and Therefore the Securities Are Subject to the Risks Associated with Each Index,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60"/>
        <w:jc w:val="left"/>
        <w:rPr>
          <w:caps w:val="false"/>
          <w:smallCaps w:val="false"/>
          <w:color w:val="8F8F8F"/>
        </w:rPr>
      </w:pPr>
      <w:r>
        <w:rPr>
          <w:caps w:val="false"/>
          <w:smallCaps w:val="false"/>
          <w:color w:val="8F8F8F"/>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4049/ea0306870-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4049/ea0306870-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1658</Words>
  <Characters>8857</Characters>
  <CharactersWithSpaces>10558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