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JPMP CAPITAL CORP</w:t>
              </w:r>
            </w:hyperlink>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CMGI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CMGI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(Last)</w:t>
            </w:r>
          </w:p>
        </w:tc>
        <w:tc>
          <w:tcPr>
            <w:tcW w:w="54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40"/>
              <w:spacing w:after="0" w:line="148" w:lineRule="exact"/>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line="148"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8"/>
          </w:tcPr>
          <w:p>
            <w:pPr>
              <w:spacing w:after="0"/>
              <w:rPr>
                <w:sz w:val="20"/>
                <w:szCs w:val="20"/>
                <w:color w:val="auto"/>
              </w:rPr>
            </w:pPr>
            <w:r>
              <w:rPr>
                <w:rFonts w:ascii="Arial" w:cs="Arial" w:eastAsia="Arial" w:hAnsi="Arial"/>
                <w:sz w:val="18"/>
                <w:szCs w:val="18"/>
                <w:color w:val="0000FF"/>
              </w:rPr>
              <w:t>C/O J.P. MORGAN PARTNERS, LLC</w:t>
            </w:r>
          </w:p>
        </w:tc>
        <w:tc>
          <w:tcPr>
            <w:tcW w:w="1140" w:type="dxa"/>
            <w:vAlign w:val="bottom"/>
            <w:gridSpan w:val="7"/>
          </w:tcPr>
          <w:p>
            <w:pPr>
              <w:ind w:left="160"/>
              <w:spacing w:after="0"/>
              <w:rPr>
                <w:sz w:val="20"/>
                <w:szCs w:val="20"/>
                <w:color w:val="auto"/>
              </w:rPr>
            </w:pPr>
            <w:r>
              <w:rPr>
                <w:rFonts w:ascii="Arial" w:cs="Arial" w:eastAsia="Arial" w:hAnsi="Arial"/>
                <w:sz w:val="18"/>
                <w:szCs w:val="18"/>
                <w:color w:val="0000FF"/>
              </w:rPr>
              <w:t>08/18/2004</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0" w:type="dxa"/>
            <w:vAlign w:val="bottom"/>
            <w:gridSpan w:val="8"/>
          </w:tcPr>
          <w:p>
            <w:pPr>
              <w:spacing w:after="0"/>
              <w:rPr>
                <w:sz w:val="20"/>
                <w:szCs w:val="20"/>
                <w:color w:val="auto"/>
              </w:rPr>
            </w:pPr>
            <w:r>
              <w:rPr>
                <w:rFonts w:ascii="Arial" w:cs="Arial" w:eastAsia="Arial" w:hAnsi="Arial"/>
                <w:sz w:val="18"/>
                <w:szCs w:val="18"/>
                <w:color w:val="0000FF"/>
              </w:rPr>
              <w:t>1221 AVENUE OF THE AMERICAS 40TH</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restart"/>
          </w:tcPr>
          <w:p>
            <w:pPr>
              <w:spacing w:after="0"/>
              <w:rPr>
                <w:sz w:val="20"/>
                <w:szCs w:val="20"/>
                <w:color w:val="auto"/>
              </w:rPr>
            </w:pPr>
            <w:r>
              <w:rPr>
                <w:rFonts w:ascii="Arial" w:cs="Arial" w:eastAsia="Arial" w:hAnsi="Arial"/>
                <w:sz w:val="18"/>
                <w:szCs w:val="18"/>
                <w:color w:val="0000FF"/>
              </w:rPr>
              <w:t>FLOOR</w:t>
            </w: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2200" w:type="dxa"/>
            <w:vAlign w:val="bottom"/>
            <w:tcBorders>
              <w:bottom w:val="single" w:sz="8" w:color="2C2C2C"/>
            </w:tcBorders>
            <w:gridSpan w:val="4"/>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240" w:type="dxa"/>
            <w:vAlign w:val="bottom"/>
            <w:tcBorders>
              <w:bottom w:val="single" w:sz="8" w:color="2C2C2C"/>
            </w:tcBorders>
            <w:gridSpan w:val="5"/>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11"/>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6"/>
                <w:szCs w:val="16"/>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140" w:type="dxa"/>
            <w:vAlign w:val="bottom"/>
            <w:gridSpan w:val="7"/>
            <w:vMerge w:val="restart"/>
          </w:tcPr>
          <w:p>
            <w:pPr>
              <w:ind w:left="160"/>
              <w:spacing w:after="0"/>
              <w:rPr>
                <w:sz w:val="20"/>
                <w:szCs w:val="20"/>
                <w:color w:val="auto"/>
              </w:rPr>
            </w:pPr>
            <w:r>
              <w:rPr>
                <w:rFonts w:ascii="Arial" w:cs="Arial" w:eastAsia="Arial" w:hAnsi="Arial"/>
                <w:sz w:val="18"/>
                <w:szCs w:val="18"/>
                <w:color w:val="0000FF"/>
              </w:rPr>
              <w:t>08/20/2004</w:t>
            </w:r>
          </w:p>
        </w:tc>
        <w:tc>
          <w:tcPr>
            <w:tcW w:w="50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vMerge w:val="restart"/>
          </w:tcPr>
          <w:p>
            <w:pPr>
              <w:spacing w:after="0"/>
              <w:rPr>
                <w:sz w:val="11"/>
                <w:szCs w:val="11"/>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29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300" w:type="dxa"/>
            <w:vAlign w:val="bottom"/>
            <w:gridSpan w:val="3"/>
            <w:vMerge w:val="restart"/>
          </w:tcPr>
          <w:p>
            <w:pPr>
              <w:ind w:left="40"/>
              <w:spacing w:after="0"/>
              <w:rPr>
                <w:sz w:val="20"/>
                <w:szCs w:val="20"/>
                <w:color w:val="auto"/>
              </w:rPr>
            </w:pPr>
            <w:r>
              <w:rPr>
                <w:rFonts w:ascii="Arial" w:cs="Arial" w:eastAsia="Arial" w:hAnsi="Arial"/>
                <w:sz w:val="18"/>
                <w:szCs w:val="18"/>
                <w:color w:val="0000FF"/>
              </w:rPr>
              <w:t>NY</w:t>
            </w:r>
          </w:p>
        </w:tc>
        <w:tc>
          <w:tcPr>
            <w:tcW w:w="1200" w:type="dxa"/>
            <w:vAlign w:val="bottom"/>
            <w:gridSpan w:val="2"/>
            <w:vMerge w:val="restart"/>
          </w:tcPr>
          <w:p>
            <w:pPr>
              <w:spacing w:after="0"/>
              <w:rPr>
                <w:sz w:val="20"/>
                <w:szCs w:val="20"/>
                <w:color w:val="auto"/>
              </w:rPr>
            </w:pPr>
            <w:r>
              <w:rPr>
                <w:rFonts w:ascii="Arial" w:cs="Arial" w:eastAsia="Arial" w:hAnsi="Arial"/>
                <w:sz w:val="18"/>
                <w:szCs w:val="18"/>
                <w:color w:val="0000FF"/>
              </w:rPr>
              <w:t>10020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gridSpan w:val="2"/>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(City)</w:t>
            </w:r>
          </w:p>
        </w:tc>
        <w:tc>
          <w:tcPr>
            <w:tcW w:w="54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gridSpan w:val="2"/>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560" w:type="dxa"/>
            <w:vAlign w:val="bottom"/>
            <w:tcBorders>
              <w:bottom w:val="single" w:sz="8" w:color="2C2C2C"/>
            </w:tcBorders>
            <w:gridSpan w:val="2"/>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22"/>
          </w:tcPr>
          <w:p>
            <w:pPr>
              <w:jc w:val="center"/>
              <w:ind w:right="4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80" w:type="dxa"/>
            <w:vAlign w:val="bottom"/>
          </w:tcPr>
          <w:p>
            <w:pPr>
              <w:spacing w:after="0"/>
              <w:rPr>
                <w:sz w:val="15"/>
                <w:szCs w:val="15"/>
                <w:color w:val="auto"/>
              </w:rPr>
            </w:pPr>
          </w:p>
        </w:tc>
        <w:tc>
          <w:tcPr>
            <w:tcW w:w="1820" w:type="dxa"/>
            <w:vAlign w:val="bottom"/>
            <w:gridSpan w:val="6"/>
          </w:tcPr>
          <w:p>
            <w:pPr>
              <w:ind w:left="6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6"/>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Common Stock, .01 par value</w:t>
            </w:r>
          </w:p>
        </w:tc>
        <w:tc>
          <w:tcPr>
            <w:tcW w:w="1800" w:type="dxa"/>
            <w:vAlign w:val="bottom"/>
            <w:tcBorders>
              <w:bottom w:val="single" w:sz="8" w:color="2C2C2C"/>
            </w:tcBorders>
            <w:gridSpan w:val="6"/>
          </w:tcPr>
          <w:p>
            <w:pPr>
              <w:jc w:val="right"/>
              <w:ind w:right="75"/>
              <w:spacing w:after="0"/>
              <w:rPr>
                <w:sz w:val="20"/>
                <w:szCs w:val="20"/>
                <w:color w:val="auto"/>
              </w:rPr>
            </w:pPr>
            <w:r>
              <w:rPr>
                <w:rFonts w:ascii="Arial" w:cs="Arial" w:eastAsia="Arial" w:hAnsi="Arial"/>
                <w:sz w:val="18"/>
                <w:szCs w:val="18"/>
                <w:color w:val="0000FF"/>
              </w:rPr>
              <w:t>08/18/2004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11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329,777</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center"/>
              <w:ind w:right="3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1.17</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4,878,860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Common Stock, .01 par value</w:t>
            </w:r>
          </w:p>
        </w:tc>
        <w:tc>
          <w:tcPr>
            <w:tcW w:w="1800" w:type="dxa"/>
            <w:vAlign w:val="bottom"/>
            <w:tcBorders>
              <w:bottom w:val="single" w:sz="8" w:color="2C2C2C"/>
            </w:tcBorders>
            <w:gridSpan w:val="6"/>
          </w:tcPr>
          <w:p>
            <w:pPr>
              <w:jc w:val="right"/>
              <w:ind w:right="75"/>
              <w:spacing w:after="0"/>
              <w:rPr>
                <w:sz w:val="20"/>
                <w:szCs w:val="20"/>
                <w:color w:val="auto"/>
              </w:rPr>
            </w:pPr>
            <w:r>
              <w:rPr>
                <w:rFonts w:ascii="Arial" w:cs="Arial" w:eastAsia="Arial" w:hAnsi="Arial"/>
                <w:sz w:val="18"/>
                <w:szCs w:val="18"/>
                <w:color w:val="0000FF"/>
              </w:rPr>
              <w:t>08/19/2004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11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200,221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center"/>
              <w:ind w:right="7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4,678,639</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21"/>
          </w:tcPr>
          <w:p>
            <w:pPr>
              <w:jc w:val="center"/>
              <w:ind w:left="2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20" w:type="dxa"/>
            <w:vAlign w:val="bottom"/>
            <w:gridSpan w:val="18"/>
          </w:tcPr>
          <w:p>
            <w:pPr>
              <w:jc w:val="center"/>
              <w:ind w:left="17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8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JPMP CAPITAL CORP</w:t>
              </w:r>
            </w:hyperlink>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80" w:type="dxa"/>
            <w:vAlign w:val="bottom"/>
          </w:tcPr>
          <w:p>
            <w:pPr>
              <w:spacing w:after="0"/>
              <w:rPr>
                <w:sz w:val="24"/>
                <w:szCs w:val="2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8"/>
          </w:tcPr>
          <w:p>
            <w:pPr>
              <w:spacing w:after="0"/>
              <w:rPr>
                <w:sz w:val="20"/>
                <w:szCs w:val="20"/>
                <w:color w:val="auto"/>
              </w:rPr>
            </w:pPr>
            <w:r>
              <w:rPr>
                <w:rFonts w:ascii="Arial" w:cs="Arial" w:eastAsia="Arial" w:hAnsi="Arial"/>
                <w:sz w:val="18"/>
                <w:szCs w:val="18"/>
                <w:color w:val="0000FF"/>
              </w:rPr>
              <w:t>C/O J.P. MORGAN PARTNERS, LLC</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gridSpan w:val="8"/>
          </w:tcPr>
          <w:p>
            <w:pPr>
              <w:spacing w:after="0"/>
              <w:rPr>
                <w:sz w:val="20"/>
                <w:szCs w:val="20"/>
                <w:color w:val="auto"/>
              </w:rPr>
            </w:pPr>
            <w:r>
              <w:rPr>
                <w:rFonts w:ascii="Arial" w:cs="Arial" w:eastAsia="Arial" w:hAnsi="Arial"/>
                <w:sz w:val="18"/>
                <w:szCs w:val="18"/>
                <w:color w:val="0000FF"/>
                <w:w w:val="93"/>
              </w:rPr>
              <w:t>1221 AVENUE OF THE AMERICAS 40TH FLOOR</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10020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80" w:type="dxa"/>
            <w:vAlign w:val="bottom"/>
          </w:tcPr>
          <w:p>
            <w:pPr>
              <w:spacing w:after="0"/>
              <w:rPr>
                <w:sz w:val="24"/>
                <w:szCs w:val="2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52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J P MORGAN CHASE &amp; CO</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80" w:type="dxa"/>
            <w:vAlign w:val="bottom"/>
          </w:tcPr>
          <w:p>
            <w:pPr>
              <w:spacing w:after="0"/>
              <w:rPr>
                <w:sz w:val="24"/>
                <w:szCs w:val="2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w w:val="97"/>
              </w:rPr>
              <w:t>270 PARK AVE</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0"/>
                <w:szCs w:val="20"/>
                <w:color w:val="auto"/>
              </w:rPr>
            </w:pPr>
            <w:r>
              <w:rPr>
                <w:rFonts w:ascii="Arial" w:cs="Arial" w:eastAsia="Arial" w:hAnsi="Arial"/>
                <w:sz w:val="18"/>
                <w:szCs w:val="18"/>
                <w:color w:val="0000FF"/>
                <w:w w:val="97"/>
              </w:rPr>
              <w:t>39TH FL</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10017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80" w:type="dxa"/>
            <w:vAlign w:val="bottom"/>
          </w:tcPr>
          <w:p>
            <w:pPr>
              <w:spacing w:after="0"/>
              <w:rPr>
                <w:sz w:val="24"/>
                <w:szCs w:val="2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JP MORGAN PARTNERS BHCA LP</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091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091180"/>
                    </a:xfrm>
                    <a:prstGeom prst="rect">
                      <a:avLst/>
                    </a:prstGeom>
                    <a:noFill/>
                  </pic:spPr>
                </pic:pic>
              </a:graphicData>
            </a:graphic>
          </wp:anchor>
        </w:drawing>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J.P. MORGAN PARTNERS</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1221 AVENUE OF THE AMERICAS 40TH FLOOR</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10020</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JPMP MASTER FUND MANAGER L P</w:t>
        </w:r>
      </w:hyperlink>
    </w:p>
    <w:p>
      <w:pPr>
        <w:spacing w:after="0" w:line="317" w:lineRule="exact"/>
        <w:rPr>
          <w:sz w:val="20"/>
          <w:szCs w:val="20"/>
          <w:color w:val="auto"/>
        </w:rPr>
      </w:pPr>
    </w:p>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JP MORGAN PARTNERS LLC</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1221 AVENUE OF THE AMERICAS 40TH FLOOR</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10020</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73"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party to a certain Stock Transfer Agreement dated as of March 23, 2004 and a certain Stock Selling Agreement dated as of August 2, 2004 (collectively, the "Selling Stockholder Agreements"). As a result thereof, the Reporting Person, Timothy M. Adams, Bain Capital Fund IV, L.P., Bain Capital Partners V, L.P., BankAmerica Investment Corporation, BCIP Associates, BCIP Trust Associates, L.P., BCIP Trust Associates II, BCIP Trust Associates II-B, BCM Capital Partners, L.P., Daniel F. Beck, Canpartners Investments IV, LLC, Rory J. Cowan, Robert T. Dechant, Enterprise Associates, LLC, Vahram V. Erdekian, Sheila M. Flaherty, Fleet National Bank, Trustee of the Alexander S. Moore Trust dated 6/5/96, Fleet National Bank, Trustee of the Abegail L. Moore Trust dated 6/5/96, Harding Holdings, Inc., Information Partners, Deborah A. Keeman, Jeremiah Kelly, Linwood A. Lacy, Terence M. Leahy, Stephen D.R. Moore, (footnotes continued under "Remarks")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right="40"/>
        <w:spacing w:after="0" w:line="273" w:lineRule="auto"/>
        <w:rPr>
          <w:sz w:val="20"/>
          <w:szCs w:val="20"/>
          <w:color w:val="auto"/>
        </w:rPr>
      </w:pPr>
      <w:r>
        <w:rPr>
          <w:rFonts w:ascii="Arial" w:cs="Arial" w:eastAsia="Arial" w:hAnsi="Arial"/>
          <w:sz w:val="12"/>
          <w:szCs w:val="12"/>
          <w:color w:val="008000"/>
        </w:rPr>
        <w:t>R. Scott Murray, OCM Mezzanine Fund, L.P., Nicholas G. Nomicos, Morton H. Rosenthal, Sankaty Credit Opportunities, L.P., Sankaty High Yield Partners II, L.P., Sankaty High Yield Partners III, L.P., W. Ken Southerland, Randy S. Stone, David A. Tanner and The Murray 2003 Qualified Annuity Trust (the other parties to the Selling Stockholder Agreements) may be deemed to constitute a "group" for purposes of Section 13(d)(3) of the Securities Exchange Act of 1932, as amended (the "Act") with respect to shares of the Issuer's Common Stock representing 12.86% of the Issuer's Common Stock as of August 19, 2004. The Reporting Person disclaims beneficial ownership of any securities held by any other party to the Selling Stockholder Agreements and the filing of this Form 3 shall not be deemed an admission that the Reporting Person or any other person or persons party to the Selling Shareholders Agreements constitute a "group" for purposes of Section 13(d)(3) of the Act or Rule 13d-5 thereunder. See Exhibit 99.1</w:t>
      </w:r>
    </w:p>
    <w:p>
      <w:pPr>
        <w:sectPr>
          <w:pgSz w:w="11900" w:h="16838" w:orient="portrait"/>
          <w:cols w:equalWidth="0" w:num="1">
            <w:col w:w="11340"/>
          </w:cols>
          <w:pgMar w:left="280" w:top="140" w:right="279" w:bottom="1440" w:gutter="0" w:footer="0" w:header="0"/>
        </w:sectPr>
      </w:pPr>
    </w:p>
    <w:p>
      <w:pPr>
        <w:spacing w:after="0" w:line="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J.P. Morgan Partners (BHCA),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60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36017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L.P. By: JPMP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509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Manager, L.P., as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25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2522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partner By: JPMP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487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Corp., as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7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877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Thomas Syzmoniak,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1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8143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President and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40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401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4210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42100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118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color w:val="0000FF"/>
        </w:rPr>
        <w:t>08/24/2004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8980" w:space="140"/>
            <w:col w:w="2220"/>
          </w:cols>
          <w:pgMar w:left="280" w:top="140" w:right="27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40"/>
          </w:cols>
          <w:pgMar w:left="280" w:top="140" w:right="279" w:bottom="1440" w:gutter="0" w:footer="0" w:header="0"/>
          <w:type w:val="continuous"/>
        </w:sectPr>
      </w:pPr>
    </w:p>
    <w:bookmarkStart w:id="2" w:name="page3"/>
    <w:bookmarkEnd w:id="2"/>
    <w:p>
      <w:pPr>
        <w:ind w:left="10520"/>
        <w:spacing w:after="0"/>
        <w:rPr>
          <w:sz w:val="20"/>
          <w:szCs w:val="20"/>
          <w:color w:val="auto"/>
        </w:rPr>
      </w:pPr>
      <w:r>
        <w:rPr>
          <w:rFonts w:ascii="Arial" w:cs="Arial" w:eastAsia="Arial" w:hAnsi="Arial"/>
          <w:sz w:val="16"/>
          <w:szCs w:val="16"/>
          <w:b w:val="1"/>
          <w:bCs w:val="1"/>
          <w:color w:val="auto"/>
        </w:rPr>
        <w:t>Exhibit 99.1</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2180" w:type="dxa"/>
            <w:vAlign w:val="bottom"/>
            <w:tcBorders>
              <w:top w:val="single" w:sz="8" w:color="auto"/>
              <w:left w:val="single" w:sz="8" w:color="auto"/>
              <w:right w:val="single" w:sz="8" w:color="auto"/>
            </w:tcBorders>
          </w:tcPr>
          <w:p>
            <w:pPr>
              <w:spacing w:after="0"/>
              <w:rPr>
                <w:sz w:val="23"/>
                <w:szCs w:val="23"/>
                <w:color w:val="auto"/>
              </w:rPr>
            </w:pPr>
          </w:p>
        </w:tc>
        <w:tc>
          <w:tcPr>
            <w:tcW w:w="1000" w:type="dxa"/>
            <w:vAlign w:val="bottom"/>
            <w:tcBorders>
              <w:top w:val="single" w:sz="8" w:color="auto"/>
              <w:right w:val="single" w:sz="8" w:color="auto"/>
            </w:tcBorders>
          </w:tcPr>
          <w:p>
            <w:pPr>
              <w:spacing w:after="0"/>
              <w:rPr>
                <w:sz w:val="23"/>
                <w:szCs w:val="23"/>
                <w:color w:val="auto"/>
              </w:rPr>
            </w:pPr>
          </w:p>
        </w:tc>
        <w:tc>
          <w:tcPr>
            <w:tcW w:w="1020" w:type="dxa"/>
            <w:vAlign w:val="bottom"/>
            <w:tcBorders>
              <w:top w:val="single" w:sz="8" w:color="auto"/>
              <w:right w:val="single" w:sz="8" w:color="auto"/>
            </w:tcBorders>
          </w:tcPr>
          <w:p>
            <w:pPr>
              <w:spacing w:after="0"/>
              <w:rPr>
                <w:sz w:val="23"/>
                <w:szCs w:val="23"/>
                <w:color w:val="auto"/>
              </w:rPr>
            </w:pPr>
          </w:p>
        </w:tc>
        <w:tc>
          <w:tcPr>
            <w:tcW w:w="1460" w:type="dxa"/>
            <w:vAlign w:val="bottom"/>
            <w:tcBorders>
              <w:top w:val="single" w:sz="8" w:color="auto"/>
              <w:right w:val="single" w:sz="8" w:color="auto"/>
            </w:tcBorders>
          </w:tcPr>
          <w:p>
            <w:pPr>
              <w:spacing w:after="0"/>
              <w:rPr>
                <w:sz w:val="23"/>
                <w:szCs w:val="23"/>
                <w:color w:val="auto"/>
              </w:rPr>
            </w:pPr>
          </w:p>
        </w:tc>
        <w:tc>
          <w:tcPr>
            <w:tcW w:w="1260" w:type="dxa"/>
            <w:vAlign w:val="bottom"/>
            <w:tcBorders>
              <w:top w:val="single" w:sz="8" w:color="auto"/>
              <w:right w:val="single" w:sz="8" w:color="auto"/>
            </w:tcBorders>
          </w:tcPr>
          <w:p>
            <w:pPr>
              <w:spacing w:after="0"/>
              <w:rPr>
                <w:sz w:val="23"/>
                <w:szCs w:val="23"/>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 of</w:t>
            </w:r>
          </w:p>
        </w:tc>
        <w:tc>
          <w:tcPr>
            <w:tcW w:w="1140" w:type="dxa"/>
            <w:vAlign w:val="bottom"/>
            <w:tcBorders>
              <w:top w:val="single" w:sz="8" w:color="auto"/>
              <w:right w:val="single" w:sz="8" w:color="auto"/>
            </w:tcBorders>
          </w:tcPr>
          <w:p>
            <w:pPr>
              <w:spacing w:after="0"/>
              <w:rPr>
                <w:sz w:val="23"/>
                <w:szCs w:val="23"/>
                <w:color w:val="auto"/>
              </w:rPr>
            </w:pPr>
          </w:p>
        </w:tc>
        <w:tc>
          <w:tcPr>
            <w:tcW w:w="1120" w:type="dxa"/>
            <w:vAlign w:val="bottom"/>
            <w:tcBorders>
              <w:top w:val="single" w:sz="8" w:color="auto"/>
              <w:right w:val="single" w:sz="8" w:color="auto"/>
            </w:tcBorders>
          </w:tcPr>
          <w:p>
            <w:pPr>
              <w:spacing w:after="0"/>
              <w:rPr>
                <w:sz w:val="23"/>
                <w:szCs w:val="23"/>
                <w:color w:val="auto"/>
              </w:rPr>
            </w:pPr>
          </w:p>
        </w:tc>
        <w:tc>
          <w:tcPr>
            <w:tcW w:w="88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Derivative</w:t>
            </w: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Securities and</w:t>
            </w: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Date of</w:t>
            </w:r>
          </w:p>
        </w:tc>
        <w:tc>
          <w:tcPr>
            <w:tcW w:w="1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 and</w:t>
            </w: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Earliest</w:t>
            </w:r>
          </w:p>
        </w:tc>
        <w:tc>
          <w:tcPr>
            <w:tcW w:w="1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Amount of</w:t>
            </w: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Transaction</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Issuer Name,</w:t>
            </w:r>
          </w:p>
        </w:tc>
        <w:tc>
          <w:tcPr>
            <w:tcW w:w="12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Securities</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Ownership</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Nature of</w:t>
            </w: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vMerge w:val="restart"/>
          </w:tcPr>
          <w:p>
            <w:pPr>
              <w:ind w:left="280"/>
              <w:spacing w:after="0"/>
              <w:rPr>
                <w:sz w:val="20"/>
                <w:szCs w:val="20"/>
                <w:color w:val="auto"/>
              </w:rPr>
            </w:pPr>
            <w:r>
              <w:rPr>
                <w:rFonts w:ascii="Arial" w:cs="Arial" w:eastAsia="Arial" w:hAnsi="Arial"/>
                <w:sz w:val="18"/>
                <w:szCs w:val="18"/>
                <w:b w:val="1"/>
                <w:bCs w:val="1"/>
                <w:color w:val="auto"/>
              </w:rPr>
              <w:t>Name and Address of</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6"/>
              </w:rPr>
              <w:t>Designated</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Required to</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Ticker</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 and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Underlying</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Form:</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Indirect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Disclaims</w:t>
            </w:r>
          </w:p>
        </w:tc>
        <w:tc>
          <w:tcPr>
            <w:tcW w:w="0" w:type="dxa"/>
            <w:vAlign w:val="bottom"/>
          </w:tcPr>
          <w:p>
            <w:pPr>
              <w:spacing w:after="0"/>
              <w:rPr>
                <w:sz w:val="1"/>
                <w:szCs w:val="1"/>
                <w:color w:val="auto"/>
              </w:rPr>
            </w:pPr>
          </w:p>
        </w:tc>
      </w:tr>
      <w:tr>
        <w:trPr>
          <w:trHeight w:val="179"/>
        </w:trPr>
        <w:tc>
          <w:tcPr>
            <w:tcW w:w="2180" w:type="dxa"/>
            <w:vAlign w:val="bottom"/>
            <w:tcBorders>
              <w:left w:val="single" w:sz="8" w:color="auto"/>
              <w:right w:val="single" w:sz="8" w:color="auto"/>
            </w:tcBorders>
            <w:vMerge w:val="continue"/>
          </w:tcPr>
          <w:p>
            <w:pPr>
              <w:spacing w:after="0"/>
              <w:rPr>
                <w:sz w:val="15"/>
                <w:szCs w:val="15"/>
                <w:color w:val="auto"/>
              </w:rPr>
            </w:pPr>
          </w:p>
        </w:tc>
        <w:tc>
          <w:tcPr>
            <w:tcW w:w="1000" w:type="dxa"/>
            <w:vAlign w:val="bottom"/>
            <w:tcBorders>
              <w:right w:val="single" w:sz="8" w:color="auto"/>
            </w:tcBorders>
            <w:vMerge w:val="continue"/>
          </w:tcPr>
          <w:p>
            <w:pPr>
              <w:spacing w:after="0"/>
              <w:rPr>
                <w:sz w:val="15"/>
                <w:szCs w:val="15"/>
                <w:color w:val="auto"/>
              </w:rPr>
            </w:pPr>
          </w:p>
        </w:tc>
        <w:tc>
          <w:tcPr>
            <w:tcW w:w="102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18"/>
                <w:szCs w:val="18"/>
                <w:b w:val="1"/>
                <w:bCs w:val="1"/>
                <w:color w:val="auto"/>
                <w:w w:val="85"/>
              </w:rPr>
              <w:t>be</w:t>
            </w:r>
          </w:p>
        </w:tc>
        <w:tc>
          <w:tcPr>
            <w:tcW w:w="146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18"/>
                <w:szCs w:val="18"/>
                <w:b w:val="1"/>
                <w:bCs w:val="1"/>
                <w:color w:val="auto"/>
                <w:w w:val="89"/>
              </w:rPr>
              <w:t>or Trading</w:t>
            </w:r>
          </w:p>
        </w:tc>
        <w:tc>
          <w:tcPr>
            <w:tcW w:w="126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18"/>
                <w:szCs w:val="18"/>
                <w:b w:val="1"/>
                <w:bCs w:val="1"/>
                <w:color w:val="auto"/>
                <w:w w:val="88"/>
              </w:rPr>
              <w:t>Amount of</w:t>
            </w:r>
          </w:p>
        </w:tc>
        <w:tc>
          <w:tcPr>
            <w:tcW w:w="136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18"/>
                <w:szCs w:val="18"/>
                <w:b w:val="1"/>
                <w:bCs w:val="1"/>
                <w:color w:val="auto"/>
                <w:w w:val="90"/>
              </w:rPr>
              <w:t>Derivative</w:t>
            </w:r>
          </w:p>
        </w:tc>
        <w:tc>
          <w:tcPr>
            <w:tcW w:w="114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18"/>
                <w:szCs w:val="18"/>
                <w:b w:val="1"/>
                <w:bCs w:val="1"/>
                <w:color w:val="auto"/>
                <w:w w:val="92"/>
              </w:rPr>
              <w:t>Direct (D) or</w:t>
            </w:r>
          </w:p>
        </w:tc>
        <w:tc>
          <w:tcPr>
            <w:tcW w:w="112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18"/>
                <w:szCs w:val="18"/>
                <w:b w:val="1"/>
                <w:bCs w:val="1"/>
                <w:color w:val="auto"/>
                <w:w w:val="86"/>
              </w:rPr>
              <w:t>Beneficial</w:t>
            </w:r>
          </w:p>
        </w:tc>
        <w:tc>
          <w:tcPr>
            <w:tcW w:w="88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18"/>
                <w:szCs w:val="18"/>
                <w:b w:val="1"/>
                <w:bCs w:val="1"/>
                <w:color w:val="auto"/>
                <w:w w:val="88"/>
              </w:rPr>
              <w:t>Pecuniary</w:t>
            </w:r>
          </w:p>
        </w:tc>
        <w:tc>
          <w:tcPr>
            <w:tcW w:w="0" w:type="dxa"/>
            <w:vAlign w:val="bottom"/>
          </w:tcPr>
          <w:p>
            <w:pPr>
              <w:spacing w:after="0"/>
              <w:rPr>
                <w:sz w:val="1"/>
                <w:szCs w:val="1"/>
                <w:color w:val="auto"/>
              </w:rPr>
            </w:pPr>
          </w:p>
        </w:tc>
      </w:tr>
      <w:tr>
        <w:trPr>
          <w:trHeight w:val="319"/>
        </w:trPr>
        <w:tc>
          <w:tcPr>
            <w:tcW w:w="2180" w:type="dxa"/>
            <w:vAlign w:val="bottom"/>
            <w:tcBorders>
              <w:left w:val="single" w:sz="8" w:color="auto"/>
              <w:bottom w:val="single" w:sz="8" w:color="auto"/>
              <w:right w:val="single" w:sz="8" w:color="auto"/>
            </w:tcBorders>
          </w:tcPr>
          <w:p>
            <w:pPr>
              <w:ind w:left="340"/>
              <w:spacing w:after="0" w:line="305" w:lineRule="exact"/>
              <w:rPr>
                <w:sz w:val="20"/>
                <w:szCs w:val="20"/>
                <w:color w:val="auto"/>
              </w:rPr>
            </w:pPr>
            <w:r>
              <w:rPr>
                <w:rFonts w:ascii="Arial" w:cs="Arial" w:eastAsia="Arial" w:hAnsi="Arial"/>
                <w:sz w:val="18"/>
                <w:szCs w:val="18"/>
                <w:b w:val="1"/>
                <w:bCs w:val="1"/>
                <w:color w:val="auto"/>
              </w:rPr>
              <w:t>Reporting Person</w:t>
            </w:r>
            <w:r>
              <w:rPr>
                <w:rFonts w:ascii="Arial" w:cs="Arial" w:eastAsia="Arial" w:hAnsi="Arial"/>
                <w:sz w:val="29"/>
                <w:szCs w:val="29"/>
                <w:b w:val="1"/>
                <w:bCs w:val="1"/>
                <w:color w:val="auto"/>
                <w:vertAlign w:val="superscript"/>
              </w:rPr>
              <w:t>(1)</w:t>
            </w:r>
          </w:p>
        </w:tc>
        <w:tc>
          <w:tcPr>
            <w:tcW w:w="1000" w:type="dxa"/>
            <w:vAlign w:val="bottom"/>
            <w:tcBorders>
              <w:bottom w:val="single" w:sz="8" w:color="auto"/>
              <w:right w:val="single" w:sz="8" w:color="auto"/>
            </w:tcBorders>
          </w:tcPr>
          <w:p>
            <w:pPr>
              <w:jc w:val="center"/>
              <w:spacing w:after="0" w:line="305" w:lineRule="exact"/>
              <w:rPr>
                <w:sz w:val="20"/>
                <w:szCs w:val="20"/>
                <w:color w:val="auto"/>
              </w:rPr>
            </w:pPr>
            <w:r>
              <w:rPr>
                <w:rFonts w:ascii="Arial" w:cs="Arial" w:eastAsia="Arial" w:hAnsi="Arial"/>
                <w:sz w:val="18"/>
                <w:szCs w:val="18"/>
                <w:b w:val="1"/>
                <w:bCs w:val="1"/>
                <w:color w:val="auto"/>
                <w:w w:val="85"/>
              </w:rPr>
              <w:t>Reporter</w:t>
            </w:r>
            <w:r>
              <w:rPr>
                <w:rFonts w:ascii="Arial" w:cs="Arial" w:eastAsia="Arial" w:hAnsi="Arial"/>
                <w:sz w:val="29"/>
                <w:szCs w:val="29"/>
                <w:b w:val="1"/>
                <w:bCs w:val="1"/>
                <w:color w:val="auto"/>
                <w:w w:val="85"/>
                <w:vertAlign w:val="superscript"/>
              </w:rPr>
              <w:t>(1)</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Reported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Symbol</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Security</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Securities</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Indirect (I)</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Interest</w:t>
            </w:r>
          </w:p>
        </w:tc>
        <w:tc>
          <w:tcPr>
            <w:tcW w:w="0" w:type="dxa"/>
            <w:vAlign w:val="bottom"/>
          </w:tcPr>
          <w:p>
            <w:pPr>
              <w:spacing w:after="0"/>
              <w:rPr>
                <w:sz w:val="1"/>
                <w:szCs w:val="1"/>
                <w:color w:val="auto"/>
              </w:rPr>
            </w:pPr>
          </w:p>
        </w:tc>
      </w:tr>
      <w:tr>
        <w:trPr>
          <w:trHeight w:val="245"/>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JPMP Master Fund</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J.P. Morgan</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August 18,</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CMGI, Inc.</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See Table I</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4"/>
              </w:rPr>
              <w:t>See</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Manager, L.P.</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Partners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2004</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(“CMGI”)</w:t>
            </w:r>
          </w:p>
        </w:tc>
        <w:tc>
          <w:tcPr>
            <w:tcW w:w="12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Explanatory</w:t>
            </w: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 J.P. Morgan Partners,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(BHCA),</w:t>
            </w:r>
          </w:p>
        </w:tc>
        <w:tc>
          <w:tcPr>
            <w:tcW w:w="10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Note 2 below</w:t>
            </w: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LLC</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L.P.</w:t>
            </w:r>
          </w:p>
        </w:tc>
        <w:tc>
          <w:tcPr>
            <w:tcW w:w="10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1221 Avenue of the</w:t>
            </w: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Americas – 40th Floor</w:t>
            </w: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New York, NY 10020</w:t>
            </w:r>
          </w:p>
        </w:tc>
        <w:tc>
          <w:tcPr>
            <w:tcW w:w="100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JPMP Capital Corp.</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J.P. Morgan</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August 18,</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CMGI, Inc.</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See Table I</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4"/>
              </w:rPr>
              <w:t>See</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 J.P. Morgan Partners,</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Partners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2004</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(“CMGI”)</w:t>
            </w:r>
          </w:p>
        </w:tc>
        <w:tc>
          <w:tcPr>
            <w:tcW w:w="12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Explanatory</w:t>
            </w: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LLC</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(BHCA),</w:t>
            </w:r>
          </w:p>
        </w:tc>
        <w:tc>
          <w:tcPr>
            <w:tcW w:w="10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Note 3 below</w:t>
            </w: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1221 Avenue of the</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L.P.</w:t>
            </w:r>
          </w:p>
        </w:tc>
        <w:tc>
          <w:tcPr>
            <w:tcW w:w="10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Americas – 40th Floor</w:t>
            </w:r>
          </w:p>
        </w:tc>
        <w:tc>
          <w:tcPr>
            <w:tcW w:w="10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New York, NY 10020</w:t>
            </w:r>
          </w:p>
        </w:tc>
        <w:tc>
          <w:tcPr>
            <w:tcW w:w="100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J.P. Morgan Chase &amp; Co.</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J.P. Morgan</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August 18,</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CMGI, Inc.</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See Table I</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4"/>
              </w:rPr>
              <w:t>See</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270 Park Avenue</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2"/>
              </w:rPr>
              <w:t>Partners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2004</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(“CMGI”)</w:t>
            </w:r>
          </w:p>
        </w:tc>
        <w:tc>
          <w:tcPr>
            <w:tcW w:w="12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Explanatory</w:t>
            </w: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Borders>
              <w:left w:val="single" w:sz="8" w:color="auto"/>
              <w:right w:val="single" w:sz="8" w:color="auto"/>
            </w:tcBorders>
          </w:tcPr>
          <w:p>
            <w:pPr>
              <w:ind w:left="80"/>
              <w:spacing w:after="0" w:line="216" w:lineRule="exact"/>
              <w:rPr>
                <w:sz w:val="20"/>
                <w:szCs w:val="20"/>
                <w:color w:val="auto"/>
              </w:rPr>
            </w:pPr>
            <w:r>
              <w:rPr>
                <w:rFonts w:ascii="Arial" w:cs="Arial" w:eastAsia="Arial" w:hAnsi="Arial"/>
                <w:sz w:val="16"/>
                <w:szCs w:val="16"/>
                <w:color w:val="auto"/>
              </w:rPr>
              <w:t>35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Floor</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(BHCA),</w:t>
            </w:r>
          </w:p>
        </w:tc>
        <w:tc>
          <w:tcPr>
            <w:tcW w:w="10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Note 4 below</w:t>
            </w: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New York, NY 10017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L.P.</w:t>
            </w:r>
          </w:p>
        </w:tc>
        <w:tc>
          <w:tcPr>
            <w:tcW w:w="102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3"/>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7"/>
        </w:trPr>
        <w:tc>
          <w:tcPr>
            <w:tcW w:w="2180" w:type="dxa"/>
            <w:vAlign w:val="bottom"/>
          </w:tcPr>
          <w:p>
            <w:pPr>
              <w:spacing w:after="0"/>
              <w:rPr>
                <w:sz w:val="20"/>
                <w:szCs w:val="20"/>
                <w:color w:val="auto"/>
              </w:rPr>
            </w:pPr>
            <w:r>
              <w:rPr>
                <w:rFonts w:ascii="Arial" w:cs="Arial" w:eastAsia="Arial" w:hAnsi="Arial"/>
                <w:sz w:val="18"/>
                <w:szCs w:val="18"/>
                <w:color w:val="auto"/>
              </w:rPr>
              <w:t>Explanatory Note:</w:t>
            </w: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40" w:right="100" w:hanging="332"/>
        <w:spacing w:after="0" w:line="25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Designated Reporter is executing this report on behalf of all Reporting Persons, each of whom has authorized it to do so. Each of the Reporting Persons disclaims beneficial ownership of the Issuer’s securities to the extent it exceeds such Person’s pecuniary interest.</w:t>
      </w:r>
    </w:p>
    <w:p>
      <w:pPr>
        <w:ind w:left="340" w:right="24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 shown in Table I represents the beneficial ownership of the Issuer's equity securities by J.P. Morgan Partners (BHCA), L.P. ("JPM BHCA"), a portion of which may be deemed attributable to the Reporting Person because it is the sole general partner of JPM BHCA.</w:t>
      </w:r>
    </w:p>
    <w:p>
      <w:pPr>
        <w:spacing w:after="0" w:line="1" w:lineRule="exact"/>
        <w:rPr>
          <w:rFonts w:ascii="Arial" w:cs="Arial" w:eastAsia="Arial" w:hAnsi="Arial"/>
          <w:sz w:val="16"/>
          <w:szCs w:val="16"/>
          <w:color w:val="auto"/>
        </w:rPr>
      </w:pPr>
    </w:p>
    <w:p>
      <w:pPr>
        <w:ind w:left="340" w:right="18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 shown in Table I represents the beneficial ownership of the Issuer’s equity securities by JPM BHCA, a portion of which may be deemed attributable to the Reporting Person because it is the general partner of JPMP Master Fund Manager, L.P. (“MF Manager”), the sole general partner of JPM BHCA. The actual pro rata portion of such beneficial ownership that may be deemed to be attributable to the Reporting Person is not readily determinable because it is subject to several variables, including the internal rates of return and vesting of interests within JPM BHCA and MF Manager.</w:t>
      </w:r>
    </w:p>
    <w:p>
      <w:pPr>
        <w:spacing w:after="0" w:line="2" w:lineRule="exact"/>
        <w:rPr>
          <w:rFonts w:ascii="Arial" w:cs="Arial" w:eastAsia="Arial" w:hAnsi="Arial"/>
          <w:sz w:val="16"/>
          <w:szCs w:val="16"/>
          <w:color w:val="auto"/>
        </w:rPr>
      </w:pPr>
    </w:p>
    <w:p>
      <w:pPr>
        <w:ind w:left="340" w:right="320" w:hanging="332"/>
        <w:spacing w:after="0" w:line="295"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 shown in Table I represents the beneficial ownership of the Issuer’s equity securities by JPM BHCA, a portion of which may be deemed attributable to the Reporting Person because it is the sole stockholder of JPMP Capital Corp. and of Chatham Ventures, Inc., the limited partner of JPM BHCA. The actual pro rata portion of such beneficial ownership that may be attributable to the Reporting Person is not readily determinable because it is subject to several variables, including the internal rates of return and vesting of interests within JPM BHCA and MF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12" Type="http://schemas.openxmlformats.org/officeDocument/2006/relationships/hyperlink" Target="http://www.sec.gov/cgi-bin/browse-edgar?action=getcompany&amp;CIK=0001243236" TargetMode="External"/><Relationship Id="rId13" Type="http://schemas.openxmlformats.org/officeDocument/2006/relationships/hyperlink" Target="http://www.sec.gov/cgi-bin/browse-edgar?action=getcompany&amp;CIK=0000914712" TargetMode="External"/><Relationship Id="rId14" Type="http://schemas.openxmlformats.org/officeDocument/2006/relationships/hyperlink" Target="http://www.sec.gov/cgi-bin/browse-edgar?action=getcompany&amp;CIK=0000019617" TargetMode="External"/><Relationship Id="rId15" Type="http://schemas.openxmlformats.org/officeDocument/2006/relationships/hyperlink" Target="http://www.sec.gov/cgi-bin/browse-edgar?action=getcompany&amp;CIK=0001106607" TargetMode="External"/><Relationship Id="rId17" Type="http://schemas.openxmlformats.org/officeDocument/2006/relationships/hyperlink" Target="http://www.sec.gov/cgi-bin/browse-edgar?action=getcompany&amp;CIK=0001243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2019-12-16T23:11:43Z</dcterms:created>
  <dcterms:modified xsi:type="dcterms:W3CDTF">2019-12-16T23:11:43Z</dcterms:modified>
</cp:coreProperties>
</file>