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Arial;Helvetica;Sans-Serif" w:hAnsi="Arial;Helvetica;Sans-Serif"/>
          <w:b/>
          <w:i w:val="false"/>
          <w:caps w:val="false"/>
          <w:smallCaps w:val="false"/>
          <w:color w:val="808080"/>
          <w:sz w:val="24"/>
        </w:rPr>
      </w:pPr>
      <w:bookmarkStart w:id="0" w:name="ea0311003-01_fwp.htm"/>
      <w:bookmarkStart w:id="1" w:name="ksea031100301_fwp"/>
      <w:bookmarkEnd w:id="0"/>
      <w:bookmarkEnd w:id="1"/>
      <w:r>
        <w:rPr>
          <w:rFonts w:ascii="Arial;Helvetica;Sans-Serif" w:hAnsi="Arial;Helvetica;Sans-Serif"/>
          <w:b/>
          <w:i w:val="false"/>
          <w:caps w:val="false"/>
          <w:smallCaps w:val="false"/>
          <w:color w:val="808080"/>
          <w:sz w:val="24"/>
        </w:rPr>
        <w:t>JPMorgan Chase Financial Company LLC</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Free Writing Prospectus Filed Pursuant to Rule 433</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Registration Statement Nos. 333-293684 and 333-293684-01</w:t>
      </w:r>
    </w:p>
    <w:p>
      <w:pPr>
        <w:pStyle w:val="TextBody"/>
        <w:bidi w:val="0"/>
        <w:jc w:val="right"/>
        <w:rPr>
          <w:rFonts w:ascii="Arial;Helvetica;Sans-Serif" w:hAnsi="Arial;Helvetica;Sans-Serif"/>
          <w:b w:val="false"/>
          <w:i w:val="false"/>
          <w:caps w:val="false"/>
          <w:smallCaps w:val="false"/>
          <w:color w:val="808080"/>
          <w:sz w:val="16"/>
        </w:rPr>
      </w:pPr>
      <w:r>
        <w:rPr>
          <w:rFonts w:ascii="Arial;Helvetica;Sans-Serif" w:hAnsi="Arial;Helvetica;Sans-Serif"/>
          <w:b w:val="false"/>
          <w:i w:val="false"/>
          <w:caps w:val="false"/>
          <w:smallCaps w:val="false"/>
          <w:color w:val="808080"/>
          <w:sz w:val="16"/>
        </w:rPr>
        <w:t>Dated November 4, 2026</w: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2-Year RTY/NDX/SX5E Contingent Income Callable Securities</w:t>
      </w:r>
    </w:p>
    <w:p>
      <w:pPr>
        <w:pStyle w:val="TextBody"/>
        <w:bidi w:val="0"/>
        <w:ind w:left="0"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pStyle w:val="TextBody"/>
        <w:bidi w:val="0"/>
        <w:jc w:val="left"/>
        <w:rPr>
          <w:rFonts w:ascii="Arial;Helvetica;Sans-Serif" w:hAnsi="Arial;Helvetica;Sans-Serif"/>
          <w:b/>
          <w:i w:val="false"/>
          <w:caps w:val="false"/>
          <w:smallCaps w:val="false"/>
          <w:color w:val="808080"/>
          <w:sz w:val="24"/>
        </w:rPr>
      </w:pPr>
      <w:r>
        <w:rPr>
          <w:rFonts w:ascii="Arial;Helvetica;Sans-Serif" w:hAnsi="Arial;Helvetica;Sans-Serif"/>
          <w:b/>
          <w:i w:val="false"/>
          <w:caps w:val="false"/>
          <w:smallCaps w:val="false"/>
          <w:color w:val="808080"/>
          <w:sz w:val="24"/>
        </w:rPr>
        <w:t>JPMorgan Chase Financial Company LLC</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75000" cy="7314565"/>
                <wp:effectExtent l="0" t="0" r="0" b="0"/>
                <wp:wrapSquare wrapText="right"/>
                <wp:docPr id="1" name="Frame1"/>
                <a:graphic xmlns:a="http://schemas.openxmlformats.org/drawingml/2006/main">
                  <a:graphicData uri="http://schemas.microsoft.com/office/word/2010/wordprocessingShape">
                    <wps:wsp>
                      <wps:cNvSpPr txBox="1"/>
                      <wps:spPr>
                        <a:xfrm>
                          <a:off x="0" y="0"/>
                          <a:ext cx="3175000" cy="7314565"/>
                        </a:xfrm>
                        <a:prstGeom prst="rect"/>
                        <a:solidFill>
                          <a:srgbClr val="FFFFFF"/>
                        </a:solidFill>
                      </wps:spPr>
                      <wps:txbx>
                        <w:txbxContent>
                          <w:tbl>
                            <w:tblPr>
                              <w:tblW w:w="1505" w:type="dxa"/>
                              <w:jc w:val="left"/>
                              <w:tblInd w:w="0" w:type="dxa"/>
                              <w:tblLayout w:type="fixed"/>
                              <w:tblCellMar>
                                <w:top w:w="0" w:type="dxa"/>
                                <w:left w:w="0" w:type="dxa"/>
                                <w:bottom w:w="0" w:type="dxa"/>
                                <w:right w:w="0" w:type="dxa"/>
                              </w:tblCellMar>
                            </w:tblPr>
                            <w:tblGrid>
                              <w:gridCol w:w="1505"/>
                            </w:tblGrid>
                            <w:t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10205" w:type="dxa"/>
                              <w:jc w:val="left"/>
                              <w:tblInd w:w="0" w:type="dxa"/>
                              <w:tblLayout w:type="fixed"/>
                              <w:tblCellMar>
                                <w:top w:w="0" w:type="dxa"/>
                                <w:left w:w="0" w:type="dxa"/>
                                <w:bottom w:w="0" w:type="dxa"/>
                                <w:right w:w="0" w:type="dxa"/>
                              </w:tblCellMar>
                            </w:tblPr>
                            <w:tblGrid>
                              <w:gridCol w:w="1283"/>
                              <w:gridCol w:w="8922"/>
                            </w:tblGrid>
                            <w:tr>
                              <w:tc>
                                <w:tcPr>
                                  <w:tcW w:w="128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22"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c>
                                <w:tcPr>
                                  <w:tcW w:w="128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22" w:type="dxa"/>
                                  <w:tcBorders/>
                                  <w:shd w:fill="DCEBF4" w:val="clear"/>
                                  <w:vAlign w:val="center"/>
                                </w:tcPr>
                                <w:p>
                                  <w:pPr>
                                    <w:pStyle w:val="TableContents"/>
                                    <w:bidi w:val="0"/>
                                    <w:spacing w:before="0" w:after="283"/>
                                    <w:jc w:val="left"/>
                                    <w:rPr>
                                      <w:sz w:val="15"/>
                                    </w:rPr>
                                  </w:pPr>
                                  <w:r>
                                    <w:rPr>
                                      <w:sz w:val="15"/>
                                    </w:rPr>
                                    <w:t>JPMorgan Chase &amp; Co.</w:t>
                                  </w:r>
                                </w:p>
                              </w:tc>
                            </w:tr>
                            <w:tr>
                              <w:tc>
                                <w:tcPr>
                                  <w:tcW w:w="128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922" w:type="dxa"/>
                                  <w:tcBorders/>
                                  <w:vAlign w:val="center"/>
                                </w:tcPr>
                                <w:p>
                                  <w:pPr>
                                    <w:pStyle w:val="TableContents"/>
                                    <w:bidi w:val="0"/>
                                    <w:spacing w:before="0" w:after="283"/>
                                    <w:jc w:val="left"/>
                                    <w:rPr>
                                      <w:sz w:val="15"/>
                                    </w:rPr>
                                  </w:pPr>
                                  <w:r>
                                    <w:rPr>
                                      <w:sz w:val="15"/>
                                    </w:rPr>
                                    <w:t>Russell 2000</w:t>
                                  </w:r>
                                  <w:r>
                                    <w:rPr>
                                      <w:position w:val="5"/>
                                      <w:sz w:val="12"/>
                                      <w:sz w:val="15"/>
                                    </w:rPr>
                                    <w:t>®</w:t>
                                  </w:r>
                                  <w:r>
                                    <w:rPr>
                                      <w:sz w:val="15"/>
                                    </w:rPr>
                                    <w:t xml:space="preserve"> Index (Bloomberg ticker: RTY Index) (the “RTY Index”), Nasdaq-100 Index</w:t>
                                  </w:r>
                                  <w:r>
                                    <w:rPr>
                                      <w:position w:val="5"/>
                                      <w:sz w:val="12"/>
                                      <w:sz w:val="15"/>
                                    </w:rPr>
                                    <w:t>®</w:t>
                                  </w:r>
                                  <w:r>
                                    <w:rPr>
                                      <w:sz w:val="15"/>
                                    </w:rPr>
                                    <w:t xml:space="preserve"> (Bloomberg ticker: NDX Index) (the “NDX Index”) and EURO STOXX 50</w:t>
                                  </w:r>
                                  <w:r>
                                    <w:rPr>
                                      <w:position w:val="5"/>
                                      <w:sz w:val="12"/>
                                      <w:sz w:val="15"/>
                                    </w:rPr>
                                    <w:t>®</w:t>
                                  </w:r>
                                  <w:r>
                                    <w:rPr>
                                      <w:sz w:val="15"/>
                                    </w:rPr>
                                    <w:t xml:space="preserve"> Index (Bloomberg ticker: SX5E Index) (the “SX5E Index”) (each an “underlying index”)</w:t>
                                  </w:r>
                                </w:p>
                              </w:tc>
                            </w:tr>
                            <w:tr>
                              <w:tc>
                                <w:tcPr>
                                  <w:tcW w:w="128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Optional early redemption: </w:t>
                                  </w:r>
                                </w:p>
                              </w:tc>
                              <w:tc>
                                <w:tcPr>
                                  <w:tcW w:w="8922" w:type="dxa"/>
                                  <w:tcBorders/>
                                  <w:shd w:fill="DCEBF4" w:val="clear"/>
                                  <w:vAlign w:val="center"/>
                                </w:tcPr>
                                <w:p>
                                  <w:pPr>
                                    <w:pStyle w:val="TableContents"/>
                                    <w:bidi w:val="0"/>
                                    <w:spacing w:before="0" w:after="283"/>
                                    <w:jc w:val="left"/>
                                    <w:rPr>
                                      <w:sz w:val="15"/>
                                    </w:rPr>
                                  </w:pPr>
                                  <w:r>
                                    <w:rPr>
                                      <w:sz w:val="15"/>
                                    </w:rPr>
                                    <w:t xml:space="preserve">We, </w:t>
                                  </w:r>
                                  <w:r>
                                    <w:rPr>
                                      <w:b/>
                                      <w:sz w:val="15"/>
                                    </w:rPr>
                                    <w:t>at our discretion</w:t>
                                  </w:r>
                                  <w:r>
                                    <w:rPr>
                                      <w:sz w:val="15"/>
                                    </w:rPr>
                                    <w:t>, may redeem the securities early, in whole but not in part, on any of the contingent payment dates (other than the final contingent payment date)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c>
                                <w:tcPr>
                                  <w:tcW w:w="128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payment: </w:t>
                                  </w:r>
                                </w:p>
                              </w:tc>
                              <w:tc>
                                <w:tcPr>
                                  <w:tcW w:w="8922" w:type="dxa"/>
                                  <w:tcBorders/>
                                  <w:vAlign w:val="center"/>
                                </w:tcPr>
                                <w:p>
                                  <w:pPr>
                                    <w:pStyle w:val="TableContents"/>
                                    <w:bidi w:val="0"/>
                                    <w:spacing w:before="0" w:after="283"/>
                                    <w:jc w:val="left"/>
                                    <w:rPr>
                                      <w:sz w:val="15"/>
                                    </w:rPr>
                                  </w:pPr>
                                  <w:r>
                                    <w:rPr>
                                      <w:sz w:val="15"/>
                                    </w:rPr>
                                    <w:t xml:space="preserve">The early redemption payment will be an amount equal to (i) the stated principal amount </w:t>
                                  </w:r>
                                  <w:r>
                                    <w:rPr>
                                      <w:i/>
                                      <w:sz w:val="15"/>
                                    </w:rPr>
                                    <w:t>plus</w:t>
                                  </w:r>
                                  <w:r>
                                    <w:rPr>
                                      <w:sz w:val="15"/>
                                    </w:rPr>
                                    <w:t xml:space="preserve"> (ii) any contingent quarterly payment with respect to the related determination date.</w:t>
                                  </w:r>
                                </w:p>
                              </w:tc>
                            </w:tr>
                            <w:tr>
                              <w:tc>
                                <w:tcPr>
                                  <w:tcW w:w="128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922" w:type="dxa"/>
                                  <w:tcBorders/>
                                  <w:shd w:fill="DCEBF4" w:val="clear"/>
                                  <w:vAlign w:val="center"/>
                                </w:tcPr>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If, on any determination date, the closing level of each underlying index is greater than or equal to its downside threshold level, we will pay a contingent quarterly payment of at least $31.00 (at least 3.10% of the stated principal amount) per security on the related contingent payment date. The actual contingent quarterly payment will be provided in the pricing supplement.</w:t>
                                  </w:r>
                                </w:p>
                                <w:p>
                                  <w:pPr>
                                    <w:pStyle w:val="TableContents"/>
                                    <w:bidi w:val="0"/>
                                    <w:spacing w:before="20" w:after="40"/>
                                    <w:ind w:left="101" w:right="20" w:hanging="120"/>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 xml:space="preserve">If, on any determination date,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 no contingent quarterly payment will be payable with respect to that determination date. </w:t>
                                  </w:r>
                                  <w:r>
                                    <w:rPr>
                                      <w:rFonts w:ascii="Arial;Helvetica;Sans-Serif" w:hAnsi="Arial;Helvetica;Sans-Serif"/>
                                      <w:b/>
                                      <w:i w:val="false"/>
                                      <w:caps w:val="false"/>
                                      <w:smallCaps w:val="false"/>
                                      <w:sz w:val="15"/>
                                    </w:rPr>
                                    <w:t>It is possible that the closing level of one or more of the underlying indices will be below their respective downside threshold levels on most or all of the determination dates so that you will receive few or no contingent quarterly payments.</w:t>
                                  </w:r>
                                </w:p>
                              </w:tc>
                            </w:tr>
                          </w:tbl>
                          <w:tbl>
                            <w:tblPr>
                              <w:tblW w:w="10205" w:type="dxa"/>
                              <w:jc w:val="left"/>
                              <w:tblInd w:w="0" w:type="dxa"/>
                              <w:tblLayout w:type="fixed"/>
                              <w:tblCellMar>
                                <w:top w:w="0" w:type="dxa"/>
                                <w:left w:w="0" w:type="dxa"/>
                                <w:bottom w:w="0" w:type="dxa"/>
                                <w:right w:w="0" w:type="dxa"/>
                              </w:tblCellMar>
                            </w:tblPr>
                            <w:tblGrid>
                              <w:gridCol w:w="1035"/>
                              <w:gridCol w:w="3170"/>
                              <w:gridCol w:w="6000"/>
                            </w:tblGrid>
                            <w:tr>
                              <w:tc>
                                <w:tcPr>
                                  <w:tcW w:w="1035" w:type="dxa"/>
                                  <w:tcBorders/>
                                  <w:vAlign w:val="center"/>
                                </w:tcPr>
                                <w:p>
                                  <w:pPr>
                                    <w:pStyle w:val="TableContents"/>
                                    <w:bidi w:val="0"/>
                                    <w:spacing w:before="0" w:after="283"/>
                                    <w:ind w:left="0" w:right="0" w:hanging="147"/>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3170"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each</w:t>
                                  </w:r>
                                  <w:r>
                                    <w:rPr>
                                      <w:sz w:val="15"/>
                                    </w:rPr>
                                    <w:t xml:space="preserve"> underlying index is </w:t>
                                  </w:r>
                                  <w:r>
                                    <w:rPr>
                                      <w:b/>
                                      <w:sz w:val="15"/>
                                    </w:rPr>
                                    <w:t>greater than or equal to</w:t>
                                  </w:r>
                                  <w:r>
                                    <w:rPr>
                                      <w:sz w:val="15"/>
                                    </w:rPr>
                                    <w:t xml:space="preserve"> its downside threshold level:</w:t>
                                  </w:r>
                                </w:p>
                              </w:tc>
                              <w:tc>
                                <w:tcPr>
                                  <w:tcW w:w="6000" w:type="dxa"/>
                                  <w:tcBorders/>
                                  <w:vAlign w:val="center"/>
                                </w:tcPr>
                                <w:p>
                                  <w:pPr>
                                    <w:pStyle w:val="TableContents"/>
                                    <w:bidi w:val="0"/>
                                    <w:spacing w:before="0" w:after="283"/>
                                    <w:jc w:val="left"/>
                                    <w:rPr>
                                      <w:sz w:val="15"/>
                                    </w:rPr>
                                  </w:pPr>
                                  <w:r>
                                    <w:rPr>
                                      <w:sz w:val="15"/>
                                    </w:rPr>
                                    <w:t xml:space="preserve">(i) the stated principal amount </w:t>
                                  </w:r>
                                  <w:r>
                                    <w:rPr>
                                      <w:i/>
                                      <w:sz w:val="15"/>
                                    </w:rPr>
                                    <w:t>plus</w:t>
                                  </w:r>
                                  <w:r>
                                    <w:rPr>
                                      <w:sz w:val="15"/>
                                    </w:rPr>
                                    <w:t xml:space="preserve"> (ii) the contingent quarterly payment with respect to the final determination date.</w:t>
                                  </w:r>
                                </w:p>
                              </w:tc>
                            </w:tr>
                            <w:tr>
                              <w:tc>
                                <w:tcPr>
                                  <w:tcW w:w="1035" w:type="dxa"/>
                                  <w:tcBorders/>
                                  <w:vAlign w:val="center"/>
                                </w:tcPr>
                                <w:p>
                                  <w:pPr>
                                    <w:pStyle w:val="TableContents"/>
                                    <w:bidi w:val="0"/>
                                    <w:spacing w:before="0" w:after="283"/>
                                    <w:ind w:left="0" w:right="0" w:hanging="147"/>
                                    <w:jc w:val="left"/>
                                    <w:rPr>
                                      <w:color w:val="296DC1"/>
                                    </w:rPr>
                                  </w:pPr>
                                  <w:r>
                                    <w:rPr>
                                      <w:color w:val="296DC1"/>
                                    </w:rPr>
                                    <w:t> </w:t>
                                  </w:r>
                                </w:p>
                              </w:tc>
                              <w:tc>
                                <w:tcPr>
                                  <w:tcW w:w="3170"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any underlying index</w:t>
                                  </w:r>
                                  <w:r>
                                    <w:rPr>
                                      <w:sz w:val="15"/>
                                    </w:rPr>
                                    <w:t xml:space="preserve"> is </w:t>
                                  </w:r>
                                  <w:r>
                                    <w:rPr>
                                      <w:b/>
                                      <w:sz w:val="15"/>
                                    </w:rPr>
                                    <w:t>less than</w:t>
                                  </w:r>
                                  <w:r>
                                    <w:rPr>
                                      <w:sz w:val="15"/>
                                    </w:rPr>
                                    <w:t xml:space="preserve"> its downside threshold level:</w:t>
                                  </w:r>
                                </w:p>
                              </w:tc>
                              <w:tc>
                                <w:tcPr>
                                  <w:tcW w:w="6000" w:type="dxa"/>
                                  <w:tcBorders/>
                                  <w:vAlign w:val="center"/>
                                </w:tcPr>
                                <w:p>
                                  <w:pPr>
                                    <w:pStyle w:val="TableContents"/>
                                    <w:bidi w:val="0"/>
                                    <w:spacing w:before="0" w:after="283"/>
                                    <w:jc w:val="left"/>
                                    <w:rPr>
                                      <w:sz w:val="15"/>
                                    </w:rPr>
                                  </w:pPr>
                                  <w:r>
                                    <w:rPr>
                                      <w:sz w:val="15"/>
                                    </w:rPr>
                                    <w:t xml:space="preserve">(i) the stated principal amount </w:t>
                                  </w:r>
                                  <w:r>
                                    <w:rPr>
                                      <w:i/>
                                      <w:sz w:val="15"/>
                                    </w:rPr>
                                    <w:t>times</w:t>
                                  </w:r>
                                  <w:r>
                                    <w:rPr>
                                      <w:sz w:val="15"/>
                                    </w:rPr>
                                    <w:t xml:space="preserve"> (ii) the index performance factor of the worst performing underlying index.  This cash payment will be less than 75% of the stated principal amount of the securities and could be zero.</w:t>
                                  </w:r>
                                </w:p>
                              </w:tc>
                            </w:tr>
                          </w:tbl>
                          <w:tbl>
                            <w:tblPr>
                              <w:tblW w:w="8620" w:type="dxa"/>
                              <w:jc w:val="left"/>
                              <w:tblInd w:w="0" w:type="dxa"/>
                              <w:tblLayout w:type="fixed"/>
                              <w:tblCellMar>
                                <w:top w:w="0" w:type="dxa"/>
                                <w:left w:w="0" w:type="dxa"/>
                                <w:bottom w:w="0" w:type="dxa"/>
                                <w:right w:w="0" w:type="dxa"/>
                              </w:tblCellMar>
                            </w:tblPr>
                            <w:tblGrid>
                              <w:gridCol w:w="3020"/>
                              <w:gridCol w:w="5600"/>
                            </w:tblGrid>
                            <w:t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5600" w:type="dxa"/>
                                  <w:tcBorders/>
                                  <w:shd w:fill="DCEBF4" w:val="clear"/>
                                  <w:vAlign w:val="center"/>
                                </w:tcPr>
                                <w:p>
                                  <w:pPr>
                                    <w:pStyle w:val="TableContents"/>
                                    <w:bidi w:val="0"/>
                                    <w:spacing w:before="0" w:after="283"/>
                                    <w:jc w:val="left"/>
                                    <w:rPr>
                                      <w:sz w:val="15"/>
                                    </w:rPr>
                                  </w:pPr>
                                  <w:r>
                                    <w:rPr>
                                      <w:sz w:val="15"/>
                                    </w:rPr>
                                    <w:t>With respect to each underlying index, 75% of its initial index value</w:t>
                                  </w:r>
                                </w:p>
                              </w:tc>
                            </w:tr>
                            <w:t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index value:</w:t>
                                  </w:r>
                                </w:p>
                              </w:tc>
                              <w:tc>
                                <w:tcPr>
                                  <w:tcW w:w="5600" w:type="dxa"/>
                                  <w:tcBorders/>
                                  <w:vAlign w:val="center"/>
                                </w:tcPr>
                                <w:p>
                                  <w:pPr>
                                    <w:pStyle w:val="TableContents"/>
                                    <w:bidi w:val="0"/>
                                    <w:spacing w:before="0" w:after="283"/>
                                    <w:jc w:val="left"/>
                                    <w:rPr>
                                      <w:sz w:val="15"/>
                                    </w:rPr>
                                  </w:pPr>
                                  <w:r>
                                    <w:rPr>
                                      <w:sz w:val="15"/>
                                    </w:rPr>
                                    <w:t>With respect to each underlying index, its closing level on the pricing date</w:t>
                                  </w:r>
                                </w:p>
                              </w:tc>
                            </w:tr>
                            <w:t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index value:</w:t>
                                  </w:r>
                                </w:p>
                              </w:tc>
                              <w:tc>
                                <w:tcPr>
                                  <w:tcW w:w="5600" w:type="dxa"/>
                                  <w:tcBorders/>
                                  <w:shd w:fill="DCEBF4" w:val="clear"/>
                                  <w:vAlign w:val="center"/>
                                </w:tcPr>
                                <w:p>
                                  <w:pPr>
                                    <w:pStyle w:val="TableContents"/>
                                    <w:bidi w:val="0"/>
                                    <w:spacing w:before="0" w:after="283"/>
                                    <w:jc w:val="left"/>
                                    <w:rPr>
                                      <w:sz w:val="15"/>
                                    </w:rPr>
                                  </w:pPr>
                                  <w:r>
                                    <w:rPr>
                                      <w:sz w:val="15"/>
                                    </w:rPr>
                                    <w:t>With respect to each underlying index, its closing level on the final determination date</w:t>
                                  </w:r>
                                </w:p>
                              </w:tc>
                            </w:tr>
                            <w:t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Worst performing underlying index:</w:t>
                                  </w:r>
                                </w:p>
                              </w:tc>
                              <w:tc>
                                <w:tcPr>
                                  <w:tcW w:w="5600" w:type="dxa"/>
                                  <w:tcBorders/>
                                  <w:vAlign w:val="center"/>
                                </w:tcPr>
                                <w:p>
                                  <w:pPr>
                                    <w:pStyle w:val="TableContents"/>
                                    <w:bidi w:val="0"/>
                                    <w:spacing w:before="0" w:after="283"/>
                                    <w:jc w:val="left"/>
                                    <w:rPr>
                                      <w:sz w:val="15"/>
                                    </w:rPr>
                                  </w:pPr>
                                  <w:r>
                                    <w:rPr>
                                      <w:sz w:val="15"/>
                                    </w:rPr>
                                    <w:t>The underlying index with the worst index performance factor</w:t>
                                  </w:r>
                                </w:p>
                              </w:tc>
                            </w:tr>
                            <w:t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5600" w:type="dxa"/>
                                  <w:tcBorders/>
                                  <w:shd w:fill="DCEBF4" w:val="clear"/>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r>
                              <w:tc>
                                <w:tcPr>
                                  <w:tcW w:w="3020"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5600" w:type="dxa"/>
                                  <w:tcBorders/>
                                  <w:vAlign w:val="center"/>
                                </w:tcPr>
                                <w:p>
                                  <w:pPr>
                                    <w:pStyle w:val="TableContents"/>
                                    <w:bidi w:val="0"/>
                                    <w:spacing w:before="0" w:after="283"/>
                                    <w:jc w:val="left"/>
                                    <w:rPr>
                                      <w:sz w:val="15"/>
                                    </w:rPr>
                                  </w:pPr>
                                  <w:r>
                                    <w:rPr>
                                      <w:sz w:val="15"/>
                                    </w:rPr>
                                    <w:t>$1,000 per security</w:t>
                                  </w:r>
                                </w:p>
                              </w:tc>
                            </w:tr>
                            <w:tr>
                              <w:tc>
                                <w:tcPr>
                                  <w:tcW w:w="3020"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5600" w:type="dxa"/>
                                  <w:tcBorders/>
                                  <w:shd w:fill="DCEBF4" w:val="clear"/>
                                  <w:vAlign w:val="center"/>
                                </w:tcPr>
                                <w:p>
                                  <w:pPr>
                                    <w:pStyle w:val="TableContents"/>
                                    <w:bidi w:val="0"/>
                                    <w:spacing w:before="0" w:after="283"/>
                                    <w:jc w:val="left"/>
                                    <w:rPr>
                                      <w:sz w:val="15"/>
                                    </w:rPr>
                                  </w:pPr>
                                  <w:r>
                                    <w:rPr>
                                      <w:sz w:val="15"/>
                                    </w:rPr>
                                    <w:t>$1,000 per security</w:t>
                                  </w:r>
                                </w:p>
                              </w:tc>
                            </w:tr>
                            <w:t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5600" w:type="dxa"/>
                                  <w:tcBorders/>
                                  <w:vAlign w:val="center"/>
                                </w:tcPr>
                                <w:p>
                                  <w:pPr>
                                    <w:pStyle w:val="TableContents"/>
                                    <w:bidi w:val="0"/>
                                    <w:spacing w:before="0" w:after="283"/>
                                    <w:jc w:val="left"/>
                                    <w:rPr>
                                      <w:sz w:val="15"/>
                                    </w:rPr>
                                  </w:pPr>
                                  <w:r>
                                    <w:rPr>
                                      <w:sz w:val="15"/>
                                    </w:rPr>
                                    <w:t>Expected to be November 11, 2026</w:t>
                                  </w:r>
                                </w:p>
                              </w:tc>
                            </w:tr>
                            <w:t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5600" w:type="dxa"/>
                                  <w:tcBorders/>
                                  <w:shd w:fill="DCEBF4" w:val="clear"/>
                                  <w:vAlign w:val="center"/>
                                </w:tcPr>
                                <w:p>
                                  <w:pPr>
                                    <w:pStyle w:val="TableContents"/>
                                    <w:bidi w:val="0"/>
                                    <w:spacing w:before="0" w:after="283"/>
                                    <w:jc w:val="left"/>
                                    <w:rPr>
                                      <w:sz w:val="15"/>
                                    </w:rPr>
                                  </w:pPr>
                                  <w:r>
                                    <w:rPr>
                                      <w:sz w:val="15"/>
                                    </w:rPr>
                                    <w:t>3 business days after the pricing date</w:t>
                                  </w:r>
                                </w:p>
                              </w:tc>
                            </w:tr>
                          </w:tbl>
                          <w:p>
                            <w:pPr>
                              <w:pStyle w:val="TextBody"/>
                              <w:bidi w:val="0"/>
                              <w:spacing w:before="0" w:after="283"/>
                              <w:jc w:val="left"/>
                            </w:p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75.95pt;mso-wrap-distance-left:0pt;mso-wrap-distance-right:0pt;mso-wrap-distance-top:0pt;mso-wrap-distance-bottom:0pt;margin-top:0pt;mso-position-vertical:top;mso-position-vertical-relative:text;margin-left:0pt;mso-position-horizontal:left;mso-position-horizontal-relative:text">
                <v:textbox>
                  <w:txbxContent>
                    <w:tbl>
                      <w:tblPr>
                        <w:tblW w:w="1505" w:type="dxa"/>
                        <w:jc w:val="left"/>
                        <w:tblInd w:w="0" w:type="dxa"/>
                        <w:tblLayout w:type="fixed"/>
                        <w:tblCellMar>
                          <w:top w:w="0" w:type="dxa"/>
                          <w:left w:w="0" w:type="dxa"/>
                          <w:bottom w:w="0" w:type="dxa"/>
                          <w:right w:w="0" w:type="dxa"/>
                        </w:tblCellMar>
                      </w:tblPr>
                      <w:tblGrid>
                        <w:gridCol w:w="1505"/>
                      </w:tblGrid>
                      <w:tr>
                        <w:tc>
                          <w:tcPr>
                            <w:tcW w:w="1505" w:type="dxa"/>
                            <w:tcBorders/>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TERMS</w:t>
                            </w:r>
                          </w:p>
                        </w:tc>
                      </w:tr>
                    </w:tbl>
                    <w:tbl>
                      <w:tblPr>
                        <w:tblW w:w="10205" w:type="dxa"/>
                        <w:jc w:val="left"/>
                        <w:tblInd w:w="0" w:type="dxa"/>
                        <w:tblLayout w:type="fixed"/>
                        <w:tblCellMar>
                          <w:top w:w="0" w:type="dxa"/>
                          <w:left w:w="0" w:type="dxa"/>
                          <w:bottom w:w="0" w:type="dxa"/>
                          <w:right w:w="0" w:type="dxa"/>
                        </w:tblCellMar>
                      </w:tblPr>
                      <w:tblGrid>
                        <w:gridCol w:w="1283"/>
                        <w:gridCol w:w="8922"/>
                      </w:tblGrid>
                      <w:tr>
                        <w:tc>
                          <w:tcPr>
                            <w:tcW w:w="1283" w:type="dxa"/>
                            <w:tcBorders/>
                            <w:shd w:fill="FFFFFF"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Issuer: </w:t>
                            </w:r>
                          </w:p>
                        </w:tc>
                        <w:tc>
                          <w:tcPr>
                            <w:tcW w:w="8922" w:type="dxa"/>
                            <w:tcBorders/>
                            <w:shd w:fill="FFFFFF" w:val="clear"/>
                            <w:vAlign w:val="center"/>
                          </w:tcPr>
                          <w:p>
                            <w:pPr>
                              <w:pStyle w:val="TableContents"/>
                              <w:bidi w:val="0"/>
                              <w:spacing w:before="0" w:after="283"/>
                              <w:jc w:val="left"/>
                              <w:rPr>
                                <w:sz w:val="15"/>
                              </w:rPr>
                            </w:pPr>
                            <w:r>
                              <w:rPr>
                                <w:sz w:val="15"/>
                              </w:rPr>
                              <w:t>JPMorgan Chase Financial Company LLC (“JPMorgan Financial”)</w:t>
                            </w:r>
                          </w:p>
                        </w:tc>
                      </w:tr>
                      <w:tr>
                        <w:tc>
                          <w:tcPr>
                            <w:tcW w:w="128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Guarantor:</w:t>
                            </w:r>
                          </w:p>
                        </w:tc>
                        <w:tc>
                          <w:tcPr>
                            <w:tcW w:w="8922" w:type="dxa"/>
                            <w:tcBorders/>
                            <w:shd w:fill="DCEBF4" w:val="clear"/>
                            <w:vAlign w:val="center"/>
                          </w:tcPr>
                          <w:p>
                            <w:pPr>
                              <w:pStyle w:val="TableContents"/>
                              <w:bidi w:val="0"/>
                              <w:spacing w:before="0" w:after="283"/>
                              <w:jc w:val="left"/>
                              <w:rPr>
                                <w:sz w:val="15"/>
                              </w:rPr>
                            </w:pPr>
                            <w:r>
                              <w:rPr>
                                <w:sz w:val="15"/>
                              </w:rPr>
                              <w:t>JPMorgan Chase &amp; Co.</w:t>
                            </w:r>
                          </w:p>
                        </w:tc>
                      </w:tr>
                      <w:tr>
                        <w:tc>
                          <w:tcPr>
                            <w:tcW w:w="128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Underlying indices: </w:t>
                            </w:r>
                          </w:p>
                        </w:tc>
                        <w:tc>
                          <w:tcPr>
                            <w:tcW w:w="8922" w:type="dxa"/>
                            <w:tcBorders/>
                            <w:vAlign w:val="center"/>
                          </w:tcPr>
                          <w:p>
                            <w:pPr>
                              <w:pStyle w:val="TableContents"/>
                              <w:bidi w:val="0"/>
                              <w:spacing w:before="0" w:after="283"/>
                              <w:jc w:val="left"/>
                              <w:rPr>
                                <w:sz w:val="15"/>
                              </w:rPr>
                            </w:pPr>
                            <w:r>
                              <w:rPr>
                                <w:sz w:val="15"/>
                              </w:rPr>
                              <w:t>Russell 2000</w:t>
                            </w:r>
                            <w:r>
                              <w:rPr>
                                <w:position w:val="5"/>
                                <w:sz w:val="12"/>
                                <w:sz w:val="15"/>
                              </w:rPr>
                              <w:t>®</w:t>
                            </w:r>
                            <w:r>
                              <w:rPr>
                                <w:sz w:val="15"/>
                              </w:rPr>
                              <w:t xml:space="preserve"> Index (Bloomberg ticker: RTY Index) (the “RTY Index”), Nasdaq-100 Index</w:t>
                            </w:r>
                            <w:r>
                              <w:rPr>
                                <w:position w:val="5"/>
                                <w:sz w:val="12"/>
                                <w:sz w:val="15"/>
                              </w:rPr>
                              <w:t>®</w:t>
                            </w:r>
                            <w:r>
                              <w:rPr>
                                <w:sz w:val="15"/>
                              </w:rPr>
                              <w:t xml:space="preserve"> (Bloomberg ticker: NDX Index) (the “NDX Index”) and EURO STOXX 50</w:t>
                            </w:r>
                            <w:r>
                              <w:rPr>
                                <w:position w:val="5"/>
                                <w:sz w:val="12"/>
                                <w:sz w:val="15"/>
                              </w:rPr>
                              <w:t>®</w:t>
                            </w:r>
                            <w:r>
                              <w:rPr>
                                <w:sz w:val="15"/>
                              </w:rPr>
                              <w:t xml:space="preserve"> Index (Bloomberg ticker: SX5E Index) (the “SX5E Index”) (each an “underlying index”)</w:t>
                            </w:r>
                          </w:p>
                        </w:tc>
                      </w:tr>
                      <w:tr>
                        <w:tc>
                          <w:tcPr>
                            <w:tcW w:w="128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Optional early redemption: </w:t>
                            </w:r>
                          </w:p>
                        </w:tc>
                        <w:tc>
                          <w:tcPr>
                            <w:tcW w:w="8922" w:type="dxa"/>
                            <w:tcBorders/>
                            <w:shd w:fill="DCEBF4" w:val="clear"/>
                            <w:vAlign w:val="center"/>
                          </w:tcPr>
                          <w:p>
                            <w:pPr>
                              <w:pStyle w:val="TableContents"/>
                              <w:bidi w:val="0"/>
                              <w:spacing w:before="0" w:after="283"/>
                              <w:jc w:val="left"/>
                              <w:rPr>
                                <w:sz w:val="15"/>
                              </w:rPr>
                            </w:pPr>
                            <w:r>
                              <w:rPr>
                                <w:sz w:val="15"/>
                              </w:rPr>
                              <w:t xml:space="preserve">We, </w:t>
                            </w:r>
                            <w:r>
                              <w:rPr>
                                <w:b/>
                                <w:sz w:val="15"/>
                              </w:rPr>
                              <w:t>at our discretion</w:t>
                            </w:r>
                            <w:r>
                              <w:rPr>
                                <w:sz w:val="15"/>
                              </w:rPr>
                              <w:t>, may redeem the securities early, in whole but not in part, on any of the contingent payment dates (other than the final contingent payment date)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tc>
                      </w:tr>
                      <w:tr>
                        <w:tc>
                          <w:tcPr>
                            <w:tcW w:w="1283"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Early redemption payment: </w:t>
                            </w:r>
                          </w:p>
                        </w:tc>
                        <w:tc>
                          <w:tcPr>
                            <w:tcW w:w="8922" w:type="dxa"/>
                            <w:tcBorders/>
                            <w:vAlign w:val="center"/>
                          </w:tcPr>
                          <w:p>
                            <w:pPr>
                              <w:pStyle w:val="TableContents"/>
                              <w:bidi w:val="0"/>
                              <w:spacing w:before="0" w:after="283"/>
                              <w:jc w:val="left"/>
                              <w:rPr>
                                <w:sz w:val="15"/>
                              </w:rPr>
                            </w:pPr>
                            <w:r>
                              <w:rPr>
                                <w:sz w:val="15"/>
                              </w:rPr>
                              <w:t xml:space="preserve">The early redemption payment will be an amount equal to (i) the stated principal amount </w:t>
                            </w:r>
                            <w:r>
                              <w:rPr>
                                <w:i/>
                                <w:sz w:val="15"/>
                              </w:rPr>
                              <w:t>plus</w:t>
                            </w:r>
                            <w:r>
                              <w:rPr>
                                <w:sz w:val="15"/>
                              </w:rPr>
                              <w:t xml:space="preserve"> (ii) any contingent quarterly payment with respect to the related determination date.</w:t>
                            </w:r>
                          </w:p>
                        </w:tc>
                      </w:tr>
                      <w:tr>
                        <w:tc>
                          <w:tcPr>
                            <w:tcW w:w="1283"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quarterly payment:</w:t>
                            </w:r>
                          </w:p>
                        </w:tc>
                        <w:tc>
                          <w:tcPr>
                            <w:tcW w:w="8922" w:type="dxa"/>
                            <w:tcBorders/>
                            <w:shd w:fill="DCEBF4" w:val="clear"/>
                            <w:vAlign w:val="center"/>
                          </w:tcPr>
                          <w:p>
                            <w:pPr>
                              <w:pStyle w:val="TableContents"/>
                              <w:bidi w:val="0"/>
                              <w:spacing w:before="20" w:after="20"/>
                              <w:ind w:left="144" w:right="20" w:hanging="144"/>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If, on any determination date, the closing level of each underlying index is greater than or equal to its downside threshold level, we will pay a contingent quarterly payment of at least $31.00 (at least 3.10% of the stated principal amount) per security on the related contingent payment date. The actual contingent quarterly payment will be provided in the pricing supplement.</w:t>
                            </w:r>
                          </w:p>
                          <w:p>
                            <w:pPr>
                              <w:pStyle w:val="TableContents"/>
                              <w:bidi w:val="0"/>
                              <w:spacing w:before="20" w:after="40"/>
                              <w:ind w:left="101" w:right="20" w:hanging="120"/>
                              <w:jc w:val="left"/>
                              <w:rPr>
                                <w:rFonts w:ascii="Arial;Helvetica;Sans-Serif" w:hAnsi="Arial;Helvetica;Sans-Serif"/>
                                <w:b w:val="false"/>
                                <w:i w:val="false"/>
                                <w:caps w:val="false"/>
                                <w:smallCaps w:val="false"/>
                                <w:sz w:val="17"/>
                              </w:rPr>
                            </w:pPr>
                            <w:r>
                              <w:rPr>
                                <w:rFonts w:ascii="Symbol" w:hAnsi="Symbol"/>
                                <w:b w:val="false"/>
                                <w:i w:val="false"/>
                                <w:caps w:val="false"/>
                                <w:smallCaps w:val="false"/>
                                <w:sz w:val="15"/>
                              </w:rPr>
                              <w:t>·</w:t>
                            </w:r>
                            <w:r>
                              <w:rPr>
                                <w:rFonts w:ascii="Arial;Helvetica;Sans-Serif" w:hAnsi="Arial;Helvetica;Sans-Serif"/>
                                <w:b w:val="false"/>
                                <w:i w:val="false"/>
                                <w:caps w:val="false"/>
                                <w:smallCaps w:val="false"/>
                                <w:sz w:val="17"/>
                              </w:rPr>
                              <w:t xml:space="preserve"> </w:t>
                            </w:r>
                            <w:r>
                              <w:rPr>
                                <w:rFonts w:ascii="Arial;Helvetica;Sans-Serif" w:hAnsi="Arial;Helvetica;Sans-Serif"/>
                                <w:b w:val="false"/>
                                <w:i w:val="false"/>
                                <w:caps w:val="false"/>
                                <w:smallCaps w:val="false"/>
                                <w:sz w:val="15"/>
                              </w:rPr>
                              <w:t xml:space="preserve">If, on any determination date, the closing level of </w:t>
                            </w:r>
                            <w:r>
                              <w:rPr>
                                <w:rFonts w:ascii="Arial;Helvetica;Sans-Serif" w:hAnsi="Arial;Helvetica;Sans-Serif"/>
                                <w:b/>
                                <w:i w:val="false"/>
                                <w:caps w:val="false"/>
                                <w:smallCaps w:val="false"/>
                                <w:sz w:val="15"/>
                              </w:rPr>
                              <w:t>any underlying index</w:t>
                            </w:r>
                            <w:r>
                              <w:rPr>
                                <w:rFonts w:ascii="Arial;Helvetica;Sans-Serif" w:hAnsi="Arial;Helvetica;Sans-Serif"/>
                                <w:b w:val="false"/>
                                <w:i w:val="false"/>
                                <w:caps w:val="false"/>
                                <w:smallCaps w:val="false"/>
                                <w:sz w:val="15"/>
                              </w:rPr>
                              <w:t xml:space="preserve"> is less than its downside threshold level, no contingent quarterly payment will be payable with respect to that determination date. </w:t>
                            </w:r>
                            <w:r>
                              <w:rPr>
                                <w:rFonts w:ascii="Arial;Helvetica;Sans-Serif" w:hAnsi="Arial;Helvetica;Sans-Serif"/>
                                <w:b/>
                                <w:i w:val="false"/>
                                <w:caps w:val="false"/>
                                <w:smallCaps w:val="false"/>
                                <w:sz w:val="15"/>
                              </w:rPr>
                              <w:t>It is possible that the closing level of one or more of the underlying indices will be below their respective downside threshold levels on most or all of the determination dates so that you will receive few or no contingent quarterly payments.</w:t>
                            </w:r>
                          </w:p>
                        </w:tc>
                      </w:tr>
                    </w:tbl>
                    <w:tbl>
                      <w:tblPr>
                        <w:tblW w:w="10205" w:type="dxa"/>
                        <w:jc w:val="left"/>
                        <w:tblInd w:w="0" w:type="dxa"/>
                        <w:tblLayout w:type="fixed"/>
                        <w:tblCellMar>
                          <w:top w:w="0" w:type="dxa"/>
                          <w:left w:w="0" w:type="dxa"/>
                          <w:bottom w:w="0" w:type="dxa"/>
                          <w:right w:w="0" w:type="dxa"/>
                        </w:tblCellMar>
                      </w:tblPr>
                      <w:tblGrid>
                        <w:gridCol w:w="1035"/>
                        <w:gridCol w:w="3170"/>
                        <w:gridCol w:w="6000"/>
                      </w:tblGrid>
                      <w:tr>
                        <w:tc>
                          <w:tcPr>
                            <w:tcW w:w="1035" w:type="dxa"/>
                            <w:tcBorders/>
                            <w:vAlign w:val="center"/>
                          </w:tcPr>
                          <w:p>
                            <w:pPr>
                              <w:pStyle w:val="TableContents"/>
                              <w:bidi w:val="0"/>
                              <w:spacing w:before="0" w:after="283"/>
                              <w:ind w:left="0" w:right="0" w:hanging="147"/>
                              <w:jc w:val="left"/>
                              <w:rPr>
                                <w:rFonts w:ascii="Arial;Helvetica;Sans-Serif" w:hAnsi="Arial;Helvetica;Sans-Serif"/>
                                <w:b/>
                                <w:color w:val="296DC1"/>
                                <w:sz w:val="16"/>
                              </w:rPr>
                            </w:pPr>
                            <w:r>
                              <w:rPr>
                                <w:rFonts w:ascii="Arial;Helvetica;Sans-Serif" w:hAnsi="Arial;Helvetica;Sans-Serif"/>
                                <w:b/>
                                <w:color w:val="296DC1"/>
                                <w:sz w:val="16"/>
                              </w:rPr>
                              <w:t>Payment at maturity:</w:t>
                            </w:r>
                          </w:p>
                        </w:tc>
                        <w:tc>
                          <w:tcPr>
                            <w:tcW w:w="3170"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each</w:t>
                            </w:r>
                            <w:r>
                              <w:rPr>
                                <w:sz w:val="15"/>
                              </w:rPr>
                              <w:t xml:space="preserve"> underlying index is </w:t>
                            </w:r>
                            <w:r>
                              <w:rPr>
                                <w:b/>
                                <w:sz w:val="15"/>
                              </w:rPr>
                              <w:t>greater than or equal to</w:t>
                            </w:r>
                            <w:r>
                              <w:rPr>
                                <w:sz w:val="15"/>
                              </w:rPr>
                              <w:t xml:space="preserve"> its downside threshold level:</w:t>
                            </w:r>
                          </w:p>
                        </w:tc>
                        <w:tc>
                          <w:tcPr>
                            <w:tcW w:w="6000" w:type="dxa"/>
                            <w:tcBorders/>
                            <w:vAlign w:val="center"/>
                          </w:tcPr>
                          <w:p>
                            <w:pPr>
                              <w:pStyle w:val="TableContents"/>
                              <w:bidi w:val="0"/>
                              <w:spacing w:before="0" w:after="283"/>
                              <w:jc w:val="left"/>
                              <w:rPr>
                                <w:sz w:val="15"/>
                              </w:rPr>
                            </w:pPr>
                            <w:r>
                              <w:rPr>
                                <w:sz w:val="15"/>
                              </w:rPr>
                              <w:t xml:space="preserve">(i) the stated principal amount </w:t>
                            </w:r>
                            <w:r>
                              <w:rPr>
                                <w:i/>
                                <w:sz w:val="15"/>
                              </w:rPr>
                              <w:t>plus</w:t>
                            </w:r>
                            <w:r>
                              <w:rPr>
                                <w:sz w:val="15"/>
                              </w:rPr>
                              <w:t xml:space="preserve"> (ii) the contingent quarterly payment with respect to the final determination date.</w:t>
                            </w:r>
                          </w:p>
                        </w:tc>
                      </w:tr>
                      <w:tr>
                        <w:tc>
                          <w:tcPr>
                            <w:tcW w:w="1035" w:type="dxa"/>
                            <w:tcBorders/>
                            <w:vAlign w:val="center"/>
                          </w:tcPr>
                          <w:p>
                            <w:pPr>
                              <w:pStyle w:val="TableContents"/>
                              <w:bidi w:val="0"/>
                              <w:spacing w:before="0" w:after="283"/>
                              <w:ind w:left="0" w:right="0" w:hanging="147"/>
                              <w:jc w:val="left"/>
                              <w:rPr>
                                <w:color w:val="296DC1"/>
                              </w:rPr>
                            </w:pPr>
                            <w:r>
                              <w:rPr>
                                <w:color w:val="296DC1"/>
                              </w:rPr>
                              <w:t> </w:t>
                            </w:r>
                          </w:p>
                        </w:tc>
                        <w:tc>
                          <w:tcPr>
                            <w:tcW w:w="3170" w:type="dxa"/>
                            <w:tcBorders/>
                            <w:vAlign w:val="center"/>
                          </w:tcPr>
                          <w:p>
                            <w:pPr>
                              <w:pStyle w:val="TableContents"/>
                              <w:bidi w:val="0"/>
                              <w:spacing w:before="0" w:after="283"/>
                              <w:jc w:val="left"/>
                              <w:rPr>
                                <w:sz w:val="17"/>
                              </w:rPr>
                            </w:pPr>
                            <w:r>
                              <w:rPr>
                                <w:rFonts w:ascii="Symbol" w:hAnsi="Symbol"/>
                                <w:sz w:val="15"/>
                              </w:rPr>
                              <w:t>·</w:t>
                            </w:r>
                            <w:r>
                              <w:rPr>
                                <w:sz w:val="17"/>
                              </w:rPr>
                              <w:t xml:space="preserve">  </w:t>
                            </w:r>
                            <w:r>
                              <w:rPr>
                                <w:sz w:val="15"/>
                              </w:rPr>
                              <w:t xml:space="preserve">If the final index value of </w:t>
                            </w:r>
                            <w:r>
                              <w:rPr>
                                <w:b/>
                                <w:sz w:val="15"/>
                              </w:rPr>
                              <w:t>any underlying index</w:t>
                            </w:r>
                            <w:r>
                              <w:rPr>
                                <w:sz w:val="15"/>
                              </w:rPr>
                              <w:t xml:space="preserve"> is </w:t>
                            </w:r>
                            <w:r>
                              <w:rPr>
                                <w:b/>
                                <w:sz w:val="15"/>
                              </w:rPr>
                              <w:t>less than</w:t>
                            </w:r>
                            <w:r>
                              <w:rPr>
                                <w:sz w:val="15"/>
                              </w:rPr>
                              <w:t xml:space="preserve"> its downside threshold level:</w:t>
                            </w:r>
                          </w:p>
                        </w:tc>
                        <w:tc>
                          <w:tcPr>
                            <w:tcW w:w="6000" w:type="dxa"/>
                            <w:tcBorders/>
                            <w:vAlign w:val="center"/>
                          </w:tcPr>
                          <w:p>
                            <w:pPr>
                              <w:pStyle w:val="TableContents"/>
                              <w:bidi w:val="0"/>
                              <w:spacing w:before="0" w:after="283"/>
                              <w:jc w:val="left"/>
                              <w:rPr>
                                <w:sz w:val="15"/>
                              </w:rPr>
                            </w:pPr>
                            <w:r>
                              <w:rPr>
                                <w:sz w:val="15"/>
                              </w:rPr>
                              <w:t xml:space="preserve">(i) the stated principal amount </w:t>
                            </w:r>
                            <w:r>
                              <w:rPr>
                                <w:i/>
                                <w:sz w:val="15"/>
                              </w:rPr>
                              <w:t>times</w:t>
                            </w:r>
                            <w:r>
                              <w:rPr>
                                <w:sz w:val="15"/>
                              </w:rPr>
                              <w:t xml:space="preserve"> (ii) the index performance factor of the worst performing underlying index.  This cash payment will be less than 75% of the stated principal amount of the securities and could be zero.</w:t>
                            </w:r>
                          </w:p>
                        </w:tc>
                      </w:tr>
                    </w:tbl>
                    <w:tbl>
                      <w:tblPr>
                        <w:tblW w:w="8620" w:type="dxa"/>
                        <w:jc w:val="left"/>
                        <w:tblInd w:w="0" w:type="dxa"/>
                        <w:tblLayout w:type="fixed"/>
                        <w:tblCellMar>
                          <w:top w:w="0" w:type="dxa"/>
                          <w:left w:w="0" w:type="dxa"/>
                          <w:bottom w:w="0" w:type="dxa"/>
                          <w:right w:w="0" w:type="dxa"/>
                        </w:tblCellMar>
                      </w:tblPr>
                      <w:tblGrid>
                        <w:gridCol w:w="3020"/>
                        <w:gridCol w:w="5600"/>
                      </w:tblGrid>
                      <w:t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Downside threshold level:</w:t>
                            </w:r>
                          </w:p>
                        </w:tc>
                        <w:tc>
                          <w:tcPr>
                            <w:tcW w:w="5600" w:type="dxa"/>
                            <w:tcBorders/>
                            <w:shd w:fill="DCEBF4" w:val="clear"/>
                            <w:vAlign w:val="center"/>
                          </w:tcPr>
                          <w:p>
                            <w:pPr>
                              <w:pStyle w:val="TableContents"/>
                              <w:bidi w:val="0"/>
                              <w:spacing w:before="0" w:after="283"/>
                              <w:jc w:val="left"/>
                              <w:rPr>
                                <w:sz w:val="15"/>
                              </w:rPr>
                            </w:pPr>
                            <w:r>
                              <w:rPr>
                                <w:sz w:val="15"/>
                              </w:rPr>
                              <w:t>With respect to each underlying index, 75% of its initial index value</w:t>
                            </w:r>
                          </w:p>
                        </w:tc>
                      </w:tr>
                      <w:t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Initial index value:</w:t>
                            </w:r>
                          </w:p>
                        </w:tc>
                        <w:tc>
                          <w:tcPr>
                            <w:tcW w:w="5600" w:type="dxa"/>
                            <w:tcBorders/>
                            <w:vAlign w:val="center"/>
                          </w:tcPr>
                          <w:p>
                            <w:pPr>
                              <w:pStyle w:val="TableContents"/>
                              <w:bidi w:val="0"/>
                              <w:spacing w:before="0" w:after="283"/>
                              <w:jc w:val="left"/>
                              <w:rPr>
                                <w:sz w:val="15"/>
                              </w:rPr>
                            </w:pPr>
                            <w:r>
                              <w:rPr>
                                <w:sz w:val="15"/>
                              </w:rPr>
                              <w:t>With respect to each underlying index, its closing level on the pricing date</w:t>
                            </w:r>
                          </w:p>
                        </w:tc>
                      </w:tr>
                      <w:t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Final index value:</w:t>
                            </w:r>
                          </w:p>
                        </w:tc>
                        <w:tc>
                          <w:tcPr>
                            <w:tcW w:w="5600" w:type="dxa"/>
                            <w:tcBorders/>
                            <w:shd w:fill="DCEBF4" w:val="clear"/>
                            <w:vAlign w:val="center"/>
                          </w:tcPr>
                          <w:p>
                            <w:pPr>
                              <w:pStyle w:val="TableContents"/>
                              <w:bidi w:val="0"/>
                              <w:spacing w:before="0" w:after="283"/>
                              <w:jc w:val="left"/>
                              <w:rPr>
                                <w:sz w:val="15"/>
                              </w:rPr>
                            </w:pPr>
                            <w:r>
                              <w:rPr>
                                <w:sz w:val="15"/>
                              </w:rPr>
                              <w:t>With respect to each underlying index, its closing level on the final determination date</w:t>
                            </w:r>
                          </w:p>
                        </w:tc>
                      </w:tr>
                      <w:t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Worst performing underlying index:</w:t>
                            </w:r>
                          </w:p>
                        </w:tc>
                        <w:tc>
                          <w:tcPr>
                            <w:tcW w:w="5600" w:type="dxa"/>
                            <w:tcBorders/>
                            <w:vAlign w:val="center"/>
                          </w:tcPr>
                          <w:p>
                            <w:pPr>
                              <w:pStyle w:val="TableContents"/>
                              <w:bidi w:val="0"/>
                              <w:spacing w:before="0" w:after="283"/>
                              <w:jc w:val="left"/>
                              <w:rPr>
                                <w:sz w:val="15"/>
                              </w:rPr>
                            </w:pPr>
                            <w:r>
                              <w:rPr>
                                <w:sz w:val="15"/>
                              </w:rPr>
                              <w:t>The underlying index with the worst index performance factor</w:t>
                            </w:r>
                          </w:p>
                        </w:tc>
                      </w:tr>
                      <w:t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Index performance factor:</w:t>
                            </w:r>
                          </w:p>
                        </w:tc>
                        <w:tc>
                          <w:tcPr>
                            <w:tcW w:w="5600" w:type="dxa"/>
                            <w:tcBorders/>
                            <w:shd w:fill="DCEBF4" w:val="clear"/>
                            <w:vAlign w:val="center"/>
                          </w:tcPr>
                          <w:p>
                            <w:pPr>
                              <w:pStyle w:val="TableContents"/>
                              <w:bidi w:val="0"/>
                              <w:spacing w:before="0" w:after="283"/>
                              <w:jc w:val="left"/>
                              <w:rPr>
                                <w:sz w:val="15"/>
                              </w:rPr>
                            </w:pPr>
                            <w:r>
                              <w:rPr>
                                <w:sz w:val="15"/>
                              </w:rPr>
                              <w:t xml:space="preserve">With respect to each underlying index, its final index value </w:t>
                            </w:r>
                            <w:r>
                              <w:rPr>
                                <w:i/>
                                <w:sz w:val="15"/>
                              </w:rPr>
                              <w:t xml:space="preserve">divided by </w:t>
                            </w:r>
                            <w:r>
                              <w:rPr>
                                <w:sz w:val="15"/>
                              </w:rPr>
                              <w:t>its initial index value</w:t>
                            </w:r>
                          </w:p>
                        </w:tc>
                      </w:tr>
                      <w:tr>
                        <w:tc>
                          <w:tcPr>
                            <w:tcW w:w="3020" w:type="dxa"/>
                            <w:tcBorders/>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Stated principal amount:</w:t>
                            </w:r>
                          </w:p>
                        </w:tc>
                        <w:tc>
                          <w:tcPr>
                            <w:tcW w:w="5600" w:type="dxa"/>
                            <w:tcBorders/>
                            <w:vAlign w:val="center"/>
                          </w:tcPr>
                          <w:p>
                            <w:pPr>
                              <w:pStyle w:val="TableContents"/>
                              <w:bidi w:val="0"/>
                              <w:spacing w:before="0" w:after="283"/>
                              <w:jc w:val="left"/>
                              <w:rPr>
                                <w:sz w:val="15"/>
                              </w:rPr>
                            </w:pPr>
                            <w:r>
                              <w:rPr>
                                <w:sz w:val="15"/>
                              </w:rPr>
                              <w:t>$1,000 per security</w:t>
                            </w:r>
                          </w:p>
                        </w:tc>
                      </w:tr>
                      <w:tr>
                        <w:tc>
                          <w:tcPr>
                            <w:tcW w:w="3020" w:type="dxa"/>
                            <w:tcBorders/>
                            <w:shd w:fill="DCEBF4" w:val="clear"/>
                            <w:vAlign w:val="center"/>
                          </w:tcPr>
                          <w:p>
                            <w:pPr>
                              <w:pStyle w:val="TableContents"/>
                              <w:bidi w:val="0"/>
                              <w:spacing w:before="0" w:after="283"/>
                              <w:jc w:val="left"/>
                              <w:rPr>
                                <w:rFonts w:ascii="Arial;Helvetica;Sans-Serif" w:hAnsi="Arial;Helvetica;Sans-Serif"/>
                                <w:b/>
                                <w:i w:val="false"/>
                                <w:caps w:val="false"/>
                                <w:smallCaps w:val="false"/>
                                <w:color w:val="296DC1"/>
                                <w:sz w:val="16"/>
                              </w:rPr>
                            </w:pPr>
                            <w:r>
                              <w:rPr>
                                <w:rFonts w:ascii="Arial;Helvetica;Sans-Serif" w:hAnsi="Arial;Helvetica;Sans-Serif"/>
                                <w:b/>
                                <w:i w:val="false"/>
                                <w:caps w:val="false"/>
                                <w:smallCaps w:val="false"/>
                                <w:color w:val="296DC1"/>
                                <w:sz w:val="16"/>
                              </w:rPr>
                              <w:t>Issue price:</w:t>
                            </w:r>
                          </w:p>
                        </w:tc>
                        <w:tc>
                          <w:tcPr>
                            <w:tcW w:w="5600" w:type="dxa"/>
                            <w:tcBorders/>
                            <w:shd w:fill="DCEBF4" w:val="clear"/>
                            <w:vAlign w:val="center"/>
                          </w:tcPr>
                          <w:p>
                            <w:pPr>
                              <w:pStyle w:val="TableContents"/>
                              <w:bidi w:val="0"/>
                              <w:spacing w:before="0" w:after="283"/>
                              <w:jc w:val="left"/>
                              <w:rPr>
                                <w:sz w:val="15"/>
                              </w:rPr>
                            </w:pPr>
                            <w:r>
                              <w:rPr>
                                <w:sz w:val="15"/>
                              </w:rPr>
                              <w:t>$1,000 per security</w:t>
                            </w:r>
                          </w:p>
                        </w:tc>
                      </w:tr>
                      <w:tr>
                        <w:tc>
                          <w:tcPr>
                            <w:tcW w:w="3020"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Pricing date:</w:t>
                            </w:r>
                          </w:p>
                        </w:tc>
                        <w:tc>
                          <w:tcPr>
                            <w:tcW w:w="5600" w:type="dxa"/>
                            <w:tcBorders/>
                            <w:vAlign w:val="center"/>
                          </w:tcPr>
                          <w:p>
                            <w:pPr>
                              <w:pStyle w:val="TableContents"/>
                              <w:bidi w:val="0"/>
                              <w:spacing w:before="0" w:after="283"/>
                              <w:jc w:val="left"/>
                              <w:rPr>
                                <w:sz w:val="15"/>
                              </w:rPr>
                            </w:pPr>
                            <w:r>
                              <w:rPr>
                                <w:sz w:val="15"/>
                              </w:rPr>
                              <w:t>Expected to be November 11, 2026</w:t>
                            </w:r>
                          </w:p>
                        </w:tc>
                      </w:tr>
                      <w:tr>
                        <w:tc>
                          <w:tcPr>
                            <w:tcW w:w="3020"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 xml:space="preserve">Original issue date (settlement date): </w:t>
                            </w:r>
                          </w:p>
                        </w:tc>
                        <w:tc>
                          <w:tcPr>
                            <w:tcW w:w="5600" w:type="dxa"/>
                            <w:tcBorders/>
                            <w:shd w:fill="DCEBF4" w:val="clear"/>
                            <w:vAlign w:val="center"/>
                          </w:tcPr>
                          <w:p>
                            <w:pPr>
                              <w:pStyle w:val="TableContents"/>
                              <w:bidi w:val="0"/>
                              <w:spacing w:before="0" w:after="283"/>
                              <w:jc w:val="left"/>
                              <w:rPr>
                                <w:sz w:val="15"/>
                              </w:rPr>
                            </w:pPr>
                            <w:r>
                              <w:rPr>
                                <w:sz w:val="15"/>
                              </w:rPr>
                              <w:t>3 business days after the pricing date</w:t>
                            </w:r>
                          </w:p>
                        </w:tc>
                      </w:tr>
                    </w:tbl>
                    <w:p>
                      <w:pPr>
                        <w:pStyle w:val="TextBody"/>
                        <w:bidi w:val="0"/>
                        <w:spacing w:before="0" w:after="283"/>
                        <w:jc w:val="left"/>
                      </w:p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75000" cy="9001125"/>
                <wp:effectExtent l="0" t="0" r="0" b="0"/>
                <wp:wrapSquare wrapText="left"/>
                <wp:docPr id="2" name="Frame2"/>
                <a:graphic xmlns:a="http://schemas.openxmlformats.org/drawingml/2006/main">
                  <a:graphicData uri="http://schemas.microsoft.com/office/word/2010/wordprocessingShape">
                    <wps:wsp>
                      <wps:cNvSpPr txBox="1"/>
                      <wps:spPr>
                        <a:xfrm>
                          <a:off x="0" y="0"/>
                          <a:ext cx="3175000" cy="900112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2217"/>
                              <w:gridCol w:w="7988"/>
                            </w:tblGrid>
                            <w:tr>
                              <w:tc>
                                <w:tcPr>
                                  <w:tcW w:w="221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988" w:type="dxa"/>
                                  <w:tcBorders/>
                                  <w:shd w:fill="DCEBF4" w:val="clear"/>
                                  <w:vAlign w:val="center"/>
                                </w:tcPr>
                                <w:p>
                                  <w:pPr>
                                    <w:pStyle w:val="TableContents"/>
                                    <w:bidi w:val="0"/>
                                    <w:spacing w:before="0" w:after="283"/>
                                    <w:jc w:val="left"/>
                                    <w:rPr>
                                      <w:sz w:val="15"/>
                                    </w:rPr>
                                  </w:pPr>
                                  <w:r>
                                    <w:rPr>
                                      <w:sz w:val="15"/>
                                    </w:rPr>
                                    <w:t>February 11, 2027, May 11, 2027, August 11, 2027, November 11, 2027, February 11, 2028, May 11, 2028, August 11, 2028 and November 13, 2028</w:t>
                                  </w:r>
                                </w:p>
                              </w:tc>
                            </w:tr>
                            <w:tr>
                              <w:tc>
                                <w:tcPr>
                                  <w:tcW w:w="221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988" w:type="dxa"/>
                                  <w:tcBorders/>
                                  <w:vAlign w:val="center"/>
                                </w:tcPr>
                                <w:p>
                                  <w:pPr>
                                    <w:pStyle w:val="TableContents"/>
                                    <w:bidi w:val="0"/>
                                    <w:spacing w:before="0" w:after="283"/>
                                    <w:jc w:val="left"/>
                                    <w:rPr>
                                      <w:sz w:val="15"/>
                                    </w:rPr>
                                  </w:pPr>
                                  <w:r>
                                    <w:rPr>
                                      <w:sz w:val="15"/>
                                    </w:rPr>
                                    <w:t>February 17, 2027, May 14, 2027, August 16, 2027, November 16, 2027, February 16, 2028, May 16, 2028, August 16, 2028 and the maturity date</w:t>
                                  </w:r>
                                </w:p>
                              </w:tc>
                            </w:tr>
                            <w:tr>
                              <w:tc>
                                <w:tcPr>
                                  <w:tcW w:w="221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988" w:type="dxa"/>
                                  <w:tcBorders/>
                                  <w:shd w:fill="DCEBF4" w:val="clear"/>
                                  <w:vAlign w:val="center"/>
                                </w:tcPr>
                                <w:p>
                                  <w:pPr>
                                    <w:pStyle w:val="TableContents"/>
                                    <w:bidi w:val="0"/>
                                    <w:spacing w:before="0" w:after="283"/>
                                    <w:jc w:val="left"/>
                                    <w:rPr>
                                      <w:sz w:val="15"/>
                                    </w:rPr>
                                  </w:pPr>
                                  <w:r>
                                    <w:rPr>
                                      <w:sz w:val="15"/>
                                    </w:rPr>
                                    <w:t>November 16, 2028</w:t>
                                  </w:r>
                                </w:p>
                              </w:tc>
                            </w:tr>
                            <w:tr>
                              <w:tc>
                                <w:tcPr>
                                  <w:tcW w:w="2217" w:type="dxa"/>
                                  <w:tcBorders/>
                                  <w:vAlign w:val="center"/>
                                </w:tcPr>
                                <w:p>
                                  <w:pPr>
                                    <w:pStyle w:val="TableContents"/>
                                    <w:bidi w:val="0"/>
                                    <w:spacing w:before="0" w:after="283"/>
                                    <w:jc w:val="left"/>
                                    <w:rPr>
                                      <w:b/>
                                      <w:color w:val="296DC1"/>
                                      <w:sz w:val="16"/>
                                    </w:rPr>
                                  </w:pPr>
                                  <w:r>
                                    <w:rPr>
                                      <w:b/>
                                      <w:color w:val="296DC1"/>
                                      <w:sz w:val="16"/>
                                    </w:rPr>
                                    <w:t>CUSIP / ISIN:</w:t>
                                  </w:r>
                                </w:p>
                              </w:tc>
                              <w:tc>
                                <w:tcPr>
                                  <w:tcW w:w="7988" w:type="dxa"/>
                                  <w:tcBorders/>
                                  <w:vAlign w:val="center"/>
                                </w:tcPr>
                                <w:p>
                                  <w:pPr>
                                    <w:pStyle w:val="TableContents"/>
                                    <w:bidi w:val="0"/>
                                    <w:spacing w:before="0" w:after="283"/>
                                    <w:jc w:val="left"/>
                                    <w:rPr>
                                      <w:sz w:val="15"/>
                                    </w:rPr>
                                  </w:pPr>
                                  <w:r>
                                    <w:rPr>
                                      <w:sz w:val="15"/>
                                    </w:rPr>
                                    <w:t>46661Q4C6 / US46661Q4C61</w:t>
                                  </w:r>
                                </w:p>
                              </w:tc>
                            </w:tr>
                            <w:tr>
                              <w:tc>
                                <w:tcPr>
                                  <w:tcW w:w="2217"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988" w:type="dxa"/>
                                  <w:tcBorders/>
                                  <w:shd w:fill="DCEBF4" w:val="clear"/>
                                  <w:vAlign w:val="center"/>
                                </w:tcPr>
                                <w:p>
                                  <w:pPr>
                                    <w:pStyle w:val="TableContents"/>
                                    <w:bidi w:val="0"/>
                                    <w:spacing w:before="0" w:after="283"/>
                                    <w:jc w:val="left"/>
                                  </w:pPr>
                                  <w:hyperlink r:id="rId2">
                                    <w:r>
                                      <w:rPr>
                                        <w:rStyle w:val="InternetLink"/>
                                        <w:sz w:val="15"/>
                                      </w:rPr>
                                      <w:t>http://www.sec.gov/Archives/edgar/data/19617/000121390026116015/</w:t>
                                      <w:br/>
                                      <w:t>ea0310989-01_424b2.htm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2540" w:type="dxa"/>
                              <w:jc w:val="center"/>
                              <w:tblInd w:w="0" w:type="dxa"/>
                              <w:tblLayout w:type="fixed"/>
                              <w:tblCellMar>
                                <w:top w:w="0" w:type="dxa"/>
                                <w:left w:w="0" w:type="dxa"/>
                                <w:bottom w:w="0" w:type="dxa"/>
                                <w:right w:w="0" w:type="dxa"/>
                              </w:tblCellMar>
                            </w:tblPr>
                            <w:tblGrid>
                              <w:gridCol w:w="2540"/>
                            </w:tblGrid>
                            <w:tr>
                              <w:tc>
                                <w:tcPr>
                                  <w:tcW w:w="2540" w:type="dxa"/>
                                  <w:tcBorders/>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tc>
                            </w:tr>
                          </w:tbl>
                          <w:tbl>
                            <w:tblPr>
                              <w:tblW w:w="10205" w:type="dxa"/>
                              <w:jc w:val="center"/>
                              <w:tblInd w:w="0" w:type="dxa"/>
                              <w:tblLayout w:type="fixed"/>
                              <w:tblCellMar>
                                <w:top w:w="0" w:type="dxa"/>
                                <w:left w:w="0" w:type="dxa"/>
                                <w:bottom w:w="0" w:type="dxa"/>
                                <w:right w:w="0" w:type="dxa"/>
                              </w:tblCellMar>
                            </w:tblPr>
                            <w:tblGrid>
                              <w:gridCol w:w="3578"/>
                              <w:gridCol w:w="6627"/>
                            </w:tblGrid>
                            <w:tr>
                              <w:tc>
                                <w:tcPr>
                                  <w:tcW w:w="3578"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Worst Performing Underlying Index</w:t>
                                  </w:r>
                                </w:p>
                              </w:tc>
                              <w:tc>
                                <w:tcPr>
                                  <w:tcW w:w="6627"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 contingent quarterly payment payable at maturity)</w:t>
                                  </w:r>
                                </w:p>
                              </w:tc>
                            </w:tr>
                            <w:t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bl>
                          <w:tbl>
                            <w:tblPr>
                              <w:tblW w:w="1495" w:type="dxa"/>
                              <w:jc w:val="center"/>
                              <w:tblInd w:w="0" w:type="dxa"/>
                              <w:tblLayout w:type="fixed"/>
                              <w:tblCellMar>
                                <w:top w:w="0" w:type="dxa"/>
                                <w:left w:w="0" w:type="dxa"/>
                                <w:bottom w:w="0" w:type="dxa"/>
                                <w:right w:w="0" w:type="dxa"/>
                              </w:tblCellMar>
                            </w:tblPr>
                            <w:tblGrid>
                              <w:gridCol w:w="740"/>
                              <w:gridCol w:w="755"/>
                            </w:tblGrid>
                            <w:t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$749.90</w:t>
                                  </w:r>
                                </w:p>
                              </w:tc>
                            </w:tr>
                            <w:t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$700.00</w:t>
                                  </w:r>
                                </w:p>
                              </w:tc>
                            </w:tr>
                            <w:t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r>
                            <w:t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283"/>
                              <w:jc w:val="left"/>
                            </w:p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08.75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2217"/>
                        <w:gridCol w:w="7988"/>
                      </w:tblGrid>
                      <w:tr>
                        <w:tc>
                          <w:tcPr>
                            <w:tcW w:w="221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Determination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988" w:type="dxa"/>
                            <w:tcBorders/>
                            <w:shd w:fill="DCEBF4" w:val="clear"/>
                            <w:vAlign w:val="center"/>
                          </w:tcPr>
                          <w:p>
                            <w:pPr>
                              <w:pStyle w:val="TableContents"/>
                              <w:bidi w:val="0"/>
                              <w:spacing w:before="0" w:after="283"/>
                              <w:jc w:val="left"/>
                              <w:rPr>
                                <w:sz w:val="15"/>
                              </w:rPr>
                            </w:pPr>
                            <w:r>
                              <w:rPr>
                                <w:sz w:val="15"/>
                              </w:rPr>
                              <w:t>February 11, 2027, May 11, 2027, August 11, 2027, November 11, 2027, February 11, 2028, May 11, 2028, August 11, 2028 and November 13, 2028</w:t>
                            </w:r>
                          </w:p>
                        </w:tc>
                      </w:tr>
                      <w:tr>
                        <w:tc>
                          <w:tcPr>
                            <w:tcW w:w="2217" w:type="dxa"/>
                            <w:tcBorders/>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Contingent payment dates</w:t>
                            </w:r>
                            <w:r>
                              <w:rPr>
                                <w:rFonts w:ascii="Arial;Helvetica;Sans-Serif" w:hAnsi="Arial;Helvetica;Sans-Serif"/>
                                <w:b/>
                                <w:color w:val="296DC1"/>
                                <w:position w:val="5"/>
                                <w:sz w:val="13"/>
                                <w:sz w:val="16"/>
                              </w:rPr>
                              <w:t>†</w:t>
                            </w:r>
                            <w:r>
                              <w:rPr>
                                <w:rFonts w:ascii="Arial;Helvetica;Sans-Serif" w:hAnsi="Arial;Helvetica;Sans-Serif"/>
                                <w:b/>
                                <w:color w:val="296DC1"/>
                                <w:sz w:val="16"/>
                              </w:rPr>
                              <w:t>:</w:t>
                            </w:r>
                          </w:p>
                        </w:tc>
                        <w:tc>
                          <w:tcPr>
                            <w:tcW w:w="7988" w:type="dxa"/>
                            <w:tcBorders/>
                            <w:vAlign w:val="center"/>
                          </w:tcPr>
                          <w:p>
                            <w:pPr>
                              <w:pStyle w:val="TableContents"/>
                              <w:bidi w:val="0"/>
                              <w:spacing w:before="0" w:after="283"/>
                              <w:jc w:val="left"/>
                              <w:rPr>
                                <w:sz w:val="15"/>
                              </w:rPr>
                            </w:pPr>
                            <w:r>
                              <w:rPr>
                                <w:sz w:val="15"/>
                              </w:rPr>
                              <w:t>February 17, 2027, May 14, 2027, August 16, 2027, November 16, 2027, February 16, 2028, May 16, 2028, August 16, 2028 and the maturity date</w:t>
                            </w:r>
                          </w:p>
                        </w:tc>
                      </w:tr>
                      <w:tr>
                        <w:tc>
                          <w:tcPr>
                            <w:tcW w:w="2217" w:type="dxa"/>
                            <w:tcBorders/>
                            <w:shd w:fill="DCEBF4" w:val="clear"/>
                            <w:vAlign w:val="center"/>
                          </w:tcPr>
                          <w:p>
                            <w:pPr>
                              <w:pStyle w:val="TableContents"/>
                              <w:bidi w:val="0"/>
                              <w:spacing w:before="0" w:after="283"/>
                              <w:jc w:val="left"/>
                              <w:rPr>
                                <w:rFonts w:ascii="Arial;Helvetica;Sans-Serif" w:hAnsi="Arial;Helvetica;Sans-Serif"/>
                                <w:b/>
                                <w:color w:val="296DC1"/>
                                <w:sz w:val="16"/>
                              </w:rPr>
                            </w:pPr>
                            <w:r>
                              <w:rPr>
                                <w:rFonts w:ascii="Arial;Helvetica;Sans-Serif" w:hAnsi="Arial;Helvetica;Sans-Serif"/>
                                <w:b/>
                                <w:color w:val="296DC1"/>
                                <w:sz w:val="16"/>
                              </w:rPr>
                              <w:t>Maturity date</w:t>
                            </w:r>
                            <w:r>
                              <w:rPr>
                                <w:rFonts w:ascii="Arial;Helvetica;Sans-Serif" w:hAnsi="Arial;Helvetica;Sans-Serif"/>
                                <w:b/>
                                <w:color w:val="296DC1"/>
                                <w:position w:val="5"/>
                                <w:sz w:val="13"/>
                                <w:sz w:val="16"/>
                              </w:rPr>
                              <w:t>†</w:t>
                            </w:r>
                            <w:r>
                              <w:rPr>
                                <w:rFonts w:ascii="Arial;Helvetica;Sans-Serif" w:hAnsi="Arial;Helvetica;Sans-Serif"/>
                                <w:b/>
                                <w:color w:val="296DC1"/>
                                <w:sz w:val="16"/>
                              </w:rPr>
                              <w:t xml:space="preserve">: </w:t>
                            </w:r>
                          </w:p>
                        </w:tc>
                        <w:tc>
                          <w:tcPr>
                            <w:tcW w:w="7988" w:type="dxa"/>
                            <w:tcBorders/>
                            <w:shd w:fill="DCEBF4" w:val="clear"/>
                            <w:vAlign w:val="center"/>
                          </w:tcPr>
                          <w:p>
                            <w:pPr>
                              <w:pStyle w:val="TableContents"/>
                              <w:bidi w:val="0"/>
                              <w:spacing w:before="0" w:after="283"/>
                              <w:jc w:val="left"/>
                              <w:rPr>
                                <w:sz w:val="15"/>
                              </w:rPr>
                            </w:pPr>
                            <w:r>
                              <w:rPr>
                                <w:sz w:val="15"/>
                              </w:rPr>
                              <w:t>November 16, 2028</w:t>
                            </w:r>
                          </w:p>
                        </w:tc>
                      </w:tr>
                      <w:tr>
                        <w:tc>
                          <w:tcPr>
                            <w:tcW w:w="2217" w:type="dxa"/>
                            <w:tcBorders/>
                            <w:vAlign w:val="center"/>
                          </w:tcPr>
                          <w:p>
                            <w:pPr>
                              <w:pStyle w:val="TableContents"/>
                              <w:bidi w:val="0"/>
                              <w:spacing w:before="0" w:after="283"/>
                              <w:jc w:val="left"/>
                              <w:rPr>
                                <w:b/>
                                <w:color w:val="296DC1"/>
                                <w:sz w:val="16"/>
                              </w:rPr>
                            </w:pPr>
                            <w:r>
                              <w:rPr>
                                <w:b/>
                                <w:color w:val="296DC1"/>
                                <w:sz w:val="16"/>
                              </w:rPr>
                              <w:t>CUSIP / ISIN:</w:t>
                            </w:r>
                          </w:p>
                        </w:tc>
                        <w:tc>
                          <w:tcPr>
                            <w:tcW w:w="7988" w:type="dxa"/>
                            <w:tcBorders/>
                            <w:vAlign w:val="center"/>
                          </w:tcPr>
                          <w:p>
                            <w:pPr>
                              <w:pStyle w:val="TableContents"/>
                              <w:bidi w:val="0"/>
                              <w:spacing w:before="0" w:after="283"/>
                              <w:jc w:val="left"/>
                              <w:rPr>
                                <w:sz w:val="15"/>
                              </w:rPr>
                            </w:pPr>
                            <w:r>
                              <w:rPr>
                                <w:sz w:val="15"/>
                              </w:rPr>
                              <w:t>46661Q4C6 / US46661Q4C61</w:t>
                            </w:r>
                          </w:p>
                        </w:tc>
                      </w:tr>
                      <w:tr>
                        <w:tc>
                          <w:tcPr>
                            <w:tcW w:w="2217" w:type="dxa"/>
                            <w:tcBorders/>
                            <w:shd w:fill="DCEBF4" w:val="clear"/>
                            <w:vAlign w:val="center"/>
                          </w:tcPr>
                          <w:p>
                            <w:pPr>
                              <w:pStyle w:val="TableContents"/>
                              <w:bidi w:val="0"/>
                              <w:spacing w:before="0" w:after="283"/>
                              <w:jc w:val="left"/>
                              <w:rPr>
                                <w:b/>
                                <w:color w:val="296DC1"/>
                                <w:sz w:val="16"/>
                              </w:rPr>
                            </w:pPr>
                            <w:r>
                              <w:rPr>
                                <w:b/>
                                <w:color w:val="296DC1"/>
                                <w:sz w:val="16"/>
                              </w:rPr>
                              <w:t xml:space="preserve">Preliminary pricing supplement: </w:t>
                            </w:r>
                          </w:p>
                        </w:tc>
                        <w:tc>
                          <w:tcPr>
                            <w:tcW w:w="7988" w:type="dxa"/>
                            <w:tcBorders/>
                            <w:shd w:fill="DCEBF4" w:val="clear"/>
                            <w:vAlign w:val="center"/>
                          </w:tcPr>
                          <w:p>
                            <w:pPr>
                              <w:pStyle w:val="TableContents"/>
                              <w:bidi w:val="0"/>
                              <w:spacing w:before="0" w:after="283"/>
                              <w:jc w:val="left"/>
                            </w:pPr>
                            <w:hyperlink r:id="rId3">
                              <w:r>
                                <w:rPr>
                                  <w:rStyle w:val="InternetLink"/>
                                  <w:sz w:val="15"/>
                                </w:rPr>
                                <w:t>http://www.sec.gov/Archives/edgar/data/19617/000121390026116015/</w:t>
                                <w:br/>
                                <w:t>ea0310989-01_424b2.htm</w:t>
                              </w:r>
                            </w:hyperlink>
                          </w:p>
                        </w:tc>
                      </w:tr>
                    </w:tbl>
                    <w:p>
                      <w:pPr>
                        <w:pStyle w:val="TextBody"/>
                        <w:bidi w:val="0"/>
                        <w:spacing w:before="0" w:after="40"/>
                        <w:jc w:val="left"/>
                        <w:rPr>
                          <w:caps w:val="false"/>
                          <w:smallCaps w:val="false"/>
                        </w:rPr>
                      </w:pPr>
                      <w:r>
                        <w:rPr>
                          <w:caps w:val="false"/>
                          <w:smallCaps w:val="false"/>
                          <w:position w:val="8"/>
                          <w:sz w:val="19"/>
                        </w:rPr>
                        <w:t>†</w:t>
                      </w:r>
                      <w:r>
                        <w:rPr>
                          <w:rFonts w:ascii="Arial;Helvetica;Sans-Serif" w:hAnsi="Arial;Helvetica;Sans-Serif"/>
                          <w:b w:val="false"/>
                          <w:i w:val="false"/>
                          <w:caps w:val="false"/>
                          <w:smallCaps w:val="false"/>
                          <w:sz w:val="16"/>
                        </w:rPr>
                        <w:t>Subject to postponement or early acceleration</w:t>
                      </w:r>
                    </w:p>
                    <w:p>
                      <w:pPr>
                        <w:pStyle w:val="TextBody"/>
                        <w:bidi w:val="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estimated value of the securities on the pricing date will be provided in the pricing supplement and will not be less than $940.00 per $1,000 stated principal amount security. For information about the estimated value of the securities, which likely will be lower than the price you paid for the securities, please see the hyperlink above.</w:t>
                      </w:r>
                    </w:p>
                    <w:p>
                      <w:pPr>
                        <w:pStyle w:val="TextBody"/>
                        <w:bidi w:val="0"/>
                        <w:spacing w:before="0" w:after="4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payment on the securities is subject to the credit risk of JPMorgan Financial, as issuer of the securities, and the credit risk of JPMorgan Chase &amp; Co., as guarantor of the securities.</w:t>
                      </w:r>
                    </w:p>
                    <w:tbl>
                      <w:tblPr>
                        <w:tblW w:w="2540" w:type="dxa"/>
                        <w:jc w:val="center"/>
                        <w:tblInd w:w="0" w:type="dxa"/>
                        <w:tblLayout w:type="fixed"/>
                        <w:tblCellMar>
                          <w:top w:w="0" w:type="dxa"/>
                          <w:left w:w="0" w:type="dxa"/>
                          <w:bottom w:w="0" w:type="dxa"/>
                          <w:right w:w="0" w:type="dxa"/>
                        </w:tblCellMar>
                      </w:tblPr>
                      <w:tblGrid>
                        <w:gridCol w:w="2540"/>
                      </w:tblGrid>
                      <w:tr>
                        <w:tc>
                          <w:tcPr>
                            <w:tcW w:w="2540" w:type="dxa"/>
                            <w:tcBorders/>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Hypothetical Payout at Maturity</w:t>
                            </w:r>
                          </w:p>
                        </w:tc>
                      </w:tr>
                    </w:tbl>
                    <w:tbl>
                      <w:tblPr>
                        <w:tblW w:w="10205" w:type="dxa"/>
                        <w:jc w:val="center"/>
                        <w:tblInd w:w="0" w:type="dxa"/>
                        <w:tblLayout w:type="fixed"/>
                        <w:tblCellMar>
                          <w:top w:w="0" w:type="dxa"/>
                          <w:left w:w="0" w:type="dxa"/>
                          <w:bottom w:w="0" w:type="dxa"/>
                          <w:right w:w="0" w:type="dxa"/>
                        </w:tblCellMar>
                      </w:tblPr>
                      <w:tblGrid>
                        <w:gridCol w:w="3578"/>
                        <w:gridCol w:w="6627"/>
                      </w:tblGrid>
                      <w:tr>
                        <w:tc>
                          <w:tcPr>
                            <w:tcW w:w="3578"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Worst Performing Underlying Index</w:t>
                            </w:r>
                          </w:p>
                        </w:tc>
                        <w:tc>
                          <w:tcPr>
                            <w:tcW w:w="6627" w:type="dxa"/>
                            <w:tcBorders/>
                            <w:shd w:fill="296DC1"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 at Maturity (excluding any contingent quarterly payment payable at maturity)</w:t>
                            </w:r>
                          </w:p>
                        </w:tc>
                      </w:tr>
                      <w:tr>
                        <w:tc>
                          <w:tcPr>
                            <w:tcW w:w="3578"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6627"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bl>
                    <w:tbl>
                      <w:tblPr>
                        <w:tblW w:w="1495" w:type="dxa"/>
                        <w:jc w:val="center"/>
                        <w:tblInd w:w="0" w:type="dxa"/>
                        <w:tblLayout w:type="fixed"/>
                        <w:tblCellMar>
                          <w:top w:w="0" w:type="dxa"/>
                          <w:left w:w="0" w:type="dxa"/>
                          <w:bottom w:w="0" w:type="dxa"/>
                          <w:right w:w="0" w:type="dxa"/>
                        </w:tblCellMar>
                      </w:tblPr>
                      <w:tblGrid>
                        <w:gridCol w:w="740"/>
                        <w:gridCol w:w="755"/>
                      </w:tblGrid>
                      <w:t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$1,000.00</w:t>
                            </w:r>
                          </w:p>
                        </w:tc>
                      </w:tr>
                      <w:t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-25.01%</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$749.90</w:t>
                            </w:r>
                          </w:p>
                        </w:tc>
                      </w:tr>
                      <w:t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$700.00</w:t>
                            </w:r>
                          </w:p>
                        </w:tc>
                      </w:tr>
                      <w:t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$600.00</w:t>
                            </w:r>
                          </w:p>
                        </w:tc>
                      </w:tr>
                      <w:t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$500.00</w:t>
                            </w:r>
                          </w:p>
                        </w:tc>
                      </w:tr>
                      <w:t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$400.00</w:t>
                            </w:r>
                          </w:p>
                        </w:tc>
                      </w:tr>
                      <w:tr>
                        <w:tc>
                          <w:tcPr>
                            <w:tcW w:w="74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-80.00%</w:t>
                            </w:r>
                          </w:p>
                        </w:tc>
                        <w:tc>
                          <w:tcPr>
                            <w:tcW w:w="755"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$200.00</w:t>
                            </w:r>
                          </w:p>
                        </w:tc>
                      </w:tr>
                      <w:tr>
                        <w:tc>
                          <w:tcPr>
                            <w:tcW w:w="740"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755" w:type="dxa"/>
                            <w:tcBorders/>
                            <w:shd w:fill="D9D9D9"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$0.00</w:t>
                            </w:r>
                          </w:p>
                        </w:tc>
                      </w:tr>
                    </w:tbl>
                    <w:p>
                      <w:pPr>
                        <w:pStyle w:val="TextBody"/>
                        <w:bidi w:val="0"/>
                        <w:spacing w:before="0" w:after="283"/>
                        <w:jc w:val="left"/>
                      </w:pPr>
                      <w:r/>
                    </w:p>
                  </w:txbxContent>
                </v:textbox>
                <w10:wrap type="square" side="left"/>
              </v:rect>
            </w:pict>
          </mc:Fallback>
        </mc:AlternateContent>
      </w:r>
    </w:p>
    <w:p>
      <w:pPr>
        <w:pStyle w:val="TextBody"/>
        <w:pBdr>
          <w:bottom w:val="single" w:sz="4" w:space="1" w:color="296DC1"/>
        </w:pBdr>
        <w:bidi w:val="0"/>
        <w:jc w:val="left"/>
        <w:rPr>
          <w:rFonts w:ascii="Arial;Helvetica;Sans-Serif" w:hAnsi="Arial;Helvetica;Sans-Serif"/>
          <w:b w:val="false"/>
          <w:i w:val="false"/>
          <w:caps w:val="false"/>
          <w:smallCaps w:val="false"/>
          <w:color w:val="296DC1"/>
          <w:sz w:val="32"/>
        </w:rPr>
      </w:pPr>
      <w:r>
        <w:rPr>
          <w:rFonts w:ascii="Arial;Helvetica;Sans-Serif" w:hAnsi="Arial;Helvetica;Sans-Serif"/>
          <w:b w:val="false"/>
          <w:i w:val="false"/>
          <w:caps w:val="false"/>
          <w:smallCaps w:val="false"/>
          <w:color w:val="296DC1"/>
          <w:sz w:val="32"/>
        </w:rPr>
        <w:t>2-Year RTY/NDX/SX5E Contingent Income Callable Securities</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Underlying Indices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For more information about the underlying indices, including historical performance information, see the accompanying preliminary pricing supplement.</w:t>
      </w:r>
    </w:p>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Risk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risks identified below are not exhaustive. Please see “Risk Factors” in the accompanying prospectus supplement, product supplement and preliminary pricing supplement for additional information.</w:t>
      </w:r>
    </w:p>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Securities Generally</w:t>
      </w:r>
    </w:p>
    <w:tbl>
      <w:tblPr>
        <w:tblW w:w="5000" w:type="pct"/>
        <w:jc w:val="left"/>
        <w:tblInd w:w="0" w:type="dxa"/>
        <w:tblLayout w:type="fixed"/>
        <w:tblCellMar>
          <w:top w:w="0" w:type="dxa"/>
          <w:left w:w="0" w:type="dxa"/>
          <w:bottom w:w="0" w:type="dxa"/>
          <w:right w:w="0" w:type="dxa"/>
        </w:tblCellMar>
      </w:tblPr>
      <w:tblGrid>
        <w:gridCol w:w="46"/>
        <w:gridCol w:w="152"/>
        <w:gridCol w:w="10007"/>
      </w:tblGrid>
      <w:tr>
        <w:tc>
          <w:tcPr>
            <w:tcW w:w="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7" w:type="dxa"/>
            <w:tcBorders/>
            <w:vAlign w:val="center"/>
          </w:tcPr>
          <w:p>
            <w:pPr>
              <w:pStyle w:val="TableContents"/>
              <w:bidi w:val="0"/>
              <w:spacing w:before="0" w:after="283"/>
              <w:jc w:val="left"/>
              <w:rPr>
                <w:sz w:val="18"/>
              </w:rPr>
            </w:pPr>
            <w:r>
              <w:rPr>
                <w:sz w:val="18"/>
              </w:rPr>
              <w:t xml:space="preserve">The securities do not guarantee the return of any principal and your investment in the securities may result in a loss.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You will not receive any contingent quarterly payment for any quarterly period if the closing level of any underlying index on the relevant determination date is less than its downside threshold level.</w:t>
            </w:r>
          </w:p>
        </w:tc>
      </w:tr>
    </w:tbl>
    <w:tbl>
      <w:tblPr>
        <w:tblW w:w="5000" w:type="pct"/>
        <w:jc w:val="left"/>
        <w:tblInd w:w="0" w:type="dxa"/>
        <w:tblLayout w:type="fixed"/>
        <w:tblCellMar>
          <w:top w:w="0" w:type="dxa"/>
          <w:left w:w="0" w:type="dxa"/>
          <w:bottom w:w="0" w:type="dxa"/>
          <w:right w:w="0" w:type="dxa"/>
        </w:tblCellMar>
      </w:tblPr>
      <w:tblGrid>
        <w:gridCol w:w="40"/>
        <w:gridCol w:w="134"/>
        <w:gridCol w:w="10031"/>
      </w:tblGrid>
      <w:tr>
        <w:tc>
          <w:tcPr>
            <w:tcW w:w="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31" w:type="dxa"/>
            <w:tcBorders/>
            <w:vAlign w:val="center"/>
          </w:tcPr>
          <w:p>
            <w:pPr>
              <w:pStyle w:val="TableContents"/>
              <w:bidi w:val="0"/>
              <w:spacing w:before="0" w:after="283"/>
              <w:jc w:val="left"/>
              <w:rPr>
                <w:sz w:val="18"/>
              </w:rPr>
            </w:pPr>
            <w:r>
              <w:rPr>
                <w:sz w:val="18"/>
              </w:rPr>
              <w:t>The contingent quarterly payment is based solely on the closing levels of the underlying indices on the specified determination dates.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You are exposed to the price risk of all three underlying indices, with respect to all the contingent quarterly payments, if any, and the payment at maturity, if any.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Because the securities are linked to the performance of the worst performing underlying index, you are exposed to greater risks of no contingent quarterly payments and sustaining a significant loss on your investment than if the securities were linked to just one underlying index.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the credit risks of JPMorgan Financial and JPMorgan Chase &amp; Co., and any actual or anticipated changes to our or JPMorgan Chase &amp; Co.’s credit ratings or credit spreads may adversely affect the market value of the securities.</w:t>
            </w:r>
          </w:p>
        </w:tc>
      </w:tr>
    </w:tbl>
    <w:tbl>
      <w:tblPr>
        <w:tblW w:w="5000" w:type="pct"/>
        <w:jc w:val="left"/>
        <w:tblInd w:w="0" w:type="dxa"/>
        <w:tblLayout w:type="fixed"/>
        <w:tblCellMar>
          <w:top w:w="0" w:type="dxa"/>
          <w:left w:w="0" w:type="dxa"/>
          <w:bottom w:w="0" w:type="dxa"/>
          <w:right w:w="0" w:type="dxa"/>
        </w:tblCellMar>
      </w:tblPr>
      <w:tblGrid>
        <w:gridCol w:w="54"/>
        <w:gridCol w:w="180"/>
        <w:gridCol w:w="9971"/>
      </w:tblGrid>
      <w:tr>
        <w:tc>
          <w:tcPr>
            <w:tcW w:w="5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1" w:type="dxa"/>
            <w:tcBorders/>
            <w:vAlign w:val="center"/>
          </w:tcPr>
          <w:p>
            <w:pPr>
              <w:pStyle w:val="TableContents"/>
              <w:bidi w:val="0"/>
              <w:spacing w:before="0" w:after="283"/>
              <w:jc w:val="left"/>
              <w:rPr>
                <w:sz w:val="18"/>
              </w:rPr>
            </w:pPr>
            <w:r>
              <w:rPr>
                <w:sz w:val="18"/>
              </w:rPr>
              <w:t>As a finance subsidiary, JPMorgan Financial has no independent activities and has limited assets.</w:t>
            </w:r>
          </w:p>
        </w:tc>
      </w:tr>
    </w:tbl>
    <w:tbl>
      <w:tblPr>
        <w:tblW w:w="5000" w:type="pct"/>
        <w:jc w:val="left"/>
        <w:tblInd w:w="0" w:type="dxa"/>
        <w:tblLayout w:type="fixed"/>
        <w:tblCellMar>
          <w:top w:w="0" w:type="dxa"/>
          <w:left w:w="0" w:type="dxa"/>
          <w:bottom w:w="0" w:type="dxa"/>
          <w:right w:w="0" w:type="dxa"/>
        </w:tblCellMar>
      </w:tblPr>
      <w:tblGrid>
        <w:gridCol w:w="72"/>
        <w:gridCol w:w="237"/>
        <w:gridCol w:w="9896"/>
      </w:tblGrid>
      <w:tr>
        <w:tc>
          <w:tcPr>
            <w:tcW w:w="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896" w:type="dxa"/>
            <w:tcBorders/>
            <w:vAlign w:val="center"/>
          </w:tcPr>
          <w:p>
            <w:pPr>
              <w:pStyle w:val="TableContents"/>
              <w:bidi w:val="0"/>
              <w:spacing w:before="0" w:after="283"/>
              <w:jc w:val="left"/>
              <w:rPr>
                <w:sz w:val="18"/>
              </w:rPr>
            </w:pPr>
            <w:r>
              <w:rPr>
                <w:sz w:val="18"/>
              </w:rPr>
              <w:t>Investors will not participate in any appreciation of any underlying index.</w:t>
            </w:r>
          </w:p>
        </w:tc>
      </w:tr>
    </w:tbl>
    <w:tbl>
      <w:tblPr>
        <w:tblW w:w="5000" w:type="pct"/>
        <w:jc w:val="left"/>
        <w:tblInd w:w="0" w:type="dxa"/>
        <w:tblLayout w:type="fixed"/>
        <w:tblCellMar>
          <w:top w:w="0" w:type="dxa"/>
          <w:left w:w="0" w:type="dxa"/>
          <w:bottom w:w="0" w:type="dxa"/>
          <w:right w:w="0" w:type="dxa"/>
        </w:tblCellMar>
      </w:tblPr>
      <w:tblGrid>
        <w:gridCol w:w="213"/>
        <w:gridCol w:w="701"/>
        <w:gridCol w:w="9291"/>
      </w:tblGrid>
      <w:tr>
        <w:tc>
          <w:tcPr>
            <w:tcW w:w="21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291" w:type="dxa"/>
            <w:tcBorders/>
            <w:vAlign w:val="center"/>
          </w:tcPr>
          <w:p>
            <w:pPr>
              <w:pStyle w:val="TableContents"/>
              <w:bidi w:val="0"/>
              <w:spacing w:before="0" w:after="283"/>
              <w:jc w:val="left"/>
              <w:rPr>
                <w:sz w:val="18"/>
              </w:rPr>
            </w:pPr>
            <w:r>
              <w:rPr>
                <w:sz w:val="18"/>
              </w:rPr>
              <w:t xml:space="preserve">Early redemption risk. </w:t>
            </w:r>
          </w:p>
        </w:tc>
      </w:tr>
    </w:tbl>
    <w:tbl>
      <w:tblPr>
        <w:tblW w:w="5000" w:type="pct"/>
        <w:jc w:val="left"/>
        <w:tblInd w:w="0" w:type="dxa"/>
        <w:tblLayout w:type="fixed"/>
        <w:tblCellMar>
          <w:top w:w="0" w:type="dxa"/>
          <w:left w:w="0" w:type="dxa"/>
          <w:bottom w:w="0" w:type="dxa"/>
          <w:right w:w="0" w:type="dxa"/>
        </w:tblCellMar>
      </w:tblPr>
      <w:tblGrid>
        <w:gridCol w:w="148"/>
        <w:gridCol w:w="488"/>
        <w:gridCol w:w="9569"/>
      </w:tblGrid>
      <w:tr>
        <w:tc>
          <w:tcPr>
            <w:tcW w:w="14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569" w:type="dxa"/>
            <w:tcBorders/>
            <w:vAlign w:val="center"/>
          </w:tcPr>
          <w:p>
            <w:pPr>
              <w:pStyle w:val="TableContents"/>
              <w:bidi w:val="0"/>
              <w:spacing w:before="0" w:after="283"/>
              <w:jc w:val="left"/>
              <w:rPr>
                <w:sz w:val="18"/>
              </w:rPr>
            </w:pPr>
            <w:r>
              <w:rPr>
                <w:sz w:val="18"/>
              </w:rPr>
              <w:t>Secondary trading may be limited.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We may accelerate your securities in our sole discretion and the calculation agent may adjust their final payment in good faith and in a commercially reasonable manner if an acceleration event occurs.</w:t>
            </w:r>
          </w:p>
        </w:tc>
      </w:tr>
    </w:tbl>
    <w:tbl>
      <w:tblPr>
        <w:tblW w:w="5000" w:type="pct"/>
        <w:jc w:val="left"/>
        <w:tblInd w:w="0" w:type="dxa"/>
        <w:tblLayout w:type="fixed"/>
        <w:tblCellMar>
          <w:top w:w="0" w:type="dxa"/>
          <w:left w:w="0" w:type="dxa"/>
          <w:bottom w:w="0" w:type="dxa"/>
          <w:right w:w="0" w:type="dxa"/>
        </w:tblCellMar>
      </w:tblPr>
      <w:tblGrid>
        <w:gridCol w:w="53"/>
        <w:gridCol w:w="178"/>
        <w:gridCol w:w="9974"/>
      </w:tblGrid>
      <w:tr>
        <w:tc>
          <w:tcPr>
            <w:tcW w:w="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74" w:type="dxa"/>
            <w:tcBorders/>
            <w:vAlign w:val="center"/>
          </w:tcPr>
          <w:p>
            <w:pPr>
              <w:pStyle w:val="TableContents"/>
              <w:bidi w:val="0"/>
              <w:spacing w:before="0" w:after="283"/>
              <w:jc w:val="left"/>
              <w:rPr>
                <w:sz w:val="18"/>
              </w:rPr>
            </w:pPr>
            <w:r>
              <w:rPr>
                <w:sz w:val="18"/>
              </w:rPr>
              <w:t>The final terms and estimated valuation of the securities will be provided in the pricing supplement.</w:t>
            </w:r>
          </w:p>
        </w:tc>
      </w:tr>
    </w:tbl>
    <w:tbl>
      <w:tblPr>
        <w:tblW w:w="5000" w:type="pct"/>
        <w:jc w:val="left"/>
        <w:tblInd w:w="0" w:type="dxa"/>
        <w:tblLayout w:type="fixed"/>
        <w:tblCellMar>
          <w:top w:w="0" w:type="dxa"/>
          <w:left w:w="0" w:type="dxa"/>
          <w:bottom w:w="0" w:type="dxa"/>
          <w:right w:w="0" w:type="dxa"/>
        </w:tblCellMar>
      </w:tblPr>
      <w:tblGrid>
        <w:gridCol w:w="59"/>
        <w:gridCol w:w="195"/>
        <w:gridCol w:w="9951"/>
      </w:tblGrid>
      <w:tr>
        <w:tc>
          <w:tcPr>
            <w:tcW w:w="5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51" w:type="dxa"/>
            <w:tcBorders/>
            <w:vAlign w:val="center"/>
          </w:tcPr>
          <w:p>
            <w:pPr>
              <w:pStyle w:val="TableContents"/>
              <w:bidi w:val="0"/>
              <w:spacing w:before="0" w:after="283"/>
              <w:jc w:val="left"/>
              <w:rPr>
                <w:sz w:val="18"/>
              </w:rPr>
            </w:pPr>
            <w:r>
              <w:rPr>
                <w:sz w:val="18"/>
              </w:rPr>
              <w:t>The U.S. federal income tax consequences of an investment in the securities are uncertain.</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Conflicts of Interest</w:t>
      </w:r>
    </w:p>
    <w:tbl>
      <w:tblPr>
        <w:tblW w:w="5000" w:type="pct"/>
        <w:jc w:val="left"/>
        <w:tblInd w:w="0" w:type="dxa"/>
        <w:tblLayout w:type="fixed"/>
        <w:tblCellMar>
          <w:top w:w="0" w:type="dxa"/>
          <w:left w:w="0" w:type="dxa"/>
          <w:bottom w:w="0" w:type="dxa"/>
          <w:right w:w="0" w:type="dxa"/>
        </w:tblCellMar>
      </w:tblPr>
      <w:tblGrid>
        <w:gridCol w:w="37"/>
        <w:gridCol w:w="125"/>
        <w:gridCol w:w="10043"/>
      </w:tblGrid>
      <w:t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 xml:space="preserve">Economic interests of the issuer, the guarantor, the calculation agent, the agent of the offering of the securities and other affiliates of the issuer may be different from those of investors. </w:t>
            </w:r>
          </w:p>
        </w:tc>
      </w:tr>
    </w:tbl>
    <w:tbl>
      <w:tblPr>
        <w:tblW w:w="5000" w:type="pct"/>
        <w:jc w:val="left"/>
        <w:tblInd w:w="0" w:type="dxa"/>
        <w:tblLayout w:type="fixed"/>
        <w:tblCellMar>
          <w:top w:w="0" w:type="dxa"/>
          <w:left w:w="0" w:type="dxa"/>
          <w:bottom w:w="0" w:type="dxa"/>
          <w:right w:w="0" w:type="dxa"/>
        </w:tblCellMar>
      </w:tblPr>
      <w:tblGrid>
        <w:gridCol w:w="48"/>
        <w:gridCol w:w="161"/>
        <w:gridCol w:w="9996"/>
      </w:tblGrid>
      <w:tr>
        <w:tc>
          <w:tcPr>
            <w:tcW w:w="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96" w:type="dxa"/>
            <w:tcBorders/>
            <w:vAlign w:val="center"/>
          </w:tcPr>
          <w:p>
            <w:pPr>
              <w:pStyle w:val="TableContents"/>
              <w:bidi w:val="0"/>
              <w:spacing w:before="0" w:after="283"/>
              <w:jc w:val="left"/>
              <w:rPr>
                <w:sz w:val="18"/>
              </w:rPr>
            </w:pPr>
            <w:r>
              <w:rPr>
                <w:sz w:val="18"/>
              </w:rPr>
              <w:t>Hedging and trading activities by the issuer and its affiliates could potentially affect the value of the securities.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Estimated Value and Secondary Market Prices of the Securities</w:t>
      </w:r>
    </w:p>
    <w:tbl>
      <w:tblPr>
        <w:tblW w:w="5000" w:type="pct"/>
        <w:jc w:val="left"/>
        <w:tblInd w:w="0" w:type="dxa"/>
        <w:tblLayout w:type="fixed"/>
        <w:tblCellMar>
          <w:top w:w="0" w:type="dxa"/>
          <w:left w:w="0" w:type="dxa"/>
          <w:bottom w:w="0" w:type="dxa"/>
          <w:right w:w="0" w:type="dxa"/>
        </w:tblCellMar>
      </w:tblPr>
      <w:tblGrid>
        <w:gridCol w:w="47"/>
        <w:gridCol w:w="158"/>
        <w:gridCol w:w="10000"/>
      </w:tblGrid>
      <w:t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sz w:val="18"/>
              </w:rPr>
            </w:pPr>
            <w:r>
              <w:rPr>
                <w:sz w:val="18"/>
              </w:rPr>
              <w:t>The estimated value of the securities will be lower than the original issue price (price to public) of the securities</w:t>
            </w:r>
            <w:r>
              <w:rPr>
                <w:rFonts w:ascii="Arial;Helvetica;Sans-Serif" w:hAnsi="Arial;Helvetica;Sans-Serif"/>
                <w:b w:val="false"/>
                <w:sz w:val="18"/>
              </w:rPr>
              <w:t>.</w:t>
            </w:r>
          </w:p>
        </w:tc>
      </w:tr>
    </w:tbl>
    <w:tbl>
      <w:tblPr>
        <w:tblW w:w="8958" w:type="dxa"/>
        <w:jc w:val="left"/>
        <w:tblInd w:w="0" w:type="dxa"/>
        <w:tblLayout w:type="fixed"/>
        <w:tblCellMar>
          <w:top w:w="0" w:type="dxa"/>
          <w:left w:w="0" w:type="dxa"/>
          <w:bottom w:w="0" w:type="dxa"/>
          <w:right w:w="0" w:type="dxa"/>
        </w:tblCellMar>
      </w:tblPr>
      <w:tblGrid>
        <w:gridCol w:w="38"/>
        <w:gridCol w:w="125"/>
        <w:gridCol w:w="8795"/>
      </w:tblGrid>
      <w:t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8795" w:type="dxa"/>
            <w:tcBorders/>
            <w:vAlign w:val="center"/>
          </w:tcPr>
          <w:p>
            <w:pPr>
              <w:pStyle w:val="TableContents"/>
              <w:bidi w:val="0"/>
              <w:spacing w:before="0" w:after="283"/>
              <w:jc w:val="both"/>
            </w:pPr>
            <w:r>
              <w:rPr>
                <w:sz w:val="18"/>
              </w:rPr>
              <w:t>The estimated value of the securities does not represent future values of the securities and may differ from others’ estimates</w:t>
            </w:r>
            <w:r>
              <w:t>.</w:t>
            </w:r>
          </w:p>
        </w:tc>
      </w:tr>
    </w:tbl>
    <w:tbl>
      <w:tblPr>
        <w:tblW w:w="5000" w:type="pct"/>
        <w:jc w:val="left"/>
        <w:tblInd w:w="0" w:type="dxa"/>
        <w:tblLayout w:type="fixed"/>
        <w:tblCellMar>
          <w:top w:w="0" w:type="dxa"/>
          <w:left w:w="0" w:type="dxa"/>
          <w:bottom w:w="0" w:type="dxa"/>
          <w:right w:w="0" w:type="dxa"/>
        </w:tblCellMar>
      </w:tblPr>
      <w:tblGrid>
        <w:gridCol w:w="53"/>
        <w:gridCol w:w="176"/>
        <w:gridCol w:w="9976"/>
      </w:tblGrid>
      <w:tr>
        <w:tc>
          <w:tcPr>
            <w:tcW w:w="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76"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estimated value of the securities is derived by reference to an internal funding rate.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43"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The value of the securities as published by J.P. Morgan Securities LLC (and which may be reflected on customer account statements) may be higher than the then-current estimated value of the securities for a limited time period.</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9990" w:type="dxa"/>
            <w:tcBorders/>
            <w:vAlign w:val="center"/>
          </w:tcPr>
          <w:p>
            <w:pPr>
              <w:pStyle w:val="TableContents"/>
              <w:bidi w:val="0"/>
              <w:spacing w:before="0" w:after="283"/>
              <w:jc w:val="left"/>
              <w:rPr>
                <w:sz w:val="18"/>
              </w:rPr>
            </w:pPr>
            <w:r>
              <w:rPr>
                <w:sz w:val="18"/>
              </w:rPr>
              <w:t>Secondary market prices of the securities will likely be lower than the original issue price of the securities</w:t>
            </w:r>
            <w:r>
              <w:rPr>
                <w:rFonts w:ascii="Arial;Helvetica;Sans-Serif" w:hAnsi="Arial;Helvetica;Sans-Serif"/>
                <w:b w:val="false"/>
                <w:sz w:val="18"/>
              </w:rPr>
              <w:t xml:space="preserve">. </w:t>
            </w:r>
          </w:p>
        </w:tc>
      </w:tr>
    </w:tbl>
    <w:tbl>
      <w:tblPr>
        <w:tblW w:w="5000" w:type="pct"/>
        <w:jc w:val="left"/>
        <w:tblInd w:w="0" w:type="dxa"/>
        <w:tblLayout w:type="fixed"/>
        <w:tblCellMar>
          <w:top w:w="0" w:type="dxa"/>
          <w:left w:w="0" w:type="dxa"/>
          <w:bottom w:w="0" w:type="dxa"/>
          <w:right w:w="0" w:type="dxa"/>
        </w:tblCellMar>
      </w:tblPr>
      <w:tblGrid>
        <w:gridCol w:w="47"/>
        <w:gridCol w:w="158"/>
        <w:gridCol w:w="10000"/>
      </w:tblGrid>
      <w:t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b w:val="false"/>
                <w:color w:val="A3C4EB"/>
                <w:sz w:val="24"/>
              </w:rPr>
            </w:pPr>
            <w:r>
              <w:rPr>
                <w:rFonts w:ascii="Wingdings" w:hAnsi="Wingdings"/>
                <w:b w:val="false"/>
                <w:color w:val="A3C4EB"/>
                <w:sz w:val="24"/>
              </w:rPr>
              <w:t>§</w:t>
            </w:r>
          </w:p>
        </w:tc>
        <w:tc>
          <w:tcPr>
            <w:tcW w:w="10000" w:type="dxa"/>
            <w:tcBorders/>
            <w:vAlign w:val="center"/>
          </w:tcPr>
          <w:p>
            <w:pPr>
              <w:pStyle w:val="TableContents"/>
              <w:bidi w:val="0"/>
              <w:spacing w:before="0" w:after="283"/>
              <w:jc w:val="left"/>
              <w:rPr>
                <w:rFonts w:ascii="Arial;Helvetica;Sans-Serif" w:hAnsi="Arial;Helvetica;Sans-Serif"/>
                <w:b w:val="false"/>
                <w:sz w:val="18"/>
              </w:rPr>
            </w:pPr>
            <w:r>
              <w:rPr>
                <w:rFonts w:ascii="Arial;Helvetica;Sans-Serif" w:hAnsi="Arial;Helvetica;Sans-Serif"/>
                <w:b w:val="false"/>
                <w:sz w:val="18"/>
              </w:rPr>
              <w:t>Secondary market prices of the securities will be impacted by many economic and market factors.</w:t>
            </w:r>
          </w:p>
        </w:tc>
      </w:tr>
    </w:tbl>
    <w:p>
      <w:pPr>
        <w:pStyle w:val="TextBody"/>
        <w:bidi w:val="0"/>
        <w:ind w:left="360" w:right="0" w:hanging="360"/>
        <w:jc w:val="left"/>
        <w:rPr>
          <w:rFonts w:ascii="Arial;Helvetica;Sans-Serif" w:hAnsi="Arial;Helvetica;Sans-Serif"/>
          <w:b w:val="false"/>
          <w:i w:val="false"/>
          <w:caps w:val="false"/>
          <w:smallCaps w:val="false"/>
          <w:color w:val="296DC1"/>
          <w:sz w:val="20"/>
        </w:rPr>
      </w:pPr>
      <w:r>
        <w:rPr>
          <w:rFonts w:ascii="Arial;Helvetica;Sans-Serif" w:hAnsi="Arial;Helvetica;Sans-Serif"/>
          <w:b w:val="false"/>
          <w:i w:val="false"/>
          <w:caps w:val="false"/>
          <w:smallCaps w:val="false"/>
          <w:color w:val="296DC1"/>
          <w:sz w:val="20"/>
        </w:rPr>
        <w:t>Risks Relating to the Underlying Indices</w:t>
      </w:r>
    </w:p>
    <w:tbl>
      <w:tblPr>
        <w:tblW w:w="5000" w:type="pct"/>
        <w:jc w:val="left"/>
        <w:tblInd w:w="0" w:type="dxa"/>
        <w:tblLayout w:type="fixed"/>
        <w:tblCellMar>
          <w:top w:w="0" w:type="dxa"/>
          <w:left w:w="0" w:type="dxa"/>
          <w:bottom w:w="0" w:type="dxa"/>
          <w:right w:w="0" w:type="dxa"/>
        </w:tblCellMar>
      </w:tblPr>
      <w:tblGrid>
        <w:gridCol w:w="66"/>
        <w:gridCol w:w="218"/>
        <w:gridCol w:w="9921"/>
      </w:tblGrid>
      <w:tr>
        <w:tc>
          <w:tcPr>
            <w:tcW w:w="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21" w:type="dxa"/>
            <w:tcBorders/>
            <w:vAlign w:val="center"/>
          </w:tcPr>
          <w:p>
            <w:pPr>
              <w:pStyle w:val="TableContents"/>
              <w:bidi w:val="0"/>
              <w:spacing w:before="0" w:after="283"/>
              <w:jc w:val="left"/>
              <w:rPr>
                <w:sz w:val="18"/>
              </w:rPr>
            </w:pPr>
            <w:r>
              <w:rPr>
                <w:sz w:val="18"/>
              </w:rPr>
              <w:t>Investing in the securities is not equivalent to investing in any underlying index.</w:t>
            </w:r>
          </w:p>
        </w:tc>
      </w:tr>
    </w:tbl>
    <w:tbl>
      <w:tblPr>
        <w:tblW w:w="5000" w:type="pct"/>
        <w:jc w:val="left"/>
        <w:tblInd w:w="0" w:type="dxa"/>
        <w:tblLayout w:type="fixed"/>
        <w:tblCellMar>
          <w:top w:w="0" w:type="dxa"/>
          <w:left w:w="0" w:type="dxa"/>
          <w:bottom w:w="0" w:type="dxa"/>
          <w:right w:w="0" w:type="dxa"/>
        </w:tblCellMar>
      </w:tblPr>
      <w:tblGrid>
        <w:gridCol w:w="61"/>
        <w:gridCol w:w="203"/>
        <w:gridCol w:w="9941"/>
      </w:tblGrid>
      <w:tr>
        <w:tc>
          <w:tcPr>
            <w:tcW w:w="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9941" w:type="dxa"/>
            <w:tcBorders/>
            <w:vAlign w:val="center"/>
          </w:tcPr>
          <w:p>
            <w:pPr>
              <w:pStyle w:val="TableContents"/>
              <w:bidi w:val="0"/>
              <w:spacing w:before="0" w:after="283"/>
              <w:jc w:val="left"/>
              <w:rPr>
                <w:sz w:val="18"/>
              </w:rPr>
            </w:pPr>
            <w:r>
              <w:rPr>
                <w:sz w:val="18"/>
              </w:rPr>
              <w:t>Adjustments to any underlying index could adversely affect the value of the securities.</w:t>
            </w:r>
          </w:p>
        </w:tc>
      </w:tr>
    </w:tbl>
    <w:tbl>
      <w:tblPr>
        <w:tblW w:w="8883" w:type="dxa"/>
        <w:jc w:val="left"/>
        <w:tblInd w:w="0" w:type="dxa"/>
        <w:tblLayout w:type="fixed"/>
        <w:tblCellMar>
          <w:top w:w="0" w:type="dxa"/>
          <w:left w:w="0" w:type="dxa"/>
          <w:bottom w:w="0" w:type="dxa"/>
          <w:right w:w="0" w:type="dxa"/>
        </w:tblCellMar>
      </w:tblPr>
      <w:tblGrid>
        <w:gridCol w:w="38"/>
        <w:gridCol w:w="125"/>
        <w:gridCol w:w="8720"/>
      </w:tblGrid>
      <w:t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8720" w:type="dxa"/>
            <w:tcBorders/>
            <w:vAlign w:val="center"/>
          </w:tcPr>
          <w:p>
            <w:pPr>
              <w:pStyle w:val="TableContents"/>
              <w:bidi w:val="0"/>
              <w:spacing w:before="0" w:after="283"/>
              <w:jc w:val="both"/>
              <w:rPr>
                <w:sz w:val="18"/>
              </w:rPr>
            </w:pPr>
            <w:r>
              <w:rPr>
                <w:sz w:val="18"/>
              </w:rPr>
              <w:t>An investment in the securities is subject to risks associated with small capitalization stocks with respect to the RTY Index.</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43" w:type="dxa"/>
            <w:tcBorders/>
            <w:vAlign w:val="center"/>
          </w:tcPr>
          <w:p>
            <w:pPr>
              <w:pStyle w:val="TableContents"/>
              <w:bidi w:val="0"/>
              <w:spacing w:before="0" w:after="283"/>
              <w:jc w:val="left"/>
              <w:rPr>
                <w:sz w:val="18"/>
              </w:rPr>
            </w:pPr>
            <w:r>
              <w:rPr>
                <w:sz w:val="18"/>
              </w:rPr>
              <w:t>The securities are subject to risks associated with securities issued by non-U.S. companies with respect to the NDX Index and the SX5E Index.</w:t>
            </w:r>
          </w:p>
        </w:tc>
      </w:tr>
    </w:tbl>
    <w:tbl>
      <w:tblPr>
        <w:tblW w:w="5000" w:type="pct"/>
        <w:jc w:val="left"/>
        <w:tblInd w:w="0" w:type="dxa"/>
        <w:tblLayout w:type="fixed"/>
        <w:tblCellMar>
          <w:top w:w="0" w:type="dxa"/>
          <w:left w:w="0" w:type="dxa"/>
          <w:bottom w:w="0" w:type="dxa"/>
          <w:right w:w="0" w:type="dxa"/>
        </w:tblCellMar>
      </w:tblPr>
      <w:tblGrid>
        <w:gridCol w:w="47"/>
        <w:gridCol w:w="158"/>
        <w:gridCol w:w="10000"/>
      </w:tblGrid>
      <w:tr>
        <w:tc>
          <w:tcPr>
            <w:tcW w:w="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00" w:type="dxa"/>
            <w:tcBorders/>
            <w:vAlign w:val="center"/>
          </w:tcPr>
          <w:p>
            <w:pPr>
              <w:pStyle w:val="TableContents"/>
              <w:bidi w:val="0"/>
              <w:spacing w:before="0" w:after="283"/>
              <w:jc w:val="left"/>
              <w:rPr>
                <w:sz w:val="18"/>
              </w:rPr>
            </w:pPr>
            <w:r>
              <w:rPr>
                <w:sz w:val="18"/>
              </w:rPr>
              <w:t>The securities are not directly exposed to fluctuations in foreign exchange rates with respect to the SX5E Index.</w:t>
            </w:r>
          </w:p>
        </w:tc>
      </w:tr>
    </w:tbl>
    <w:tbl>
      <w:tblPr>
        <w:tblW w:w="5000" w:type="pct"/>
        <w:jc w:val="left"/>
        <w:tblInd w:w="0" w:type="dxa"/>
        <w:tblLayout w:type="fixed"/>
        <w:tblCellMar>
          <w:top w:w="0" w:type="dxa"/>
          <w:left w:w="0" w:type="dxa"/>
          <w:bottom w:w="0" w:type="dxa"/>
          <w:right w:w="0" w:type="dxa"/>
        </w:tblCellMar>
      </w:tblPr>
      <w:tblGrid>
        <w:gridCol w:w="42"/>
        <w:gridCol w:w="141"/>
        <w:gridCol w:w="10022"/>
      </w:tblGrid>
      <w:tr>
        <w:tc>
          <w:tcPr>
            <w:tcW w:w="4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Wingdings" w:hAnsi="Wingdings"/>
                <w:color w:val="A3C4EB"/>
                <w:sz w:val="24"/>
              </w:rPr>
            </w:pPr>
            <w:r>
              <w:rPr>
                <w:rFonts w:ascii="Wingdings" w:hAnsi="Wingdings"/>
                <w:color w:val="A3C4EB"/>
                <w:sz w:val="24"/>
              </w:rPr>
              <w:t>§</w:t>
            </w:r>
          </w:p>
        </w:tc>
        <w:tc>
          <w:tcPr>
            <w:tcW w:w="10022" w:type="dxa"/>
            <w:tcBorders/>
            <w:vAlign w:val="center"/>
          </w:tcPr>
          <w:p>
            <w:pPr>
              <w:pStyle w:val="TableContents"/>
              <w:bidi w:val="0"/>
              <w:spacing w:before="0" w:after="283"/>
              <w:jc w:val="left"/>
              <w:rPr>
                <w:sz w:val="18"/>
              </w:rPr>
            </w:pPr>
            <w:r>
              <w:rPr>
                <w:sz w:val="18"/>
              </w:rPr>
              <w:t xml:space="preserve">Governmental legislative and regulatory actions, including sanctions, could adversely affect your investment in the securities. </w:t>
            </w:r>
          </w:p>
        </w:tc>
      </w:tr>
    </w:tbl>
    <w:p>
      <w:pPr>
        <w:pStyle w:val="TextBody"/>
        <w:bidi w:val="0"/>
        <w:jc w:val="left"/>
        <w:rPr>
          <w:rFonts w:ascii="Arial;Helvetica;Sans-Serif" w:hAnsi="Arial;Helvetica;Sans-Serif"/>
          <w:b w:val="false"/>
          <w:i w:val="false"/>
          <w:caps w:val="false"/>
          <w:smallCaps w:val="false"/>
          <w:color w:val="296DC1"/>
          <w:sz w:val="28"/>
        </w:rPr>
      </w:pPr>
      <w:r>
        <w:rPr>
          <w:rFonts w:ascii="Arial;Helvetica;Sans-Serif" w:hAnsi="Arial;Helvetica;Sans-Serif"/>
          <w:b w:val="false"/>
          <w:i w:val="false"/>
          <w:caps w:val="false"/>
          <w:smallCaps w:val="false"/>
          <w:color w:val="296DC1"/>
          <w:sz w:val="28"/>
        </w:rPr>
        <w:t>Tax Considerations</w:t>
      </w:r>
    </w:p>
    <w:p>
      <w:pPr>
        <w:pStyle w:val="TextBody"/>
        <w:bidi w:val="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pStyle w:val="TextBody"/>
        <w:bidi w:val="0"/>
        <w:spacing w:before="0" w:after="200"/>
        <w:ind w:left="360" w:right="0" w:hanging="0"/>
        <w:jc w:val="left"/>
        <w:rPr>
          <w:caps w:val="false"/>
          <w:smallCaps w:val="false"/>
        </w:rPr>
      </w:pPr>
      <w:r>
        <w:rPr>
          <w:caps w:val="false"/>
          <w:smallCaps w:val="false"/>
        </w:rPr>
        <w:t> </w:t>
      </w:r>
    </w:p>
    <w:p>
      <w:pPr>
        <w:pStyle w:val="TextBody"/>
        <w:pBdr>
          <w:top w:val="single" w:sz="4" w:space="1" w:color="000000"/>
        </w:pBdr>
        <w:bidi w:val="0"/>
        <w:spacing w:before="120" w:after="120"/>
        <w:ind w:left="120" w:right="12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Symbol">
    <w:charset w:val="02"/>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9617/000121390026116015/ea0310989-01_424b2.htm" TargetMode="External"/><Relationship Id="rId3" Type="http://schemas.openxmlformats.org/officeDocument/2006/relationships/hyperlink" Target="http://www.sec.gov/Archives/edgar/data/19617/000121390026116015/ea0310989-01_424b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1699</Words>
  <Characters>9381</Characters>
  <CharactersWithSpaces>10943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