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6196-01_fwp.htm"/>
      <w:bookmarkStart w:id="1" w:name="ksea030619601_fwp"/>
      <w:bookmarkStart w:id="2" w:name="ea0306196-01_fwp.htm"/>
      <w:bookmarkStart w:id="3" w:name="ksea030619601_fwp"/>
      <w:bookmarkEnd w:id="2"/>
      <w:bookmarkEnd w:id="3"/>
    </w:p>
    <w:tbl>
      <w:tblPr>
        <w:tblW w:w="10205" w:type="dxa"/>
        <w:jc w:val="left"/>
        <w:tblInd w:w="0" w:type="dxa"/>
        <w:tblLayout w:type="fixed"/>
        <w:tblCellMar>
          <w:top w:w="0" w:type="dxa"/>
          <w:left w:w="0" w:type="dxa"/>
          <w:bottom w:w="0" w:type="dxa"/>
          <w:right w:w="0" w:type="dxa"/>
        </w:tblCellMar>
      </w:tblPr>
      <w:tblGrid>
        <w:gridCol w:w="6948"/>
        <w:gridCol w:w="3257"/>
      </w:tblGrid>
      <w:tr>
        <w:trPr/>
        <w:tc>
          <w:tcPr>
            <w:tcW w:w="6948" w:type="dxa"/>
            <w:tcBorders/>
            <w:vAlign w:val="center"/>
          </w:tcPr>
          <w:p>
            <w:pPr>
              <w:pStyle w:val="TableContents"/>
              <w:bidi w:val="0"/>
              <w:jc w:val="left"/>
              <w:rPr>
                <w:rFonts w:ascii="Verdana;Helvetica;Sans-Serif" w:hAnsi="Verdana;Helvetica;Sans-Serif"/>
                <w:b/>
                <w:i w:val="false"/>
                <w:caps w:val="false"/>
                <w:smallCaps w:val="false"/>
                <w:color w:val="BB0826"/>
                <w:sz w:val="32"/>
              </w:rPr>
            </w:pPr>
            <w:r>
              <w:rPr>
                <w:rFonts w:ascii="Verdana;Helvetica;Sans-Serif" w:hAnsi="Verdana;Helvetica;Sans-Serif"/>
                <w:b/>
                <w:i w:val="false"/>
                <w:caps w:val="false"/>
                <w:smallCaps w:val="false"/>
                <w:color w:val="BB0826"/>
                <w:sz w:val="32"/>
              </w:rPr>
              <w:t>JPMorgan Chase Financial Company LLC</w:t>
            </w:r>
          </w:p>
          <w:p>
            <w:pPr>
              <w:pStyle w:val="TableContents"/>
              <w:bidi w:val="0"/>
              <w:jc w:val="both"/>
              <w:rPr>
                <w:rFonts w:ascii="Verdana;Helvetica;Sans-Serif" w:hAnsi="Verdana;Helvetica;Sans-Serif"/>
                <w:b/>
                <w:i/>
                <w:caps w:val="false"/>
                <w:smallCaps w:val="false"/>
                <w:color w:val="BB0826"/>
                <w:sz w:val="20"/>
              </w:rPr>
            </w:pPr>
            <w:r>
              <w:rPr>
                <w:rFonts w:ascii="Verdana;Helvetica;Sans-Serif" w:hAnsi="Verdana;Helvetica;Sans-Serif"/>
                <w:b/>
                <w:i/>
                <w:caps w:val="false"/>
                <w:smallCaps w:val="false"/>
                <w:color w:val="BB0826"/>
                <w:sz w:val="20"/>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4"/>
              </w:rPr>
            </w:pPr>
            <w:r>
              <w:rPr>
                <w:rFonts w:ascii="Verdana;Helvetica;Sans-Serif" w:hAnsi="Verdana;Helvetica;Sans-Serif"/>
                <w:b/>
                <w:i w:val="false"/>
                <w:caps w:val="false"/>
                <w:smallCaps w:val="false"/>
                <w:color w:val="BB0826"/>
                <w:sz w:val="24"/>
              </w:rPr>
              <w:t>Market Linked Securities</w:t>
            </w:r>
          </w:p>
        </w:tc>
        <w:tc>
          <w:tcPr>
            <w:tcW w:w="3257" w:type="dxa"/>
            <w:tcBorders/>
            <w:vAlign w:val="center"/>
          </w:tcPr>
          <w:p>
            <w:pPr>
              <w:pStyle w:val="TableContents"/>
              <w:bidi w:val="0"/>
              <w:ind w:left="133" w:right="133" w:hanging="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ind w:left="133" w:right="133" w:hanging="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Registration Statement Nos. 333-293684 and</w:t>
            </w:r>
          </w:p>
          <w:p>
            <w:pPr>
              <w:pStyle w:val="TableContents"/>
              <w:bidi w:val="0"/>
              <w:spacing w:before="0" w:after="283"/>
              <w:ind w:left="133" w:right="133" w:hanging="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333-293684-01</w:t>
            </w:r>
          </w:p>
        </w:tc>
      </w:tr>
    </w:tbl>
    <w:tbl>
      <w:tblPr>
        <w:tblW w:w="2490" w:type="dxa"/>
        <w:jc w:val="left"/>
        <w:tblInd w:w="0" w:type="dxa"/>
        <w:tblLayout w:type="fixed"/>
        <w:tblCellMar>
          <w:top w:w="0" w:type="dxa"/>
          <w:left w:w="0" w:type="dxa"/>
          <w:bottom w:w="0" w:type="dxa"/>
          <w:right w:w="0" w:type="dxa"/>
        </w:tblCellMar>
      </w:tblPr>
      <w:tblGrid>
        <w:gridCol w:w="75"/>
        <w:gridCol w:w="2415"/>
      </w:tblGrid>
      <w:tr>
        <w:trPr/>
        <w:tc>
          <w:tcPr>
            <w:tcW w:w="75" w:type="dxa"/>
            <w:tcBorders/>
            <w:vAlign w:val="center"/>
          </w:tcPr>
          <w:p>
            <w:pPr>
              <w:pStyle w:val="TableContents"/>
              <w:bidi w:val="0"/>
              <w:spacing w:before="0" w:after="283"/>
              <w:jc w:val="left"/>
              <w:rPr>
                <w:caps w:val="false"/>
                <w:smallCaps w:val="false"/>
                <w:color w:val="688FCF"/>
              </w:rPr>
            </w:pPr>
            <w:r>
              <w:rPr>
                <w:caps w:val="false"/>
                <w:smallCaps w:val="false"/>
                <w:color w:val="688FCF"/>
              </w:rPr>
              <w:t> </w:t>
            </w:r>
          </w:p>
        </w:tc>
        <w:tc>
          <w:tcPr>
            <w:tcW w:w="2415" w:type="dxa"/>
            <w:tcBorders/>
            <w:vAlign w:val="center"/>
          </w:tcPr>
          <w:p>
            <w:pPr>
              <w:pStyle w:val="TableContents"/>
              <w:bidi w:val="0"/>
              <w:spacing w:before="0" w:after="283"/>
              <w:jc w:val="right"/>
              <w:rPr>
                <w:caps w:val="false"/>
                <w:smallCaps w:val="false"/>
              </w:rPr>
            </w:pPr>
            <w:r>
              <w:rPr>
                <w:caps w:val="false"/>
                <w:smallCaps w:val="false"/>
              </w:rPr>
              <w:drawing>
                <wp:inline distT="0" distB="0" distL="0" distR="0">
                  <wp:extent cx="152400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0" cy="342900"/>
                          </a:xfrm>
                          <a:prstGeom prst="rect">
                            <a:avLst/>
                          </a:prstGeom>
                        </pic:spPr>
                      </pic:pic>
                    </a:graphicData>
                  </a:graphic>
                </wp:inline>
              </w:drawing>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40" w:after="20"/>
              <w:ind w:left="40" w:right="4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Market Linked Securities—Auto-Callable with Contingent Coupon with Memory Feature and Contingent Downside</w:t>
            </w:r>
          </w:p>
          <w:p>
            <w:pPr>
              <w:pStyle w:val="TableContents"/>
              <w:bidi w:val="0"/>
              <w:spacing w:before="40" w:after="20"/>
              <w:ind w:left="40" w:right="4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Principal at Risk Securities Linked to the Class A Common Stock of Coinbase Global, Inc. due September 28, 2029</w:t>
            </w:r>
          </w:p>
          <w:p>
            <w:pPr>
              <w:pStyle w:val="TableContents"/>
              <w:bidi w:val="0"/>
              <w:spacing w:before="40" w:after="20"/>
              <w:ind w:left="40" w:right="4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Fact Sheet dated September 22, 2026 to Preliminary Pricing Supplement dated September 21, 2026</w:t>
            </w:r>
          </w:p>
        </w:tc>
      </w:tr>
    </w:tbl>
    <w:p>
      <w:pPr>
        <w:pStyle w:val="TextBody"/>
        <w:bidi w:val="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10230" cy="9008745"/>
                <wp:effectExtent l="0" t="0" r="0" b="0"/>
                <wp:wrapSquare wrapText="right"/>
                <wp:docPr id="2" name="Frame1"/>
                <a:graphic xmlns:a="http://schemas.openxmlformats.org/drawingml/2006/main">
                  <a:graphicData uri="http://schemas.microsoft.com/office/word/2010/wordprocessingShape">
                    <wps:wsp>
                      <wps:cNvSpPr txBox="1"/>
                      <wps:spPr>
                        <a:xfrm>
                          <a:off x="0" y="0"/>
                          <a:ext cx="3110230" cy="9008745"/>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081"/>
                              <w:gridCol w:w="9124"/>
                            </w:tblGrid>
                            <w:tr>
                              <w:trPr/>
                              <w:tc>
                                <w:tcPr>
                                  <w:tcW w:w="108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Issuer:</w:t>
                                  </w:r>
                                </w:p>
                              </w:tc>
                              <w:tc>
                                <w:tcPr>
                                  <w:tcW w:w="912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Financial Company LLC</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Guarantor:</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&amp; C0.</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Underlying Stock:</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Class A common stock of Coinbase Global, Inc. (Bloomberg ticker: COIN) (the “</w:t>
                                  </w:r>
                                  <w:r>
                                    <w:rPr>
                                      <w:rFonts w:ascii="Georgia;Times;Serif" w:hAnsi="Georgia;Times;Serif"/>
                                      <w:b w:val="false"/>
                                      <w:i w:val="false"/>
                                      <w:caps w:val="false"/>
                                      <w:smallCaps w:val="false"/>
                                      <w:sz w:val="15"/>
                                      <w:u w:val="single"/>
                                    </w:rPr>
                                    <w:t>Underlying Stock</w:t>
                                  </w:r>
                                  <w:r>
                                    <w:rPr>
                                      <w:rFonts w:ascii="Georgia;Times;Serif" w:hAnsi="Georgia;Times;Serif"/>
                                      <w:b w:val="false"/>
                                      <w:i w:val="false"/>
                                      <w:caps w:val="false"/>
                                      <w:smallCaps w:val="false"/>
                                      <w:sz w:val="15"/>
                                    </w:rPr>
                                    <w:t>”)</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Pricing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September 25, 2026</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September 30, 2026</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Stated Maturity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September 28, 2029</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Principal Amount: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per security (100% of par)</w:t>
                                  </w:r>
                                </w:p>
                              </w:tc>
                            </w:tr>
                            <w:tr>
                              <w:trPr/>
                              <w:tc>
                                <w:tcPr>
                                  <w:tcW w:w="108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Payment: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20" w:after="20"/>
                                    <w:ind w:left="20" w:right="20" w:hanging="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On each contingent coupon payment date, you will receive a contingent coupon payment at a per annum rate equal to the contingent coupon rate if, </w:t>
                                  </w:r>
                                  <w:r>
                                    <w:rPr>
                                      <w:rFonts w:ascii="Georgia;Times;Serif" w:hAnsi="Georgia;Times;Serif"/>
                                      <w:b/>
                                      <w:i w:val="false"/>
                                      <w:caps w:val="false"/>
                                      <w:smallCaps w:val="false"/>
                                      <w:sz w:val="15"/>
                                    </w:rPr>
                                    <w:t>and only if</w:t>
                                  </w:r>
                                  <w:r>
                                    <w:rPr>
                                      <w:rFonts w:ascii="Georgia;Times;Serif" w:hAnsi="Georgia;Times;Serif"/>
                                      <w:b w:val="false"/>
                                      <w:i w:val="false"/>
                                      <w:caps w:val="false"/>
                                      <w:smallCaps w:val="false"/>
                                      <w:sz w:val="15"/>
                                    </w:rPr>
                                    <w:t xml:space="preserve">, the stock closing price of the Underlying Stock on the related calculation day is greater than or equal to the threshold price. In addition, if the stock closing price of the Underlying Stock on one or more calculation days is less than the threshold price and, on a subsequent calculation day, the stock closing price of the Underlying Stock is greater than or equal to the threshold price, on the contingent coupon payment date related to that subsequent calculation day, you will receive the contingent coupon payment due for that subsequent calculation day </w:t>
                                  </w:r>
                                  <w:r>
                                    <w:rPr>
                                      <w:rFonts w:ascii="Georgia;Times;Serif" w:hAnsi="Georgia;Times;Serif"/>
                                      <w:b w:val="false"/>
                                      <w:i/>
                                      <w:caps w:val="false"/>
                                      <w:smallCaps w:val="false"/>
                                      <w:sz w:val="15"/>
                                    </w:rPr>
                                    <w:t>plus</w:t>
                                  </w:r>
                                  <w:r>
                                    <w:rPr>
                                      <w:rFonts w:ascii="Georgia;Times;Serif" w:hAnsi="Georgia;Times;Serif"/>
                                      <w:b w:val="false"/>
                                      <w:i w:val="false"/>
                                      <w:caps w:val="false"/>
                                      <w:smallCaps w:val="false"/>
                                      <w:sz w:val="15"/>
                                    </w:rPr>
                                    <w:t xml:space="preserve"> all previously unpaid contingent coupon payments (without interest on amounts previously unpaid). Each “</w:t>
                                  </w:r>
                                  <w:r>
                                    <w:rPr>
                                      <w:rFonts w:ascii="Georgia;Times;Serif" w:hAnsi="Georgia;Times;Serif"/>
                                      <w:b w:val="false"/>
                                      <w:i w:val="false"/>
                                      <w:caps w:val="false"/>
                                      <w:smallCaps w:val="false"/>
                                      <w:sz w:val="15"/>
                                      <w:u w:val="single"/>
                                    </w:rPr>
                                    <w:t>contingent coupon payment</w:t>
                                  </w:r>
                                  <w:r>
                                    <w:rPr>
                                      <w:rFonts w:ascii="Georgia;Times;Serif" w:hAnsi="Georgia;Times;Serif"/>
                                      <w:b w:val="false"/>
                                      <w:i w:val="false"/>
                                      <w:caps w:val="false"/>
                                      <w:smallCaps w:val="false"/>
                                      <w:sz w:val="15"/>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contingent coupon rate) / 12</w:t>
                                  </w:r>
                                </w:p>
                              </w:tc>
                            </w:tr>
                            <w:tr>
                              <w:trPr/>
                              <w:tc>
                                <w:tcPr>
                                  <w:tcW w:w="108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Payment Dates</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Monthly, on the third business day following each calculation day, </w:t>
                                  </w:r>
                                  <w:r>
                                    <w:rPr>
                                      <w:rFonts w:ascii="Georgia;Times;Serif" w:hAnsi="Georgia;Times;Serif"/>
                                      <w:b w:val="false"/>
                                      <w:i/>
                                      <w:caps w:val="false"/>
                                      <w:smallCaps w:val="false"/>
                                      <w:sz w:val="15"/>
                                    </w:rPr>
                                    <w:t xml:space="preserve">provided </w:t>
                                  </w:r>
                                  <w:r>
                                    <w:rPr>
                                      <w:rFonts w:ascii="Georgia;Times;Serif" w:hAnsi="Georgia;Times;Serif"/>
                                      <w:b w:val="false"/>
                                      <w:i w:val="false"/>
                                      <w:caps w:val="false"/>
                                      <w:smallCaps w:val="false"/>
                                      <w:sz w:val="15"/>
                                    </w:rPr>
                                    <w:t>that the contingent coupon payment date with respect to the final calculation day will be the stated maturity date</w:t>
                                  </w:r>
                                </w:p>
                              </w:tc>
                            </w:tr>
                            <w:tr>
                              <w:trPr/>
                              <w:tc>
                                <w:tcPr>
                                  <w:tcW w:w="108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Rate:</w:t>
                                  </w:r>
                                </w:p>
                              </w:tc>
                              <w:tc>
                                <w:tcPr>
                                  <w:tcW w:w="9124" w:type="dxa"/>
                                  <w:tcBorders>
                                    <w:bottom w:val="single" w:sz="8" w:space="0" w:color="000000"/>
                                    <w:right w:val="single" w:sz="8" w:space="0" w:color="000000"/>
                                  </w:tcBorders>
                                  <w:tcMar>
                                    <w:top w:w="0" w:type="dxa"/>
                                    <w:left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At least 20.00% per annum (to be provided in the pricing supplement)</w:t>
                                  </w:r>
                                </w:p>
                              </w:tc>
                            </w:tr>
                            <w:tr>
                              <w:trPr/>
                              <w:tc>
                                <w:tcPr>
                                  <w:tcW w:w="108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Automatic Call: </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If the stock closing price of the Underlying Stock on any of the calculation days from December 2026 to August 2029, inclusive, is greater than or equal to the starting price, the securities will be automatically called, and on the related call settlement date you will be entitled to receive a cash payment per security in U.S. dollars equal to the principal amount per security </w:t>
                                  </w:r>
                                  <w:r>
                                    <w:rPr>
                                      <w:rFonts w:ascii="Georgia;Times;Serif" w:hAnsi="Georgia;Times;Serif"/>
                                      <w:b w:val="false"/>
                                      <w:i/>
                                      <w:caps w:val="false"/>
                                      <w:smallCaps w:val="false"/>
                                      <w:sz w:val="15"/>
                                    </w:rPr>
                                    <w:t>plus</w:t>
                                  </w:r>
                                  <w:r>
                                    <w:rPr>
                                      <w:rFonts w:ascii="Georgia;Times;Serif" w:hAnsi="Georgia;Times;Serif"/>
                                      <w:b w:val="false"/>
                                      <w:i w:val="false"/>
                                      <w:caps w:val="false"/>
                                      <w:smallCaps w:val="false"/>
                                      <w:sz w:val="15"/>
                                    </w:rPr>
                                    <w:t xml:space="preserve"> a final contingent coupon payment and any previously unpaid contingent coupon payments.  </w:t>
                                  </w:r>
                                </w:p>
                              </w:tc>
                            </w:tr>
                            <w:tr>
                              <w:trPr/>
                              <w:tc>
                                <w:tcPr>
                                  <w:tcW w:w="108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Calculation Days</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Monthly, on the 25</w:t>
                                  </w:r>
                                  <w:r>
                                    <w:rPr>
                                      <w:rFonts w:ascii="Georgia;Times;Serif" w:hAnsi="Georgia;Times;Serif"/>
                                      <w:b w:val="false"/>
                                      <w:i w:val="false"/>
                                      <w:caps w:val="false"/>
                                      <w:smallCaps w:val="false"/>
                                      <w:position w:val="5"/>
                                      <w:sz w:val="12"/>
                                      <w:sz w:val="15"/>
                                    </w:rPr>
                                    <w:t>th</w:t>
                                  </w:r>
                                  <w:r>
                                    <w:rPr>
                                      <w:rFonts w:ascii="Georgia;Times;Serif" w:hAnsi="Georgia;Times;Serif"/>
                                      <w:b w:val="false"/>
                                      <w:i w:val="false"/>
                                      <w:caps w:val="false"/>
                                      <w:smallCaps w:val="false"/>
                                      <w:sz w:val="15"/>
                                    </w:rPr>
                                    <w:t xml:space="preserve"> day of each month, commencing October 2026 and ending September 2029.  We refer to September 25, 2029 as the “</w:t>
                                  </w:r>
                                  <w:r>
                                    <w:rPr>
                                      <w:rFonts w:ascii="Georgia;Times;Serif" w:hAnsi="Georgia;Times;Serif"/>
                                      <w:b w:val="false"/>
                                      <w:i w:val="false"/>
                                      <w:caps w:val="false"/>
                                      <w:smallCaps w:val="false"/>
                                      <w:sz w:val="15"/>
                                      <w:u w:val="single"/>
                                    </w:rPr>
                                    <w:t>final calculation day</w:t>
                                  </w:r>
                                  <w:r>
                                    <w:rPr>
                                      <w:rFonts w:ascii="Georgia;Times;Serif" w:hAnsi="Georgia;Times;Serif"/>
                                      <w:b w:val="false"/>
                                      <w:i w:val="false"/>
                                      <w:caps w:val="false"/>
                                      <w:smallCaps w:val="false"/>
                                      <w:sz w:val="15"/>
                                    </w:rPr>
                                    <w:t>.”</w:t>
                                  </w:r>
                                </w:p>
                              </w:tc>
                            </w:tr>
                            <w:tr>
                              <w:trPr/>
                              <w:tc>
                                <w:tcPr>
                                  <w:tcW w:w="108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Call Settlement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 xml:space="preserve">: </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Three business days after the applicable calculation day</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Maturity Payment Amount (per Security):</w:t>
                                  </w:r>
                                </w:p>
                              </w:tc>
                              <w:tc>
                                <w:tcPr>
                                  <w:tcW w:w="9124"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securities are not automatically called:</w:t>
                                  </w:r>
                                </w:p>
                                <w:p>
                                  <w:pPr>
                                    <w:pStyle w:val="TableContents"/>
                                    <w:bidi w:val="0"/>
                                    <w:spacing w:before="0" w:after="40"/>
                                    <w:ind w:left="173" w:right="0" w:hanging="187"/>
                                    <w:jc w:val="left"/>
                                    <w:rPr>
                                      <w:rFonts w:ascii="Times New Roman;Times;Serif" w:hAnsi="Times New Roman;Times;Serif"/>
                                      <w:b w:val="false"/>
                                      <w:i w:val="false"/>
                                      <w:caps w:val="false"/>
                                      <w:smallCaps w:val="false"/>
                                      <w:sz w:val="15"/>
                                    </w:rPr>
                                  </w:pPr>
                                  <w:r>
                                    <w:rPr>
                                      <w:rFonts w:ascii="Symbol" w:hAnsi="Symbol"/>
                                      <w:b w:val="false"/>
                                      <w:i w:val="false"/>
                                      <w:caps w:val="false"/>
                                      <w:smallCaps w:val="false"/>
                                      <w:sz w:val="15"/>
                                    </w:rPr>
                                    <w:t>·</w:t>
                                  </w:r>
                                  <w:r>
                                    <w:rPr>
                                      <w:rFonts w:ascii="Times New Roman;Times;Serif" w:hAnsi="Times New Roman;Times;Serif"/>
                                      <w:b w:val="false"/>
                                      <w:i w:val="false"/>
                                      <w:caps w:val="false"/>
                                      <w:smallCaps w:val="false"/>
                                      <w:sz w:val="15"/>
                                    </w:rPr>
                                    <w:t>  </w:t>
                                  </w:r>
                                  <w:r>
                                    <w:rPr>
                                      <w:rFonts w:ascii="Georgia;Times;Serif" w:hAnsi="Georgia;Times;Serif"/>
                                      <w:b w:val="false"/>
                                      <w:i w:val="false"/>
                                      <w:caps w:val="false"/>
                                      <w:smallCaps w:val="false"/>
                                      <w:sz w:val="15"/>
                                    </w:rPr>
                                    <w:t>If the ending price is greater than or equal to the threshold price: $1,000; or</w:t>
                                  </w:r>
                                </w:p>
                                <w:p>
                                  <w:pPr>
                                    <w:pStyle w:val="TableContents"/>
                                    <w:bidi w:val="0"/>
                                    <w:spacing w:before="60" w:after="40"/>
                                    <w:ind w:left="160" w:right="60" w:hanging="180"/>
                                    <w:jc w:val="left"/>
                                    <w:rPr>
                                      <w:rFonts w:ascii="Times New Roman;Times;Serif" w:hAnsi="Times New Roman;Times;Serif"/>
                                      <w:b w:val="false"/>
                                      <w:i w:val="false"/>
                                      <w:caps w:val="false"/>
                                      <w:smallCaps w:val="false"/>
                                      <w:sz w:val="15"/>
                                    </w:rPr>
                                  </w:pPr>
                                  <w:r>
                                    <w:rPr>
                                      <w:rFonts w:ascii="Symbol" w:hAnsi="Symbol"/>
                                      <w:b w:val="false"/>
                                      <w:i w:val="false"/>
                                      <w:caps w:val="false"/>
                                      <w:smallCaps w:val="false"/>
                                      <w:sz w:val="15"/>
                                    </w:rPr>
                                    <w:t>·</w:t>
                                  </w:r>
                                  <w:r>
                                    <w:rPr>
                                      <w:rFonts w:ascii="Times New Roman;Times;Serif" w:hAnsi="Times New Roman;Times;Serif"/>
                                      <w:b w:val="false"/>
                                      <w:i w:val="false"/>
                                      <w:caps w:val="false"/>
                                      <w:smallCaps w:val="false"/>
                                      <w:sz w:val="15"/>
                                    </w:rPr>
                                    <w:t>   </w:t>
                                  </w:r>
                                  <w:r>
                                    <w:rPr>
                                      <w:rFonts w:ascii="Georgia;Times;Serif" w:hAnsi="Georgia;Times;Serif"/>
                                      <w:b w:val="false"/>
                                      <w:i w:val="false"/>
                                      <w:caps w:val="false"/>
                                      <w:smallCaps w:val="false"/>
                                      <w:sz w:val="15"/>
                                    </w:rPr>
                                    <w:t>If the ending price is less than the threshold price:</w:t>
                                  </w:r>
                                </w:p>
                                <w:p>
                                  <w:pPr>
                                    <w:pStyle w:val="TableContents"/>
                                    <w:bidi w:val="0"/>
                                    <w:spacing w:before="60" w:after="40"/>
                                    <w:ind w:left="60" w:right="60" w:hanging="0"/>
                                    <w:jc w:val="center"/>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($1,000 × stock return)</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Starting Price:</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stock closing price of the Underlying Stock on the pricing date</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Ending Price:</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stock closing price of the Underlying Stock on the final calculation day</w:t>
                                  </w:r>
                                </w:p>
                              </w:tc>
                            </w:tr>
                          </w:tbl>
                          <w:p>
                            <w:pPr>
                              <w:pStyle w:val="TextBody"/>
                              <w:bidi w:val="0"/>
                              <w:spacing w:before="0" w:after="283"/>
                              <w:ind w:left="90" w:right="0" w:hanging="0"/>
                              <w:jc w:val="left"/>
                              <w:rPr>
                                <w:caps w:val="false"/>
                                <w:smallCaps w:val="false"/>
                                <w:color w:val="8F8F8F"/>
                              </w:rPr>
                            </w:pPr>
                            <w:r>
                              <w:rPr>
                                <w:caps w:val="false"/>
                                <w:smallCaps w:val="false"/>
                                <w:color w:val="8F8F8F"/>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0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081"/>
                        <w:gridCol w:w="9124"/>
                      </w:tblGrid>
                      <w:tr>
                        <w:trPr/>
                        <w:tc>
                          <w:tcPr>
                            <w:tcW w:w="108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Issuer:</w:t>
                            </w:r>
                          </w:p>
                        </w:tc>
                        <w:tc>
                          <w:tcPr>
                            <w:tcW w:w="912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Financial Company LLC</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Guarantor:</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&amp; C0.</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Underlying Stock:</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Class A common stock of Coinbase Global, Inc. (Bloomberg ticker: COIN) (the “</w:t>
                            </w:r>
                            <w:r>
                              <w:rPr>
                                <w:rFonts w:ascii="Georgia;Times;Serif" w:hAnsi="Georgia;Times;Serif"/>
                                <w:b w:val="false"/>
                                <w:i w:val="false"/>
                                <w:caps w:val="false"/>
                                <w:smallCaps w:val="false"/>
                                <w:sz w:val="15"/>
                                <w:u w:val="single"/>
                              </w:rPr>
                              <w:t>Underlying Stock</w:t>
                            </w:r>
                            <w:r>
                              <w:rPr>
                                <w:rFonts w:ascii="Georgia;Times;Serif" w:hAnsi="Georgia;Times;Serif"/>
                                <w:b w:val="false"/>
                                <w:i w:val="false"/>
                                <w:caps w:val="false"/>
                                <w:smallCaps w:val="false"/>
                                <w:sz w:val="15"/>
                              </w:rPr>
                              <w:t>”)</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Pricing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September 25, 2026</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September 30, 2026</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Stated Maturity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September 28, 2029</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Principal Amount: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per security (100% of par)</w:t>
                            </w:r>
                          </w:p>
                        </w:tc>
                      </w:tr>
                      <w:tr>
                        <w:trPr/>
                        <w:tc>
                          <w:tcPr>
                            <w:tcW w:w="108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Payment: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20" w:after="20"/>
                              <w:ind w:left="20" w:right="20" w:hanging="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On each contingent coupon payment date, you will receive a contingent coupon payment at a per annum rate equal to the contingent coupon rate if, </w:t>
                            </w:r>
                            <w:r>
                              <w:rPr>
                                <w:rFonts w:ascii="Georgia;Times;Serif" w:hAnsi="Georgia;Times;Serif"/>
                                <w:b/>
                                <w:i w:val="false"/>
                                <w:caps w:val="false"/>
                                <w:smallCaps w:val="false"/>
                                <w:sz w:val="15"/>
                              </w:rPr>
                              <w:t>and only if</w:t>
                            </w:r>
                            <w:r>
                              <w:rPr>
                                <w:rFonts w:ascii="Georgia;Times;Serif" w:hAnsi="Georgia;Times;Serif"/>
                                <w:b w:val="false"/>
                                <w:i w:val="false"/>
                                <w:caps w:val="false"/>
                                <w:smallCaps w:val="false"/>
                                <w:sz w:val="15"/>
                              </w:rPr>
                              <w:t xml:space="preserve">, the stock closing price of the Underlying Stock on the related calculation day is greater than or equal to the threshold price. In addition, if the stock closing price of the Underlying Stock on one or more calculation days is less than the threshold price and, on a subsequent calculation day, the stock closing price of the Underlying Stock is greater than or equal to the threshold price, on the contingent coupon payment date related to that subsequent calculation day, you will receive the contingent coupon payment due for that subsequent calculation day </w:t>
                            </w:r>
                            <w:r>
                              <w:rPr>
                                <w:rFonts w:ascii="Georgia;Times;Serif" w:hAnsi="Georgia;Times;Serif"/>
                                <w:b w:val="false"/>
                                <w:i/>
                                <w:caps w:val="false"/>
                                <w:smallCaps w:val="false"/>
                                <w:sz w:val="15"/>
                              </w:rPr>
                              <w:t>plus</w:t>
                            </w:r>
                            <w:r>
                              <w:rPr>
                                <w:rFonts w:ascii="Georgia;Times;Serif" w:hAnsi="Georgia;Times;Serif"/>
                                <w:b w:val="false"/>
                                <w:i w:val="false"/>
                                <w:caps w:val="false"/>
                                <w:smallCaps w:val="false"/>
                                <w:sz w:val="15"/>
                              </w:rPr>
                              <w:t xml:space="preserve"> all previously unpaid contingent coupon payments (without interest on amounts previously unpaid). Each “</w:t>
                            </w:r>
                            <w:r>
                              <w:rPr>
                                <w:rFonts w:ascii="Georgia;Times;Serif" w:hAnsi="Georgia;Times;Serif"/>
                                <w:b w:val="false"/>
                                <w:i w:val="false"/>
                                <w:caps w:val="false"/>
                                <w:smallCaps w:val="false"/>
                                <w:sz w:val="15"/>
                                <w:u w:val="single"/>
                              </w:rPr>
                              <w:t>contingent coupon payment</w:t>
                            </w:r>
                            <w:r>
                              <w:rPr>
                                <w:rFonts w:ascii="Georgia;Times;Serif" w:hAnsi="Georgia;Times;Serif"/>
                                <w:b w:val="false"/>
                                <w:i w:val="false"/>
                                <w:caps w:val="false"/>
                                <w:smallCaps w:val="false"/>
                                <w:sz w:val="15"/>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contingent coupon rate) / 12</w:t>
                            </w:r>
                          </w:p>
                        </w:tc>
                      </w:tr>
                      <w:tr>
                        <w:trPr/>
                        <w:tc>
                          <w:tcPr>
                            <w:tcW w:w="108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Payment Dates</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Monthly, on the third business day following each calculation day, </w:t>
                            </w:r>
                            <w:r>
                              <w:rPr>
                                <w:rFonts w:ascii="Georgia;Times;Serif" w:hAnsi="Georgia;Times;Serif"/>
                                <w:b w:val="false"/>
                                <w:i/>
                                <w:caps w:val="false"/>
                                <w:smallCaps w:val="false"/>
                                <w:sz w:val="15"/>
                              </w:rPr>
                              <w:t xml:space="preserve">provided </w:t>
                            </w:r>
                            <w:r>
                              <w:rPr>
                                <w:rFonts w:ascii="Georgia;Times;Serif" w:hAnsi="Georgia;Times;Serif"/>
                                <w:b w:val="false"/>
                                <w:i w:val="false"/>
                                <w:caps w:val="false"/>
                                <w:smallCaps w:val="false"/>
                                <w:sz w:val="15"/>
                              </w:rPr>
                              <w:t>that the contingent coupon payment date with respect to the final calculation day will be the stated maturity date</w:t>
                            </w:r>
                          </w:p>
                        </w:tc>
                      </w:tr>
                      <w:tr>
                        <w:trPr/>
                        <w:tc>
                          <w:tcPr>
                            <w:tcW w:w="108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Rate:</w:t>
                            </w:r>
                          </w:p>
                        </w:tc>
                        <w:tc>
                          <w:tcPr>
                            <w:tcW w:w="9124" w:type="dxa"/>
                            <w:tcBorders>
                              <w:bottom w:val="single" w:sz="8" w:space="0" w:color="000000"/>
                              <w:right w:val="single" w:sz="8" w:space="0" w:color="000000"/>
                            </w:tcBorders>
                            <w:tcMar>
                              <w:top w:w="0" w:type="dxa"/>
                              <w:left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At least 20.00% per annum (to be provided in the pricing supplement)</w:t>
                            </w:r>
                          </w:p>
                        </w:tc>
                      </w:tr>
                      <w:tr>
                        <w:trPr/>
                        <w:tc>
                          <w:tcPr>
                            <w:tcW w:w="108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Automatic Call: </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If the stock closing price of the Underlying Stock on any of the calculation days from December 2026 to August 2029, inclusive, is greater than or equal to the starting price, the securities will be automatically called, and on the related call settlement date you will be entitled to receive a cash payment per security in U.S. dollars equal to the principal amount per security </w:t>
                            </w:r>
                            <w:r>
                              <w:rPr>
                                <w:rFonts w:ascii="Georgia;Times;Serif" w:hAnsi="Georgia;Times;Serif"/>
                                <w:b w:val="false"/>
                                <w:i/>
                                <w:caps w:val="false"/>
                                <w:smallCaps w:val="false"/>
                                <w:sz w:val="15"/>
                              </w:rPr>
                              <w:t>plus</w:t>
                            </w:r>
                            <w:r>
                              <w:rPr>
                                <w:rFonts w:ascii="Georgia;Times;Serif" w:hAnsi="Georgia;Times;Serif"/>
                                <w:b w:val="false"/>
                                <w:i w:val="false"/>
                                <w:caps w:val="false"/>
                                <w:smallCaps w:val="false"/>
                                <w:sz w:val="15"/>
                              </w:rPr>
                              <w:t xml:space="preserve"> a final contingent coupon payment and any previously unpaid contingent coupon payments.  </w:t>
                            </w:r>
                          </w:p>
                        </w:tc>
                      </w:tr>
                      <w:tr>
                        <w:trPr/>
                        <w:tc>
                          <w:tcPr>
                            <w:tcW w:w="108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Calculation Days</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Monthly, on the 25</w:t>
                            </w:r>
                            <w:r>
                              <w:rPr>
                                <w:rFonts w:ascii="Georgia;Times;Serif" w:hAnsi="Georgia;Times;Serif"/>
                                <w:b w:val="false"/>
                                <w:i w:val="false"/>
                                <w:caps w:val="false"/>
                                <w:smallCaps w:val="false"/>
                                <w:position w:val="5"/>
                                <w:sz w:val="12"/>
                                <w:sz w:val="15"/>
                              </w:rPr>
                              <w:t>th</w:t>
                            </w:r>
                            <w:r>
                              <w:rPr>
                                <w:rFonts w:ascii="Georgia;Times;Serif" w:hAnsi="Georgia;Times;Serif"/>
                                <w:b w:val="false"/>
                                <w:i w:val="false"/>
                                <w:caps w:val="false"/>
                                <w:smallCaps w:val="false"/>
                                <w:sz w:val="15"/>
                              </w:rPr>
                              <w:t xml:space="preserve"> day of each month, commencing October 2026 and ending September 2029.  We refer to September 25, 2029 as the “</w:t>
                            </w:r>
                            <w:r>
                              <w:rPr>
                                <w:rFonts w:ascii="Georgia;Times;Serif" w:hAnsi="Georgia;Times;Serif"/>
                                <w:b w:val="false"/>
                                <w:i w:val="false"/>
                                <w:caps w:val="false"/>
                                <w:smallCaps w:val="false"/>
                                <w:sz w:val="15"/>
                                <w:u w:val="single"/>
                              </w:rPr>
                              <w:t>final calculation day</w:t>
                            </w:r>
                            <w:r>
                              <w:rPr>
                                <w:rFonts w:ascii="Georgia;Times;Serif" w:hAnsi="Georgia;Times;Serif"/>
                                <w:b w:val="false"/>
                                <w:i w:val="false"/>
                                <w:caps w:val="false"/>
                                <w:smallCaps w:val="false"/>
                                <w:sz w:val="15"/>
                              </w:rPr>
                              <w:t>.”</w:t>
                            </w:r>
                          </w:p>
                        </w:tc>
                      </w:tr>
                      <w:tr>
                        <w:trPr/>
                        <w:tc>
                          <w:tcPr>
                            <w:tcW w:w="108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Call Settlement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 xml:space="preserve">: </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Three business days after the applicable calculation day</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Maturity Payment Amount (per Security):</w:t>
                            </w:r>
                          </w:p>
                        </w:tc>
                        <w:tc>
                          <w:tcPr>
                            <w:tcW w:w="9124"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securities are not automatically called:</w:t>
                            </w:r>
                          </w:p>
                          <w:p>
                            <w:pPr>
                              <w:pStyle w:val="TableContents"/>
                              <w:bidi w:val="0"/>
                              <w:spacing w:before="0" w:after="40"/>
                              <w:ind w:left="173" w:right="0" w:hanging="187"/>
                              <w:jc w:val="left"/>
                              <w:rPr>
                                <w:rFonts w:ascii="Times New Roman;Times;Serif" w:hAnsi="Times New Roman;Times;Serif"/>
                                <w:b w:val="false"/>
                                <w:i w:val="false"/>
                                <w:caps w:val="false"/>
                                <w:smallCaps w:val="false"/>
                                <w:sz w:val="15"/>
                              </w:rPr>
                            </w:pPr>
                            <w:r>
                              <w:rPr>
                                <w:rFonts w:ascii="Symbol" w:hAnsi="Symbol"/>
                                <w:b w:val="false"/>
                                <w:i w:val="false"/>
                                <w:caps w:val="false"/>
                                <w:smallCaps w:val="false"/>
                                <w:sz w:val="15"/>
                              </w:rPr>
                              <w:t>·</w:t>
                            </w:r>
                            <w:r>
                              <w:rPr>
                                <w:rFonts w:ascii="Times New Roman;Times;Serif" w:hAnsi="Times New Roman;Times;Serif"/>
                                <w:b w:val="false"/>
                                <w:i w:val="false"/>
                                <w:caps w:val="false"/>
                                <w:smallCaps w:val="false"/>
                                <w:sz w:val="15"/>
                              </w:rPr>
                              <w:t>  </w:t>
                            </w:r>
                            <w:r>
                              <w:rPr>
                                <w:rFonts w:ascii="Georgia;Times;Serif" w:hAnsi="Georgia;Times;Serif"/>
                                <w:b w:val="false"/>
                                <w:i w:val="false"/>
                                <w:caps w:val="false"/>
                                <w:smallCaps w:val="false"/>
                                <w:sz w:val="15"/>
                              </w:rPr>
                              <w:t>If the ending price is greater than or equal to the threshold price: $1,000; or</w:t>
                            </w:r>
                          </w:p>
                          <w:p>
                            <w:pPr>
                              <w:pStyle w:val="TableContents"/>
                              <w:bidi w:val="0"/>
                              <w:spacing w:before="60" w:after="40"/>
                              <w:ind w:left="160" w:right="60" w:hanging="180"/>
                              <w:jc w:val="left"/>
                              <w:rPr>
                                <w:rFonts w:ascii="Times New Roman;Times;Serif" w:hAnsi="Times New Roman;Times;Serif"/>
                                <w:b w:val="false"/>
                                <w:i w:val="false"/>
                                <w:caps w:val="false"/>
                                <w:smallCaps w:val="false"/>
                                <w:sz w:val="15"/>
                              </w:rPr>
                            </w:pPr>
                            <w:r>
                              <w:rPr>
                                <w:rFonts w:ascii="Symbol" w:hAnsi="Symbol"/>
                                <w:b w:val="false"/>
                                <w:i w:val="false"/>
                                <w:caps w:val="false"/>
                                <w:smallCaps w:val="false"/>
                                <w:sz w:val="15"/>
                              </w:rPr>
                              <w:t>·</w:t>
                            </w:r>
                            <w:r>
                              <w:rPr>
                                <w:rFonts w:ascii="Times New Roman;Times;Serif" w:hAnsi="Times New Roman;Times;Serif"/>
                                <w:b w:val="false"/>
                                <w:i w:val="false"/>
                                <w:caps w:val="false"/>
                                <w:smallCaps w:val="false"/>
                                <w:sz w:val="15"/>
                              </w:rPr>
                              <w:t>   </w:t>
                            </w:r>
                            <w:r>
                              <w:rPr>
                                <w:rFonts w:ascii="Georgia;Times;Serif" w:hAnsi="Georgia;Times;Serif"/>
                                <w:b w:val="false"/>
                                <w:i w:val="false"/>
                                <w:caps w:val="false"/>
                                <w:smallCaps w:val="false"/>
                                <w:sz w:val="15"/>
                              </w:rPr>
                              <w:t>If the ending price is less than the threshold price:</w:t>
                            </w:r>
                          </w:p>
                          <w:p>
                            <w:pPr>
                              <w:pStyle w:val="TableContents"/>
                              <w:bidi w:val="0"/>
                              <w:spacing w:before="60" w:after="40"/>
                              <w:ind w:left="60" w:right="60" w:hanging="0"/>
                              <w:jc w:val="center"/>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($1,000 × stock return)</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Starting Price:</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stock closing price of the Underlying Stock on the pricing date</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Ending Price:</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stock closing price of the Underlying Stock on the final calculation day</w:t>
                            </w:r>
                          </w:p>
                        </w:tc>
                      </w:tr>
                    </w:tbl>
                    <w:p>
                      <w:pPr>
                        <w:pStyle w:val="TextBody"/>
                        <w:bidi w:val="0"/>
                        <w:spacing w:before="0" w:after="283"/>
                        <w:ind w:left="90" w:right="0" w:hanging="0"/>
                        <w:jc w:val="left"/>
                        <w:rPr>
                          <w:caps w:val="false"/>
                          <w:smallCaps w:val="false"/>
                          <w:color w:val="8F8F8F"/>
                        </w:rPr>
                      </w:pPr>
                      <w:r>
                        <w:rPr>
                          <w:caps w:val="false"/>
                          <w:smallCaps w:val="false"/>
                          <w:color w:val="8F8F8F"/>
                        </w:rPr>
                        <w:t> </w:t>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10230" cy="9972040"/>
                <wp:effectExtent l="0" t="0" r="0" b="0"/>
                <wp:wrapSquare wrapText="left"/>
                <wp:docPr id="3" name="Frame2"/>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3955" w:type="dxa"/>
                              <w:jc w:val="left"/>
                              <w:tblInd w:w="-10" w:type="dxa"/>
                              <w:tblLayout w:type="fixed"/>
                              <w:tblCellMar>
                                <w:top w:w="28" w:type="dxa"/>
                                <w:left w:w="108" w:type="dxa"/>
                                <w:bottom w:w="0" w:type="dxa"/>
                                <w:right w:w="108" w:type="dxa"/>
                              </w:tblCellMar>
                            </w:tblPr>
                            <w:tblGrid>
                              <w:gridCol w:w="935"/>
                              <w:gridCol w:w="3020"/>
                            </w:tblGrid>
                            <w:tr>
                              <w:trPr/>
                              <w:tc>
                                <w:tcPr>
                                  <w:tcW w:w="935" w:type="dxa"/>
                                  <w:tcBorders>
                                    <w:top w:val="single" w:sz="8" w:space="0" w:color="000000"/>
                                    <w:left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Stock Return:</w:t>
                                  </w:r>
                                </w:p>
                              </w:tc>
                              <w:tc>
                                <w:tcPr>
                                  <w:tcW w:w="3020" w:type="dxa"/>
                                  <w:tcBorders>
                                    <w:top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(ending price – starting price) / starting price</w:t>
                                  </w:r>
                                </w:p>
                              </w:tc>
                            </w:tr>
                          </w:tbl>
                          <w:tbl>
                            <w:tblPr>
                              <w:tblW w:w="10205" w:type="dxa"/>
                              <w:jc w:val="left"/>
                              <w:tblInd w:w="-10" w:type="dxa"/>
                              <w:tblLayout w:type="fixed"/>
                              <w:tblCellMar>
                                <w:top w:w="28" w:type="dxa"/>
                                <w:left w:w="108" w:type="dxa"/>
                                <w:bottom w:w="28" w:type="dxa"/>
                                <w:right w:w="108" w:type="dxa"/>
                              </w:tblCellMar>
                            </w:tblPr>
                            <w:tblGrid>
                              <w:gridCol w:w="1185"/>
                              <w:gridCol w:w="9020"/>
                            </w:tblGrid>
                            <w:tr>
                              <w:trPr/>
                              <w:tc>
                                <w:tcPr>
                                  <w:tcW w:w="118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Threshold Price:</w:t>
                                  </w:r>
                                </w:p>
                              </w:tc>
                              <w:tc>
                                <w:tcPr>
                                  <w:tcW w:w="90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50% of the starting price</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Calculation Agent:</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 Morgan Securities LLC (“</w:t>
                                  </w:r>
                                  <w:r>
                                    <w:rPr>
                                      <w:rFonts w:ascii="Georgia;Times;Serif" w:hAnsi="Georgia;Times;Serif"/>
                                      <w:b w:val="false"/>
                                      <w:i w:val="false"/>
                                      <w:caps w:val="false"/>
                                      <w:smallCaps w:val="false"/>
                                      <w:sz w:val="15"/>
                                      <w:u w:val="single"/>
                                    </w:rPr>
                                    <w:t>JPMS</w:t>
                                  </w:r>
                                  <w:r>
                                    <w:rPr>
                                      <w:rFonts w:ascii="Georgia;Times;Serif" w:hAnsi="Georgia;Times;Serif"/>
                                      <w:b w:val="false"/>
                                      <w:i w:val="false"/>
                                      <w:caps w:val="false"/>
                                      <w:smallCaps w:val="false"/>
                                      <w:sz w:val="15"/>
                                    </w:rPr>
                                    <w:t>”)</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Denominations:</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and any integral multiple of $1,000</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CUSIP:</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46661PZ34</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Fees and Commissions:</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Up to 2.325% for Wells Fargo Securities, LLC (“</w:t>
                                  </w:r>
                                  <w:r>
                                    <w:rPr>
                                      <w:rFonts w:ascii="Georgia;Times;Serif" w:hAnsi="Georgia;Times;Serif"/>
                                      <w:b w:val="false"/>
                                      <w:i w:val="false"/>
                                      <w:caps w:val="false"/>
                                      <w:smallCaps w:val="false"/>
                                      <w:sz w:val="15"/>
                                      <w:u w:val="single"/>
                                    </w:rPr>
                                    <w:t>WFS</w:t>
                                  </w:r>
                                  <w:r>
                                    <w:rPr>
                                      <w:rFonts w:ascii="Georgia;Times;Serif" w:hAnsi="Georgia;Times;Serif"/>
                                      <w:b w:val="false"/>
                                      <w:i w:val="false"/>
                                      <w:caps w:val="false"/>
                                      <w:smallCaps w:val="false"/>
                                      <w:sz w:val="15"/>
                                    </w:rPr>
                                    <w:t>”); WFS has advised us that dealers, including Wells Fargo Advisors (“</w:t>
                                  </w:r>
                                  <w:r>
                                    <w:rPr>
                                      <w:rFonts w:ascii="Georgia;Times;Serif" w:hAnsi="Georgia;Times;Serif"/>
                                      <w:b w:val="false"/>
                                      <w:i w:val="false"/>
                                      <w:caps w:val="false"/>
                                      <w:smallCaps w:val="false"/>
                                      <w:sz w:val="15"/>
                                      <w:u w:val="single"/>
                                    </w:rPr>
                                    <w:t>WFA</w:t>
                                  </w:r>
                                  <w:r>
                                    <w:rPr>
                                      <w:rFonts w:ascii="Georgia;Times;Serif" w:hAnsi="Georgia;Times;Serif"/>
                                      <w:b w:val="false"/>
                                      <w:i w:val="false"/>
                                      <w:caps w:val="false"/>
                                      <w:smallCaps w:val="false"/>
                                      <w:sz w:val="15"/>
                                    </w:rPr>
                                    <w:t>”), may receive 1.75%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Tax Considerations:</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60" w:after="60"/>
                              <w:ind w:left="57" w:right="60" w:hanging="12"/>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 (Maturity Payment Amount)</w:t>
                            </w:r>
                          </w:p>
                          <w:p>
                            <w:pPr>
                              <w:pStyle w:val="TextBody"/>
                              <w:bidi w:val="0"/>
                              <w:spacing w:before="60" w:after="283"/>
                              <w:jc w:val="center"/>
                              <w:rPr>
                                <w:caps w:val="false"/>
                                <w:smallCaps w:val="false"/>
                                <w:color w:val="8F8F8F"/>
                              </w:rPr>
                            </w:pPr>
                            <w:r>
                              <w:rPr>
                                <w:caps w:val="false"/>
                                <w:smallCaps w:val="false"/>
                                <w:color w:val="8F8F8F"/>
                              </w:rPr>
                              <w:drawing>
                                <wp:inline distT="0" distB="0" distL="0" distR="0">
                                  <wp:extent cx="3409950" cy="215265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409950" cy="2152650"/>
                                          </a:xfrm>
                                          <a:prstGeom prst="rect">
                                            <a:avLst/>
                                          </a:prstGeom>
                                        </pic:spPr>
                                      </pic:pic>
                                    </a:graphicData>
                                  </a:graphic>
                                </wp:inline>
                              </w:drawing>
                            </w:r>
                          </w:p>
                          <w:p>
                            <w:pPr>
                              <w:pStyle w:val="TextBody"/>
                              <w:bidi w:val="0"/>
                              <w:ind w:left="130" w:right="0" w:hanging="0"/>
                              <w:jc w:val="left"/>
                              <w:rPr>
                                <w:rFonts w:ascii="Georgia;Times;Serif" w:hAnsi="Georgia;Times;Serif"/>
                                <w:b/>
                                <w:i w:val="false"/>
                                <w:caps w:val="false"/>
                                <w:smallCaps w:val="false"/>
                                <w:sz w:val="14"/>
                              </w:rPr>
                            </w:pPr>
                            <w:r>
                              <w:rPr>
                                <w:rFonts w:ascii="Georgia;Times;Serif" w:hAnsi="Georgia;Times;Serif"/>
                                <w:b/>
                                <w:i w:val="false"/>
                                <w:caps w:val="false"/>
                                <w:smallCaps w:val="false"/>
                                <w:sz w:val="14"/>
                              </w:rPr>
                              <w:t>If the securities are not automatically called prior to maturity and the ending price is less than the threshold price, you will lose more than 50%, and possibly all, of the principal amount of your securities at maturity.</w:t>
                            </w:r>
                          </w:p>
                          <w:p>
                            <w:pPr>
                              <w:pStyle w:val="TextBody"/>
                              <w:bidi w:val="0"/>
                              <w:ind w:left="130" w:right="0" w:hanging="0"/>
                              <w:jc w:val="left"/>
                              <w:rPr>
                                <w:rFonts w:ascii="Georgia;Times;Serif" w:hAnsi="Georgia;Times;Serif"/>
                                <w:b/>
                                <w:i w:val="false"/>
                                <w:caps w:val="false"/>
                                <w:smallCaps w:val="false"/>
                                <w:sz w:val="14"/>
                              </w:rPr>
                            </w:pPr>
                            <w:r>
                              <w:rPr>
                                <w:rFonts w:ascii="Georgia;Times;Serif" w:hAnsi="Georgia;Times;Serif"/>
                                <w:b/>
                                <w:i w:val="false"/>
                                <w:caps w:val="false"/>
                                <w:smallCaps w:val="false"/>
                                <w:sz w:val="14"/>
                              </w:rPr>
                              <w:t>Any return on the securities will be limited to the sum of your contingent coupon payments, if any. You will not participate in any appreciation of the Underlying Stock, but you will have full downside exposure to the Underlying Stock on the final calculation day if the ending price is less than the threshold price.</w:t>
                            </w:r>
                          </w:p>
                          <w:p>
                            <w:pPr>
                              <w:pStyle w:val="TextBody"/>
                              <w:bidi w:val="0"/>
                              <w:ind w:left="130" w:right="0" w:hanging="0"/>
                              <w:jc w:val="left"/>
                              <w:rPr>
                                <w:rFonts w:ascii="Georgia;Times;Serif" w:hAnsi="Georgia;Times;Serif"/>
                                <w:b w:val="false"/>
                                <w:i w:val="false"/>
                                <w:caps w:val="false"/>
                                <w:smallCaps w:val="false"/>
                                <w:sz w:val="14"/>
                              </w:rPr>
                            </w:pPr>
                            <w:r>
                              <w:rPr>
                                <w:rFonts w:ascii="Georgia;Times;Serif" w:hAnsi="Georgia;Times;Serif"/>
                                <w:b w:val="false"/>
                                <w:i w:val="false"/>
                                <w:caps w:val="false"/>
                                <w:smallCaps w:val="false"/>
                                <w:sz w:val="14"/>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4"/>
                              </w:rPr>
                              <w:t>Any payment on the securities is subject to the credit risk of JPMorgan Financial, as issuer of the securities, and the credit risk of JPMorgan Chase &amp; Co., as guarantor of the securities.</w:t>
                            </w:r>
                          </w:p>
                          <w:p>
                            <w:pPr>
                              <w:pStyle w:val="TextBody"/>
                              <w:bidi w:val="0"/>
                              <w:ind w:left="130" w:right="0" w:hanging="0"/>
                              <w:jc w:val="left"/>
                              <w:rPr>
                                <w:rFonts w:ascii="Georgia;Times;Serif" w:hAnsi="Georgia;Times;Serif"/>
                                <w:b w:val="false"/>
                                <w:i w:val="false"/>
                                <w:caps w:val="false"/>
                                <w:smallCaps w:val="false"/>
                                <w:sz w:val="14"/>
                              </w:rPr>
                            </w:pPr>
                            <w:r>
                              <w:rPr>
                                <w:rFonts w:ascii="Georgia;Times;Serif" w:hAnsi="Georgia;Times;Serif"/>
                                <w:b w:val="false"/>
                                <w:i w:val="false"/>
                                <w:caps w:val="false"/>
                                <w:smallCaps w:val="false"/>
                                <w:sz w:val="14"/>
                              </w:rPr>
                              <w:t>If the securities priced on the date of the accompanying preliminary pricing supplement, the estimated value of the securities would be approximately $947.50 per security. The estimated value of the securities, when the terms of the securities are set, will be provided in the pricing supplement and will not be less than $910.00 per security. See “The Estimated Value of the Securities” in the preliminary pricing supplement for additional information.</w:t>
                            </w:r>
                          </w:p>
                          <w:p>
                            <w:pPr>
                              <w:pStyle w:val="TextBody"/>
                              <w:bidi w:val="0"/>
                              <w:spacing w:before="0" w:after="0"/>
                              <w:ind w:left="130" w:right="1150" w:hanging="0"/>
                              <w:jc w:val="left"/>
                              <w:rPr/>
                            </w:pPr>
                            <w:r>
                              <w:rPr>
                                <w:rFonts w:ascii="Georgia;Times;Serif" w:hAnsi="Georgia;Times;Serif"/>
                                <w:b w:val="false"/>
                                <w:i w:val="false"/>
                                <w:caps w:val="false"/>
                                <w:smallCaps w:val="false"/>
                                <w:sz w:val="14"/>
                              </w:rPr>
                              <w:t xml:space="preserve">Preliminary Pricing Supplement: </w:t>
                              <w:br/>
                            </w:r>
                            <w:hyperlink r:id="rId4">
                              <w:r>
                                <w:rPr>
                                  <w:rStyle w:val="InternetLink"/>
                                  <w:rFonts w:ascii="Georgia;Times;Serif" w:hAnsi="Georgia;Times;Serif"/>
                                  <w:b w:val="false"/>
                                  <w:i w:val="false"/>
                                  <w:caps w:val="false"/>
                                  <w:smallCaps w:val="false"/>
                                  <w:sz w:val="14"/>
                                </w:rPr>
                                <w:t>http://www.sec.gov/Archives/edgar/data/19617/000121390026101896/</w:t>
                                <w:br/>
                                <w:t>ea0306151-01_424b2.htm</w:t>
                              </w:r>
                            </w:hyperlink>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3955" w:type="dxa"/>
                        <w:jc w:val="left"/>
                        <w:tblInd w:w="-10" w:type="dxa"/>
                        <w:tblLayout w:type="fixed"/>
                        <w:tblCellMar>
                          <w:top w:w="28" w:type="dxa"/>
                          <w:left w:w="108" w:type="dxa"/>
                          <w:bottom w:w="0" w:type="dxa"/>
                          <w:right w:w="108" w:type="dxa"/>
                        </w:tblCellMar>
                      </w:tblPr>
                      <w:tblGrid>
                        <w:gridCol w:w="935"/>
                        <w:gridCol w:w="3020"/>
                      </w:tblGrid>
                      <w:tr>
                        <w:trPr/>
                        <w:tc>
                          <w:tcPr>
                            <w:tcW w:w="935" w:type="dxa"/>
                            <w:tcBorders>
                              <w:top w:val="single" w:sz="8" w:space="0" w:color="000000"/>
                              <w:left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Stock Return:</w:t>
                            </w:r>
                          </w:p>
                        </w:tc>
                        <w:tc>
                          <w:tcPr>
                            <w:tcW w:w="3020" w:type="dxa"/>
                            <w:tcBorders>
                              <w:top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(ending price – starting price) / starting price</w:t>
                            </w:r>
                          </w:p>
                        </w:tc>
                      </w:tr>
                    </w:tbl>
                    <w:tbl>
                      <w:tblPr>
                        <w:tblW w:w="10205" w:type="dxa"/>
                        <w:jc w:val="left"/>
                        <w:tblInd w:w="-10" w:type="dxa"/>
                        <w:tblLayout w:type="fixed"/>
                        <w:tblCellMar>
                          <w:top w:w="28" w:type="dxa"/>
                          <w:left w:w="108" w:type="dxa"/>
                          <w:bottom w:w="28" w:type="dxa"/>
                          <w:right w:w="108" w:type="dxa"/>
                        </w:tblCellMar>
                      </w:tblPr>
                      <w:tblGrid>
                        <w:gridCol w:w="1185"/>
                        <w:gridCol w:w="9020"/>
                      </w:tblGrid>
                      <w:tr>
                        <w:trPr/>
                        <w:tc>
                          <w:tcPr>
                            <w:tcW w:w="118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Threshold Price:</w:t>
                            </w:r>
                          </w:p>
                        </w:tc>
                        <w:tc>
                          <w:tcPr>
                            <w:tcW w:w="90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50% of the starting price</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Calculation Agent:</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 Morgan Securities LLC (“</w:t>
                            </w:r>
                            <w:r>
                              <w:rPr>
                                <w:rFonts w:ascii="Georgia;Times;Serif" w:hAnsi="Georgia;Times;Serif"/>
                                <w:b w:val="false"/>
                                <w:i w:val="false"/>
                                <w:caps w:val="false"/>
                                <w:smallCaps w:val="false"/>
                                <w:sz w:val="15"/>
                                <w:u w:val="single"/>
                              </w:rPr>
                              <w:t>JPMS</w:t>
                            </w:r>
                            <w:r>
                              <w:rPr>
                                <w:rFonts w:ascii="Georgia;Times;Serif" w:hAnsi="Georgia;Times;Serif"/>
                                <w:b w:val="false"/>
                                <w:i w:val="false"/>
                                <w:caps w:val="false"/>
                                <w:smallCaps w:val="false"/>
                                <w:sz w:val="15"/>
                              </w:rPr>
                              <w:t>”)</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Denominations:</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and any integral multiple of $1,000</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CUSIP:</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46661PZ34</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Fees and Commissions:</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Up to 2.325% for Wells Fargo Securities, LLC (“</w:t>
                            </w:r>
                            <w:r>
                              <w:rPr>
                                <w:rFonts w:ascii="Georgia;Times;Serif" w:hAnsi="Georgia;Times;Serif"/>
                                <w:b w:val="false"/>
                                <w:i w:val="false"/>
                                <w:caps w:val="false"/>
                                <w:smallCaps w:val="false"/>
                                <w:sz w:val="15"/>
                                <w:u w:val="single"/>
                              </w:rPr>
                              <w:t>WFS</w:t>
                            </w:r>
                            <w:r>
                              <w:rPr>
                                <w:rFonts w:ascii="Georgia;Times;Serif" w:hAnsi="Georgia;Times;Serif"/>
                                <w:b w:val="false"/>
                                <w:i w:val="false"/>
                                <w:caps w:val="false"/>
                                <w:smallCaps w:val="false"/>
                                <w:sz w:val="15"/>
                              </w:rPr>
                              <w:t>”); WFS has advised us that dealers, including Wells Fargo Advisors (“</w:t>
                            </w:r>
                            <w:r>
                              <w:rPr>
                                <w:rFonts w:ascii="Georgia;Times;Serif" w:hAnsi="Georgia;Times;Serif"/>
                                <w:b w:val="false"/>
                                <w:i w:val="false"/>
                                <w:caps w:val="false"/>
                                <w:smallCaps w:val="false"/>
                                <w:sz w:val="15"/>
                                <w:u w:val="single"/>
                              </w:rPr>
                              <w:t>WFA</w:t>
                            </w:r>
                            <w:r>
                              <w:rPr>
                                <w:rFonts w:ascii="Georgia;Times;Serif" w:hAnsi="Georgia;Times;Serif"/>
                                <w:b w:val="false"/>
                                <w:i w:val="false"/>
                                <w:caps w:val="false"/>
                                <w:smallCaps w:val="false"/>
                                <w:sz w:val="15"/>
                              </w:rPr>
                              <w:t>”), may receive 1.75%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Tax Considerations:</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60" w:after="60"/>
                        <w:ind w:left="57" w:right="60" w:hanging="12"/>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 (Maturity Payment Amount)</w:t>
                      </w:r>
                    </w:p>
                    <w:p>
                      <w:pPr>
                        <w:pStyle w:val="TextBody"/>
                        <w:bidi w:val="0"/>
                        <w:spacing w:before="60" w:after="283"/>
                        <w:jc w:val="center"/>
                        <w:rPr>
                          <w:caps w:val="false"/>
                          <w:smallCaps w:val="false"/>
                          <w:color w:val="8F8F8F"/>
                        </w:rPr>
                      </w:pPr>
                      <w:r>
                        <w:rPr>
                          <w:caps w:val="false"/>
                          <w:smallCaps w:val="false"/>
                          <w:color w:val="8F8F8F"/>
                        </w:rPr>
                        <w:drawing>
                          <wp:inline distT="0" distB="0" distL="0" distR="0">
                            <wp:extent cx="3409950" cy="21526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409950" cy="2152650"/>
                                    </a:xfrm>
                                    <a:prstGeom prst="rect">
                                      <a:avLst/>
                                    </a:prstGeom>
                                  </pic:spPr>
                                </pic:pic>
                              </a:graphicData>
                            </a:graphic>
                          </wp:inline>
                        </w:drawing>
                      </w:r>
                    </w:p>
                    <w:p>
                      <w:pPr>
                        <w:pStyle w:val="TextBody"/>
                        <w:bidi w:val="0"/>
                        <w:ind w:left="130" w:right="0" w:hanging="0"/>
                        <w:jc w:val="left"/>
                        <w:rPr>
                          <w:rFonts w:ascii="Georgia;Times;Serif" w:hAnsi="Georgia;Times;Serif"/>
                          <w:b/>
                          <w:i w:val="false"/>
                          <w:caps w:val="false"/>
                          <w:smallCaps w:val="false"/>
                          <w:sz w:val="14"/>
                        </w:rPr>
                      </w:pPr>
                      <w:r>
                        <w:rPr>
                          <w:rFonts w:ascii="Georgia;Times;Serif" w:hAnsi="Georgia;Times;Serif"/>
                          <w:b/>
                          <w:i w:val="false"/>
                          <w:caps w:val="false"/>
                          <w:smallCaps w:val="false"/>
                          <w:sz w:val="14"/>
                        </w:rPr>
                        <w:t>If the securities are not automatically called prior to maturity and the ending price is less than the threshold price, you will lose more than 50%, and possibly all, of the principal amount of your securities at maturity.</w:t>
                      </w:r>
                    </w:p>
                    <w:p>
                      <w:pPr>
                        <w:pStyle w:val="TextBody"/>
                        <w:bidi w:val="0"/>
                        <w:ind w:left="130" w:right="0" w:hanging="0"/>
                        <w:jc w:val="left"/>
                        <w:rPr>
                          <w:rFonts w:ascii="Georgia;Times;Serif" w:hAnsi="Georgia;Times;Serif"/>
                          <w:b/>
                          <w:i w:val="false"/>
                          <w:caps w:val="false"/>
                          <w:smallCaps w:val="false"/>
                          <w:sz w:val="14"/>
                        </w:rPr>
                      </w:pPr>
                      <w:r>
                        <w:rPr>
                          <w:rFonts w:ascii="Georgia;Times;Serif" w:hAnsi="Georgia;Times;Serif"/>
                          <w:b/>
                          <w:i w:val="false"/>
                          <w:caps w:val="false"/>
                          <w:smallCaps w:val="false"/>
                          <w:sz w:val="14"/>
                        </w:rPr>
                        <w:t>Any return on the securities will be limited to the sum of your contingent coupon payments, if any. You will not participate in any appreciation of the Underlying Stock, but you will have full downside exposure to the Underlying Stock on the final calculation day if the ending price is less than the threshold price.</w:t>
                      </w:r>
                    </w:p>
                    <w:p>
                      <w:pPr>
                        <w:pStyle w:val="TextBody"/>
                        <w:bidi w:val="0"/>
                        <w:ind w:left="130" w:right="0" w:hanging="0"/>
                        <w:jc w:val="left"/>
                        <w:rPr>
                          <w:rFonts w:ascii="Georgia;Times;Serif" w:hAnsi="Georgia;Times;Serif"/>
                          <w:b w:val="false"/>
                          <w:i w:val="false"/>
                          <w:caps w:val="false"/>
                          <w:smallCaps w:val="false"/>
                          <w:sz w:val="14"/>
                        </w:rPr>
                      </w:pPr>
                      <w:r>
                        <w:rPr>
                          <w:rFonts w:ascii="Georgia;Times;Serif" w:hAnsi="Georgia;Times;Serif"/>
                          <w:b w:val="false"/>
                          <w:i w:val="false"/>
                          <w:caps w:val="false"/>
                          <w:smallCaps w:val="false"/>
                          <w:sz w:val="14"/>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4"/>
                        </w:rPr>
                        <w:t>Any payment on the securities is subject to the credit risk of JPMorgan Financial, as issuer of the securities, and the credit risk of JPMorgan Chase &amp; Co., as guarantor of the securities.</w:t>
                      </w:r>
                    </w:p>
                    <w:p>
                      <w:pPr>
                        <w:pStyle w:val="TextBody"/>
                        <w:bidi w:val="0"/>
                        <w:ind w:left="130" w:right="0" w:hanging="0"/>
                        <w:jc w:val="left"/>
                        <w:rPr>
                          <w:rFonts w:ascii="Georgia;Times;Serif" w:hAnsi="Georgia;Times;Serif"/>
                          <w:b w:val="false"/>
                          <w:i w:val="false"/>
                          <w:caps w:val="false"/>
                          <w:smallCaps w:val="false"/>
                          <w:sz w:val="14"/>
                        </w:rPr>
                      </w:pPr>
                      <w:r>
                        <w:rPr>
                          <w:rFonts w:ascii="Georgia;Times;Serif" w:hAnsi="Georgia;Times;Serif"/>
                          <w:b w:val="false"/>
                          <w:i w:val="false"/>
                          <w:caps w:val="false"/>
                          <w:smallCaps w:val="false"/>
                          <w:sz w:val="14"/>
                        </w:rPr>
                        <w:t>If the securities priced on the date of the accompanying preliminary pricing supplement, the estimated value of the securities would be approximately $947.50 per security. The estimated value of the securities, when the terms of the securities are set, will be provided in the pricing supplement and will not be less than $910.00 per security. See “The Estimated Value of the Securities” in the preliminary pricing supplement for additional information.</w:t>
                      </w:r>
                    </w:p>
                    <w:p>
                      <w:pPr>
                        <w:pStyle w:val="TextBody"/>
                        <w:bidi w:val="0"/>
                        <w:spacing w:before="0" w:after="0"/>
                        <w:ind w:left="130" w:right="1150" w:hanging="0"/>
                        <w:jc w:val="left"/>
                        <w:rPr/>
                      </w:pPr>
                      <w:r>
                        <w:rPr>
                          <w:rFonts w:ascii="Georgia;Times;Serif" w:hAnsi="Georgia;Times;Serif"/>
                          <w:b w:val="false"/>
                          <w:i w:val="false"/>
                          <w:caps w:val="false"/>
                          <w:smallCaps w:val="false"/>
                          <w:sz w:val="14"/>
                        </w:rPr>
                        <w:t xml:space="preserve">Preliminary Pricing Supplement: </w:t>
                        <w:br/>
                      </w:r>
                      <w:hyperlink r:id="rId6">
                        <w:r>
                          <w:rPr>
                            <w:rStyle w:val="InternetLink"/>
                            <w:rFonts w:ascii="Georgia;Times;Serif" w:hAnsi="Georgia;Times;Serif"/>
                            <w:b w:val="false"/>
                            <w:i w:val="false"/>
                            <w:caps w:val="false"/>
                            <w:smallCaps w:val="false"/>
                            <w:sz w:val="14"/>
                          </w:rPr>
                          <w:t>http://www.sec.gov/Archives/edgar/data/19617/000121390026101896/</w:t>
                          <w:br/>
                          <w:t>ea0306151-01_424b2.htm</w:t>
                        </w:r>
                      </w:hyperlink>
                    </w:p>
                  </w:txbxContent>
                </v:textbox>
                <w10:wrap type="square" side="left"/>
              </v:rect>
            </w:pict>
          </mc:Fallback>
        </mc:AlternateContent>
      </w:r>
    </w:p>
    <w:p>
      <w:pPr>
        <w:pStyle w:val="TextBody"/>
        <w:bidi w:val="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80" w:after="80"/>
        <w:ind w:left="80" w:right="8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and product supplement.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4410"/>
        <w:gridCol w:w="5795"/>
      </w:tblGrid>
      <w:tr>
        <w:trPr/>
        <w:tc>
          <w:tcPr>
            <w:tcW w:w="4410" w:type="dxa"/>
            <w:tcBorders/>
            <w:vAlign w:val="center"/>
          </w:tcPr>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Securities Are Not Automatically Called and the Ending Price Is Less Than the Threshold Price, You Will Lose More Than 50%, and Possibly All, of the Principal Amount of Your Securities at Maturity.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Do Not Guarantee the Payment of Interest and May Not Pay Any Interest at All.</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 xml:space="preserve">The Potential Return on the Securities Is Limited to the Sum of Any Contingent Coupon Payments </w:t>
            </w:r>
            <w:r>
              <w:rPr>
                <w:rFonts w:ascii="Georgia;Times;Serif" w:hAnsi="Georgia;Times;Serif"/>
                <w:b/>
                <w:i w:val="false"/>
                <w:caps w:val="false"/>
                <w:smallCaps w:val="false"/>
                <w:sz w:val="18"/>
              </w:rPr>
              <w:t>and You Will Not Participate in Any Appreciation of the Underlying Stock.</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Reinvestment Risk.</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Higher Contingent Coupon Rates Are Associated with Greater Risk.</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Benefit Provided by the Threshold Price May Terminate on the Final Calculation Day.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Dividend Payments or Voting Rights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Lack of Liquidity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Potential Conflicts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Will Be Lower Than the Original Issue Price (Price to Public) of the Securities.</w:t>
            </w:r>
          </w:p>
        </w:tc>
        <w:tc>
          <w:tcPr>
            <w:tcW w:w="5795" w:type="dxa"/>
            <w:tcBorders/>
            <w:vAlign w:val="center"/>
          </w:tcPr>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Many Economic and Market Factors Will Impact the Value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Affiliation with the Underlying Stock Issuer.</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Limited Trading History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Anti-Dilution Protection Is Limited and May Be Discretionary.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 xml:space="preserve">Any Payment on the Securities Will Depend upon the Performance of the Underlying Stock and Therefore the Securities Are Subject to the Risks Associated with the Underlying Stock, Each as Discussed in the Accompanying Preliminary Pricing Supplement and Product Supplement. </w:t>
            </w:r>
          </w:p>
          <w:p>
            <w:pPr>
              <w:pStyle w:val="TableContents"/>
              <w:bidi w:val="0"/>
              <w:spacing w:before="0" w:after="40"/>
              <w:ind w:left="360" w:right="0" w:hanging="0"/>
              <w:jc w:val="left"/>
              <w:rPr>
                <w:caps w:val="false"/>
                <w:smallCaps w:val="false"/>
              </w:rPr>
            </w:pPr>
            <w:r>
              <w:rPr>
                <w:caps w:val="false"/>
                <w:smallCaps w:val="false"/>
              </w:rPr>
              <w:t> </w:t>
            </w:r>
          </w:p>
        </w:tc>
      </w:tr>
    </w:tbl>
    <w:p>
      <w:pPr>
        <w:pStyle w:val="TextBody"/>
        <w:bidi w:val="0"/>
        <w:spacing w:before="2800" w:after="120"/>
        <w:ind w:left="2800" w:right="2800" w:hanging="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p>
      <w:pPr>
        <w:pStyle w:val="TextBody"/>
        <w:bidi w:val="0"/>
        <w:spacing w:before="0" w:after="60"/>
        <w:jc w:val="left"/>
        <w:rPr>
          <w:caps w:val="false"/>
          <w:smallCaps w:val="false"/>
          <w:color w:val="8F8F8F"/>
        </w:rPr>
      </w:pPr>
      <w:r>
        <w:rPr>
          <w:caps w:val="false"/>
          <w:smallCaps w:val="false"/>
          <w:color w:val="8F8F8F"/>
        </w:rPr>
        <w:t> </w:t>
      </w:r>
    </w:p>
    <w:p>
      <w:pPr>
        <w:pStyle w:val="TextBody"/>
        <w:bidi w:val="0"/>
        <w:spacing w:before="0" w:after="60"/>
        <w:ind w:left="0" w:right="0" w:hanging="0"/>
        <w:jc w:val="left"/>
        <w:rPr>
          <w:caps w:val="false"/>
          <w:smallCaps w:val="false"/>
          <w:color w:val="8F8F8F"/>
        </w:rPr>
      </w:pPr>
      <w:r>
        <w:rPr>
          <w:caps w:val="false"/>
          <w:smallCaps w:val="false"/>
          <w:color w:val="8F8F8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Symbol">
    <w:charset w:val="02"/>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101896/ea0306151-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101896/ea0306151-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1653</Words>
  <Characters>8909</Characters>
  <CharactersWithSpaces>10596</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