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2"/>
          <w:szCs w:val="12"/>
          <w:b w:val="1"/>
          <w:bCs w:val="1"/>
          <w:color w:val="auto"/>
        </w:rPr>
        <w:t>UNITED STATES</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124460</wp:posOffset>
            </wp:positionV>
            <wp:extent cx="28003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96" w:lineRule="exact"/>
        <w:rPr>
          <w:sz w:val="24"/>
          <w:szCs w:val="24"/>
          <w:color w:val="auto"/>
        </w:rPr>
      </w:pPr>
    </w:p>
    <w:p>
      <w:pPr>
        <w:ind w:left="524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131445</wp:posOffset>
            </wp:positionV>
            <wp:extent cx="28003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82"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6"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Date of Report (date of earliest event reported): January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154940</wp:posOffset>
            </wp:positionV>
            <wp:extent cx="28003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70"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JPMorgan Chase &amp; Co.</w:t>
      </w:r>
    </w:p>
    <w:p>
      <w:pPr>
        <w:spacing w:after="0" w:line="24" w:lineRule="exact"/>
        <w:rPr>
          <w:sz w:val="24"/>
          <w:szCs w:val="24"/>
          <w:color w:val="auto"/>
        </w:rPr>
      </w:pPr>
    </w:p>
    <w:p>
      <w:pPr>
        <w:ind w:left="4620"/>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127000</wp:posOffset>
            </wp:positionV>
            <wp:extent cx="2800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321" w:lineRule="exact"/>
        <w:rPr>
          <w:sz w:val="24"/>
          <w:szCs w:val="24"/>
          <w:color w:val="auto"/>
        </w:rPr>
      </w:pPr>
    </w:p>
    <w:tbl>
      <w:tblPr>
        <w:tblLayout w:type="fixed"/>
        <w:tblInd w:w="3540" w:type="dxa"/>
        <w:tblCellMar>
          <w:top w:w="0" w:type="dxa"/>
          <w:left w:w="0" w:type="dxa"/>
          <w:bottom w:w="0" w:type="dxa"/>
          <w:right w:w="0" w:type="dxa"/>
        </w:tblCellMar>
      </w:tblP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Delaware</w:t>
            </w:r>
          </w:p>
        </w:tc>
        <w:tc>
          <w:tcPr>
            <w:tcW w:w="1340" w:type="dxa"/>
            <w:vAlign w:val="bottom"/>
          </w:tcPr>
          <w:p>
            <w:pPr>
              <w:jc w:val="right"/>
              <w:ind w:right="578"/>
              <w:spacing w:after="0"/>
              <w:rPr>
                <w:sz w:val="20"/>
                <w:szCs w:val="20"/>
                <w:color w:val="auto"/>
              </w:rPr>
            </w:pPr>
            <w:r>
              <w:rPr>
                <w:rFonts w:ascii="Arial" w:cs="Arial" w:eastAsia="Arial" w:hAnsi="Arial"/>
                <w:sz w:val="8"/>
                <w:szCs w:val="8"/>
                <w:b w:val="1"/>
                <w:bCs w:val="1"/>
                <w:color w:val="auto"/>
              </w:rPr>
              <w:t>1-5805</w:t>
            </w:r>
          </w:p>
        </w:tc>
        <w:tc>
          <w:tcPr>
            <w:tcW w:w="920" w:type="dxa"/>
            <w:vAlign w:val="bottom"/>
          </w:tcPr>
          <w:p>
            <w:pPr>
              <w:jc w:val="right"/>
              <w:ind w:right="78"/>
              <w:spacing w:after="0"/>
              <w:rPr>
                <w:sz w:val="20"/>
                <w:szCs w:val="20"/>
                <w:color w:val="auto"/>
              </w:rPr>
            </w:pPr>
            <w:r>
              <w:rPr>
                <w:rFonts w:ascii="Arial" w:cs="Arial" w:eastAsia="Arial" w:hAnsi="Arial"/>
                <w:sz w:val="8"/>
                <w:szCs w:val="8"/>
                <w:b w:val="1"/>
                <w:bCs w:val="1"/>
                <w:color w:val="auto"/>
              </w:rPr>
              <w:t>13-2624428</w:t>
            </w:r>
          </w:p>
        </w:tc>
      </w:tr>
      <w:tr>
        <w:trPr>
          <w:trHeight w:val="87"/>
        </w:trPr>
        <w:tc>
          <w:tcPr>
            <w:tcW w:w="1620" w:type="dxa"/>
            <w:vAlign w:val="bottom"/>
          </w:tcPr>
          <w:p>
            <w:pPr>
              <w:jc w:val="center"/>
              <w:ind w:right="18"/>
              <w:spacing w:after="0" w:line="87" w:lineRule="exact"/>
              <w:rPr>
                <w:sz w:val="20"/>
                <w:szCs w:val="20"/>
                <w:color w:val="auto"/>
              </w:rPr>
            </w:pPr>
            <w:r>
              <w:rPr>
                <w:rFonts w:ascii="Arial" w:cs="Arial" w:eastAsia="Arial" w:hAnsi="Arial"/>
                <w:sz w:val="8"/>
                <w:szCs w:val="8"/>
                <w:b w:val="1"/>
                <w:bCs w:val="1"/>
                <w:color w:val="auto"/>
              </w:rPr>
              <w:t>(State or other jurisdiction of</w:t>
            </w:r>
          </w:p>
        </w:tc>
        <w:tc>
          <w:tcPr>
            <w:tcW w:w="1340" w:type="dxa"/>
            <w:vAlign w:val="bottom"/>
          </w:tcPr>
          <w:p>
            <w:pPr>
              <w:jc w:val="center"/>
              <w:ind w:right="118"/>
              <w:spacing w:after="0" w:line="87" w:lineRule="exact"/>
              <w:rPr>
                <w:sz w:val="20"/>
                <w:szCs w:val="20"/>
                <w:color w:val="auto"/>
              </w:rPr>
            </w:pPr>
            <w:r>
              <w:rPr>
                <w:rFonts w:ascii="Arial" w:cs="Arial" w:eastAsia="Arial" w:hAnsi="Arial"/>
                <w:sz w:val="8"/>
                <w:szCs w:val="8"/>
                <w:b w:val="1"/>
                <w:bCs w:val="1"/>
                <w:color w:val="auto"/>
              </w:rPr>
              <w:t>(Commission File Number)</w:t>
            </w:r>
          </w:p>
        </w:tc>
        <w:tc>
          <w:tcPr>
            <w:tcW w:w="920" w:type="dxa"/>
            <w:vAlign w:val="bottom"/>
          </w:tcPr>
          <w:p>
            <w:pPr>
              <w:jc w:val="center"/>
              <w:ind w:left="178"/>
              <w:spacing w:after="0" w:line="87" w:lineRule="exact"/>
              <w:rPr>
                <w:sz w:val="20"/>
                <w:szCs w:val="20"/>
                <w:color w:val="auto"/>
              </w:rPr>
            </w:pPr>
            <w:r>
              <w:rPr>
                <w:rFonts w:ascii="Arial" w:cs="Arial" w:eastAsia="Arial" w:hAnsi="Arial"/>
                <w:sz w:val="8"/>
                <w:szCs w:val="8"/>
                <w:b w:val="1"/>
                <w:bCs w:val="1"/>
                <w:color w:val="auto"/>
              </w:rPr>
              <w:t>(I.R.S. employer</w:t>
            </w:r>
          </w:p>
        </w:tc>
      </w:t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incorporation or organization)</w:t>
            </w:r>
          </w:p>
        </w:tc>
        <w:tc>
          <w:tcPr>
            <w:tcW w:w="1340" w:type="dxa"/>
            <w:vAlign w:val="bottom"/>
          </w:tcPr>
          <w:p>
            <w:pPr>
              <w:spacing w:after="0"/>
              <w:rPr>
                <w:sz w:val="9"/>
                <w:szCs w:val="9"/>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identification no.)</w:t>
            </w:r>
          </w:p>
        </w:tc>
      </w:tr>
      <w:tr>
        <w:trPr>
          <w:trHeight w:val="222"/>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270 Park Avenue,</w:t>
            </w: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17"/>
        </w:trPr>
        <w:tc>
          <w:tcPr>
            <w:tcW w:w="1620" w:type="dxa"/>
            <w:vAlign w:val="bottom"/>
          </w:tcPr>
          <w:p>
            <w:pPr>
              <w:ind w:left="360"/>
              <w:spacing w:after="0"/>
              <w:rPr>
                <w:sz w:val="20"/>
                <w:szCs w:val="20"/>
                <w:color w:val="auto"/>
              </w:rPr>
            </w:pPr>
            <w:r>
              <w:rPr>
                <w:rFonts w:ascii="Arial" w:cs="Arial" w:eastAsia="Arial" w:hAnsi="Arial"/>
                <w:sz w:val="8"/>
                <w:szCs w:val="8"/>
                <w:b w:val="1"/>
                <w:bCs w:val="1"/>
                <w:color w:val="auto"/>
              </w:rPr>
              <w:t>New York, New York</w:t>
            </w:r>
          </w:p>
        </w:tc>
        <w:tc>
          <w:tcPr>
            <w:tcW w:w="1340" w:type="dxa"/>
            <w:vAlign w:val="bottom"/>
          </w:tcPr>
          <w:p>
            <w:pPr>
              <w:spacing w:after="0"/>
              <w:rPr>
                <w:sz w:val="10"/>
                <w:szCs w:val="10"/>
                <w:color w:val="auto"/>
              </w:rPr>
            </w:pPr>
          </w:p>
        </w:tc>
        <w:tc>
          <w:tcPr>
            <w:tcW w:w="920" w:type="dxa"/>
            <w:vAlign w:val="bottom"/>
          </w:tcPr>
          <w:p>
            <w:pPr>
              <w:jc w:val="right"/>
              <w:ind w:right="198"/>
              <w:spacing w:after="0"/>
              <w:rPr>
                <w:sz w:val="20"/>
                <w:szCs w:val="20"/>
                <w:color w:val="auto"/>
              </w:rPr>
            </w:pPr>
            <w:r>
              <w:rPr>
                <w:rFonts w:ascii="Arial" w:cs="Arial" w:eastAsia="Arial" w:hAnsi="Arial"/>
                <w:sz w:val="8"/>
                <w:szCs w:val="8"/>
                <w:b w:val="1"/>
                <w:bCs w:val="1"/>
                <w:color w:val="auto"/>
              </w:rPr>
              <w:t>10017</w:t>
            </w:r>
          </w:p>
        </w:tc>
      </w:tr>
      <w:tr>
        <w:trPr>
          <w:trHeight w:val="14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(Address of principal executive offices)</w:t>
            </w:r>
          </w:p>
        </w:tc>
        <w:tc>
          <w:tcPr>
            <w:tcW w:w="1340" w:type="dxa"/>
            <w:vAlign w:val="bottom"/>
          </w:tcPr>
          <w:p>
            <w:pPr>
              <w:spacing w:after="0"/>
              <w:rPr>
                <w:sz w:val="12"/>
                <w:szCs w:val="12"/>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(Zip Code)</w:t>
            </w:r>
          </w:p>
        </w:tc>
      </w:tr>
    </w:tbl>
    <w:p>
      <w:pPr>
        <w:spacing w:after="0" w:line="53" w:lineRule="exact"/>
        <w:rPr>
          <w:sz w:val="24"/>
          <w:szCs w:val="24"/>
          <w:color w:val="auto"/>
        </w:rPr>
      </w:pPr>
    </w:p>
    <w:p>
      <w:pPr>
        <w:ind w:left="4100"/>
        <w:spacing w:after="0"/>
        <w:rPr>
          <w:sz w:val="20"/>
          <w:szCs w:val="20"/>
          <w:color w:val="auto"/>
        </w:rPr>
      </w:pPr>
      <w:r>
        <w:rPr>
          <w:rFonts w:ascii="Arial" w:cs="Arial" w:eastAsia="Arial" w:hAnsi="Arial"/>
          <w:sz w:val="10"/>
          <w:szCs w:val="10"/>
          <w:b w:val="1"/>
          <w:bCs w:val="1"/>
          <w:color w:val="auto"/>
        </w:rPr>
        <w:t>Registrant’s telephone number, including area code: (212) 270-6000</w:t>
      </w:r>
    </w:p>
    <w:p>
      <w:pPr>
        <w:spacing w:after="0" w:line="69"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Check the appropriate box below if the Form 8-K filing is intended to simultaneously satisfy the filing obligation of the registrant under any of the following provisions:</w:t>
      </w:r>
    </w:p>
    <w:p>
      <w:pPr>
        <w:spacing w:after="0" w:line="97"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Written communications pursuant to Rule 425 under the Securities Act (17 CFR 230.425)</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Soliciting material pursuant to Rule 14a-12 under the Exchange Act (17 CFR 240.14a-12)</w:t>
      </w:r>
    </w:p>
    <w:p>
      <w:pPr>
        <w:spacing w:after="0" w:line="97"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14d-2(b) under the Exchange Act (17 CFR 240.14d-2(b))</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13e-4(c) under the Exchange Act (17 CFR 240.13e-4(c))</w:t>
      </w:r>
    </w:p>
    <w:p>
      <w:pPr>
        <w:spacing w:after="0" w:line="84" w:lineRule="exact"/>
        <w:rPr>
          <w:sz w:val="24"/>
          <w:szCs w:val="24"/>
          <w:color w:val="auto"/>
        </w:rPr>
      </w:pPr>
    </w:p>
    <w:p>
      <w:pPr>
        <w:ind w:left="432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78" w:lineRule="exact"/>
        <w:rPr>
          <w:sz w:val="24"/>
          <w:szCs w:val="24"/>
          <w:color w:val="auto"/>
        </w:rPr>
      </w:pPr>
    </w:p>
    <w:tbl>
      <w:tblPr>
        <w:tblLayout w:type="fixed"/>
        <w:tblInd w:w="60" w:type="dxa"/>
        <w:tblCellMar>
          <w:top w:w="0" w:type="dxa"/>
          <w:left w:w="0" w:type="dxa"/>
          <w:bottom w:w="0" w:type="dxa"/>
          <w:right w:w="0" w:type="dxa"/>
        </w:tblCellMar>
      </w:tblPr>
      <w:tr>
        <w:trPr>
          <w:trHeight w:val="93"/>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Title of each class</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Trading Symbol(s)</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20"/>
        </w:trPr>
        <w:tc>
          <w:tcPr>
            <w:tcW w:w="7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118"/>
        </w:trPr>
        <w:tc>
          <w:tcPr>
            <w:tcW w:w="720" w:type="dxa"/>
            <w:vAlign w:val="bottom"/>
          </w:tcPr>
          <w:p>
            <w:pPr>
              <w:spacing w:after="0"/>
              <w:rPr>
                <w:sz w:val="20"/>
                <w:szCs w:val="20"/>
                <w:color w:val="auto"/>
              </w:rPr>
            </w:pPr>
            <w:r>
              <w:rPr>
                <w:rFonts w:ascii="Arial" w:cs="Arial" w:eastAsia="Arial" w:hAnsi="Arial"/>
                <w:sz w:val="8"/>
                <w:szCs w:val="8"/>
                <w:b w:val="1"/>
                <w:bCs w:val="1"/>
                <w:color w:val="auto"/>
              </w:rPr>
              <w:t>Common stock</w:t>
            </w:r>
          </w:p>
        </w:tc>
        <w:tc>
          <w:tcPr>
            <w:tcW w:w="4920" w:type="dxa"/>
            <w:vAlign w:val="bottom"/>
          </w:tcPr>
          <w:p>
            <w:pPr>
              <w:spacing w:after="0"/>
              <w:rPr>
                <w:sz w:val="10"/>
                <w:szCs w:val="10"/>
                <w:color w:val="auto"/>
              </w:rPr>
            </w:pP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5.75% Non-Cumulative Preferred Stock, Series DD</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D</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6.00% Non-Cumulative Preferred Stock, Series EE</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C</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4.75% Non-Cumulative Preferred Stock, Series GG</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J</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4.55% Non-Cumulative Preferred Stock, Series JJ</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K</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4.625% Non-Cumulative Preferred Stock, Series LL</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L</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4.20% Non-Cumulative Preferred Stock, Series MM</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 PR M</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Callable Fixed Rate Notes due June 10, 2032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JPM/32</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Alerian MLP Index ETNs due January 28, 2044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AMJB</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NYSE Arca, Inc.</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Inverse VIX Short-Term Futures ETNs due March 22, 2045 of JPMorgan Chase Financial Company LLC</w:t>
            </w:r>
          </w:p>
        </w:tc>
        <w:tc>
          <w:tcPr>
            <w:tcW w:w="1700" w:type="dxa"/>
            <w:vAlign w:val="bottom"/>
            <w:gridSpan w:val="3"/>
          </w:tcPr>
          <w:p>
            <w:pPr>
              <w:ind w:left="380"/>
              <w:spacing w:after="0"/>
              <w:rPr>
                <w:sz w:val="20"/>
                <w:szCs w:val="20"/>
                <w:color w:val="auto"/>
              </w:rPr>
            </w:pPr>
            <w:r>
              <w:rPr>
                <w:rFonts w:ascii="Arial" w:cs="Arial" w:eastAsia="Arial" w:hAnsi="Arial"/>
                <w:sz w:val="8"/>
                <w:szCs w:val="8"/>
                <w:b w:val="1"/>
                <w:bCs w:val="1"/>
                <w:color w:val="auto"/>
              </w:rPr>
              <w:t>VYLD</w:t>
            </w:r>
          </w:p>
        </w:tc>
        <w:tc>
          <w:tcPr>
            <w:tcW w:w="2360" w:type="dxa"/>
            <w:vAlign w:val="bottom"/>
            <w:gridSpan w:val="2"/>
          </w:tcPr>
          <w:p>
            <w:pPr>
              <w:ind w:left="600"/>
              <w:spacing w:after="0"/>
              <w:rPr>
                <w:sz w:val="20"/>
                <w:szCs w:val="20"/>
                <w:color w:val="auto"/>
              </w:rPr>
            </w:pPr>
            <w:r>
              <w:rPr>
                <w:rFonts w:ascii="Arial" w:cs="Arial" w:eastAsia="Arial" w:hAnsi="Arial"/>
                <w:sz w:val="8"/>
                <w:szCs w:val="8"/>
                <w:b w:val="1"/>
                <w:bCs w:val="1"/>
                <w:color w:val="auto"/>
              </w:rPr>
              <w:t>NYSE Arca, Inc.</w:t>
            </w:r>
          </w:p>
        </w:tc>
      </w:tr>
    </w:tbl>
    <w:p>
      <w:pPr>
        <w:spacing w:after="0" w:line="100" w:lineRule="exact"/>
        <w:rPr>
          <w:sz w:val="24"/>
          <w:szCs w:val="24"/>
          <w:color w:val="auto"/>
        </w:rPr>
      </w:pPr>
    </w:p>
    <w:p>
      <w:pPr>
        <w:ind w:right="580"/>
        <w:spacing w:after="0" w:line="146" w:lineRule="exact"/>
        <w:rPr>
          <w:sz w:val="20"/>
          <w:szCs w:val="20"/>
          <w:color w:val="auto"/>
        </w:rPr>
      </w:pPr>
      <w:r>
        <w:rPr>
          <w:rFonts w:ascii="Arial" w:cs="Arial" w:eastAsia="Arial" w:hAnsi="Arial"/>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0"/>
          <w:szCs w:val="10"/>
          <w:color w:val="auto"/>
        </w:rPr>
        <w:t>☐</w:t>
      </w:r>
    </w:p>
    <w:p>
      <w:pPr>
        <w:spacing w:after="0" w:line="1" w:lineRule="exact"/>
        <w:rPr>
          <w:sz w:val="24"/>
          <w:szCs w:val="24"/>
          <w:color w:val="auto"/>
        </w:rPr>
      </w:pPr>
    </w:p>
    <w:p>
      <w:pPr>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381000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40"/>
          </w:cols>
          <w:pgMar w:left="300" w:top="712" w:right="85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January 13, 2026, JPMorgan Chase &amp; Co. (“JPMorganChase” or the “Firm”) held an investor presentation to review 2025 fourth quarter earnings.</w:t>
      </w:r>
    </w:p>
    <w:p>
      <w:pPr>
        <w:spacing w:after="0" w:line="150" w:lineRule="exact"/>
        <w:rPr>
          <w:sz w:val="20"/>
          <w:szCs w:val="20"/>
          <w:color w:val="auto"/>
        </w:rPr>
      </w:pPr>
    </w:p>
    <w:p>
      <w:pPr>
        <w:ind w:left="8" w:right="80"/>
        <w:spacing w:after="0" w:line="268" w:lineRule="auto"/>
        <w:rPr>
          <w:sz w:val="20"/>
          <w:szCs w:val="20"/>
          <w:color w:val="auto"/>
        </w:rPr>
      </w:pPr>
      <w:r>
        <w:rPr>
          <w:rFonts w:ascii="Arial" w:cs="Arial" w:eastAsia="Arial" w:hAnsi="Arial"/>
          <w:sz w:val="12"/>
          <w:szCs w:val="12"/>
          <w:color w:val="auto"/>
        </w:rPr>
        <w:t>Exhibit 99 is a copy of slides furnished for, and posted on the Firm’s website in connection with, the presentation. The slides are being furnished pursuant to Item 7.01, and the information contained therein shall not be deemed to be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spacing w:after="0" w:line="116" w:lineRule="exact"/>
        <w:rPr>
          <w:sz w:val="20"/>
          <w:szCs w:val="20"/>
          <w:color w:val="auto"/>
        </w:rPr>
      </w:pPr>
    </w:p>
    <w:p>
      <w:pPr>
        <w:ind w:left="8" w:right="40"/>
        <w:spacing w:after="0" w:line="256" w:lineRule="auto"/>
        <w:rPr>
          <w:sz w:val="20"/>
          <w:szCs w:val="20"/>
          <w:color w:val="auto"/>
        </w:rPr>
      </w:pPr>
      <w:r>
        <w:rPr>
          <w:rFonts w:ascii="Arial" w:cs="Arial" w:eastAsia="Arial" w:hAnsi="Arial"/>
          <w:sz w:val="12"/>
          <w:szCs w:val="12"/>
          <w:i w:val="1"/>
          <w:iCs w:val="1"/>
          <w:color w:val="auto"/>
        </w:rPr>
        <w:t xml:space="preserve">This Current Report on Form 8-K (including the Exhibit hereto) contains forward-looking statements within the meaning of the Private Securities Litigation Reform Act of 1995. These statements are based on the current beliefs and expectations of JPMorganChase’s management and are subject to significant risks and uncertainties. Actual results may differ from those set forth in the forward-looking statements. Factors that could cause JPMorganChase’s actual results to differ materially from those described in the forward-looking statements can be found in JPMorganChase’s Annual Report on Form 10-K for the year ended December 31, 2024 and Quarterly Reports on Form 10-Q for the quarters ended March 31, 2025, June 30, 2025 and September 30, 2025, which have been filed with the Securities and Exchange Commission and are available on JPMorganChase’s website </w:t>
      </w:r>
      <w:r>
        <w:rPr>
          <w:rFonts w:ascii="Arial" w:cs="Arial" w:eastAsia="Arial" w:hAnsi="Arial"/>
          <w:sz w:val="12"/>
          <w:szCs w:val="12"/>
          <w:i w:val="1"/>
          <w:iCs w:val="1"/>
          <w:u w:val="single" w:color="auto"/>
          <w:color w:val="auto"/>
        </w:rPr>
        <w:t>(https://jpmorganchaseco.gcs-web.com/ir/sec-other-filings/overview</w:t>
      </w:r>
      <w:r>
        <w:rPr>
          <w:rFonts w:ascii="Arial" w:cs="Arial" w:eastAsia="Arial" w:hAnsi="Arial"/>
          <w:sz w:val="12"/>
          <w:szCs w:val="12"/>
          <w:i w:val="1"/>
          <w:iCs w:val="1"/>
          <w:color w:val="auto"/>
        </w:rPr>
        <w:t>) and on the Securities and Exchange Commission’s website (</w:t>
      </w:r>
      <w:r>
        <w:rPr>
          <w:rFonts w:ascii="Arial" w:cs="Arial" w:eastAsia="Arial" w:hAnsi="Arial"/>
          <w:sz w:val="12"/>
          <w:szCs w:val="12"/>
          <w:i w:val="1"/>
          <w:iCs w:val="1"/>
          <w:u w:val="single" w:color="auto"/>
          <w:color w:val="auto"/>
        </w:rPr>
        <w:t>www.sec.gov</w:t>
      </w:r>
      <w:r>
        <w:rPr>
          <w:rFonts w:ascii="Arial" w:cs="Arial" w:eastAsia="Arial" w:hAnsi="Arial"/>
          <w:sz w:val="12"/>
          <w:szCs w:val="12"/>
          <w:i w:val="1"/>
          <w:iCs w:val="1"/>
          <w:color w:val="auto"/>
        </w:rPr>
        <w:t>). JPMorganChase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8" w:lineRule="exact"/>
        <w:rPr>
          <w:sz w:val="20"/>
          <w:szCs w:val="20"/>
          <w:color w:val="auto"/>
        </w:rPr>
      </w:pPr>
    </w:p>
    <w:p>
      <w:pPr>
        <w:ind w:left="288" w:hanging="288"/>
        <w:spacing w:after="0"/>
        <w:tabs>
          <w:tab w:leader="none" w:pos="28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w:t>
      </w: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Exhibit No.</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500" w:type="dxa"/>
            <w:vAlign w:val="bottom"/>
            <w:tcBorders>
              <w:bottom w:val="single" w:sz="8" w:color="auto"/>
            </w:tcBorders>
            <w:gridSpan w:val="2"/>
          </w:tcPr>
          <w:p>
            <w:pPr>
              <w:ind w:left="3620"/>
              <w:spacing w:after="0"/>
              <w:rPr>
                <w:sz w:val="20"/>
                <w:szCs w:val="20"/>
                <w:color w:val="auto"/>
              </w:rPr>
            </w:pPr>
            <w:r>
              <w:rPr>
                <w:rFonts w:ascii="Arial" w:cs="Arial" w:eastAsia="Arial" w:hAnsi="Arial"/>
                <w:sz w:val="12"/>
                <w:szCs w:val="12"/>
                <w:b w:val="1"/>
                <w:bCs w:val="1"/>
                <w:color w:val="auto"/>
              </w:rPr>
              <w:t>Description of Exhibit</w:t>
            </w:r>
          </w:p>
        </w:tc>
        <w:tc>
          <w:tcPr>
            <w:tcW w:w="580" w:type="dxa"/>
            <w:vAlign w:val="bottom"/>
          </w:tcPr>
          <w:p>
            <w:pPr>
              <w:spacing w:after="0"/>
              <w:rPr>
                <w:sz w:val="13"/>
                <w:szCs w:val="13"/>
                <w:color w:val="auto"/>
              </w:rPr>
            </w:pPr>
          </w:p>
        </w:tc>
      </w:tr>
      <w:tr>
        <w:trPr>
          <w:trHeight w:val="214"/>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80" w:type="dxa"/>
            <w:vAlign w:val="bottom"/>
            <w:gridSpan w:val="3"/>
          </w:tcPr>
          <w:p>
            <w:pPr>
              <w:spacing w:after="0"/>
              <w:rPr>
                <w:sz w:val="20"/>
                <w:szCs w:val="20"/>
                <w:color w:val="auto"/>
              </w:rPr>
            </w:pPr>
            <w:r>
              <w:rPr>
                <w:rFonts w:ascii="Arial" w:cs="Arial" w:eastAsia="Arial" w:hAnsi="Arial"/>
                <w:sz w:val="12"/>
                <w:szCs w:val="12"/>
                <w:color w:val="0000FF"/>
              </w:rPr>
              <w:t>JPMorgan Chase &amp; Co. Earnings Presentation Slides – Financial Results – 4Q25</w:t>
            </w:r>
          </w:p>
        </w:tc>
      </w:tr>
      <w:tr>
        <w:trPr>
          <w:trHeight w:val="20"/>
        </w:trPr>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r>
      <w:tr>
        <w:trPr>
          <w:trHeight w:val="156"/>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3"/>
          </w:tcPr>
          <w:p>
            <w:pPr>
              <w:spacing w:after="0"/>
              <w:rPr>
                <w:sz w:val="20"/>
                <w:szCs w:val="20"/>
                <w:color w:val="auto"/>
              </w:rPr>
            </w:pPr>
            <w:r>
              <w:rPr>
                <w:rFonts w:ascii="Arial" w:cs="Arial" w:eastAsia="Arial" w:hAnsi="Arial"/>
                <w:sz w:val="12"/>
                <w:szCs w:val="12"/>
                <w:color w:val="auto"/>
              </w:rPr>
              <w:t>Pursuant to Rule 406 of Regulation S-T, the cover page is formatted in Inline XBRL (Inline eXtensible Business Reporting Language).</w:t>
            </w:r>
          </w:p>
        </w:tc>
      </w:tr>
      <w:tr>
        <w:trPr>
          <w:trHeight w:val="159"/>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29"/>
        </w:trPr>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gridSpan w:val="2"/>
          </w:tcPr>
          <w:p>
            <w:pPr>
              <w:jc w:val="right"/>
              <w:ind w:right="780"/>
              <w:spacing w:after="0"/>
              <w:rPr>
                <w:sz w:val="20"/>
                <w:szCs w:val="20"/>
                <w:color w:val="auto"/>
              </w:rPr>
            </w:pPr>
            <w:r>
              <w:rPr>
                <w:rFonts w:ascii="Arial" w:cs="Arial" w:eastAsia="Arial" w:hAnsi="Arial"/>
                <w:sz w:val="12"/>
                <w:szCs w:val="12"/>
                <w:color w:val="auto"/>
              </w:rPr>
              <w:t>2</w:t>
            </w:r>
          </w:p>
        </w:tc>
        <w:tc>
          <w:tcPr>
            <w:tcW w:w="4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0"/>
        </w:trPr>
        <w:tc>
          <w:tcPr>
            <w:tcW w:w="5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300" w:type="dxa"/>
            <w:vAlign w:val="bottom"/>
            <w:tcBorders>
              <w:bottom w:val="single" w:sz="8" w:color="9A9A9A"/>
            </w:tcBorders>
          </w:tcPr>
          <w:p>
            <w:pPr>
              <w:spacing w:after="0"/>
              <w:rPr>
                <w:sz w:val="6"/>
                <w:szCs w:val="6"/>
                <w:color w:val="auto"/>
              </w:rPr>
            </w:pPr>
          </w:p>
        </w:tc>
        <w:tc>
          <w:tcPr>
            <w:tcW w:w="42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u w:val="single" w:color="auto"/>
          <w:color w:val="auto"/>
        </w:rPr>
        <w:t>SIGNATURE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14" w:lineRule="exact"/>
        <w:rPr>
          <w:sz w:val="20"/>
          <w:szCs w:val="20"/>
          <w:color w:val="auto"/>
        </w:rPr>
      </w:pPr>
    </w:p>
    <w:tbl>
      <w:tblPr>
        <w:tblLayout w:type="fixed"/>
        <w:tblInd w:w="5800" w:type="dxa"/>
        <w:tblCellMar>
          <w:top w:w="0" w:type="dxa"/>
          <w:left w:w="0" w:type="dxa"/>
          <w:bottom w:w="0" w:type="dxa"/>
          <w:right w:w="0" w:type="dxa"/>
        </w:tblCellMar>
      </w:tblPr>
      <w:tr>
        <w:trPr>
          <w:trHeight w:val="157"/>
        </w:trPr>
        <w:tc>
          <w:tcPr>
            <w:tcW w:w="520" w:type="dxa"/>
            <w:vAlign w:val="bottom"/>
          </w:tcPr>
          <w:p>
            <w:pPr>
              <w:spacing w:after="0"/>
              <w:rPr>
                <w:sz w:val="13"/>
                <w:szCs w:val="13"/>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JPMorgan Chase &amp; Co.</w:t>
            </w:r>
          </w:p>
        </w:tc>
      </w:tr>
      <w:tr>
        <w:trPr>
          <w:trHeight w:val="14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8"/>
              </w:rPr>
              <w:t>(Registrant)</w:t>
            </w:r>
          </w:p>
        </w:tc>
      </w:tr>
      <w:tr>
        <w:trPr>
          <w:trHeight w:val="390"/>
        </w:trPr>
        <w:tc>
          <w:tcPr>
            <w:tcW w:w="52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Elena Korablina</w:t>
            </w:r>
          </w:p>
        </w:tc>
      </w:tr>
      <w:tr>
        <w:trPr>
          <w:trHeight w:val="13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rPr>
              <w:t>Elena Korablina</w:t>
            </w:r>
          </w:p>
        </w:tc>
      </w:tr>
      <w:tr>
        <w:trPr>
          <w:trHeight w:val="153"/>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rPr>
              <w:t>Managing Director and Firmwide Controller</w:t>
            </w:r>
          </w:p>
        </w:tc>
      </w:tr>
      <w:tr>
        <w:trPr>
          <w:trHeight w:val="159"/>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9"/>
              </w:rPr>
              <w:t>(Principal Accounting Officer)</w:t>
            </w:r>
          </w:p>
        </w:tc>
      </w:tr>
    </w:tbl>
    <w:p>
      <w:pPr>
        <w:spacing w:after="0" w:line="264"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Dated:</w:t>
        <w:tab/>
        <w:t>January 13, 2026</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775" w:right="2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8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838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2026-01-13T09:16:13Z</dcterms:created>
  <dcterms:modified xsi:type="dcterms:W3CDTF">2026-01-13T09:16:13Z</dcterms:modified>
</cp:coreProperties>
</file>