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2771140</wp:posOffset>
            </wp:positionH>
            <wp:positionV relativeFrom="page">
              <wp:posOffset>157480</wp:posOffset>
            </wp:positionV>
            <wp:extent cx="2014220" cy="282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14220" cy="282575"/>
                    </a:xfrm>
                    <a:prstGeom prst="rect">
                      <a:avLst/>
                    </a:prstGeom>
                    <a:noFill/>
                  </pic:spPr>
                </pic:pic>
              </a:graphicData>
            </a:graphic>
          </wp:anchor>
        </w:drawing>
        <w:t>Filed Pursuant to Rule 433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333-285537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Dated: October 15, 2025</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2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This term sheet supplements the information set forth under “Description of the Notes” in the Prospectus Supplement, subject to completion, dated October 15, 2025 to the Prospectus dated April 10, 2025 (the “Preliminary Prospectus Supplement”).</w:t>
      </w:r>
    </w:p>
    <w:p>
      <w:pPr>
        <w:sectPr>
          <w:pgSz w:w="11900" w:h="16838" w:orient="portrait"/>
          <w:cols w:equalWidth="0" w:num="1">
            <w:col w:w="11020"/>
          </w:cols>
          <w:pgMar w:left="440" w:top="891" w:right="439" w:bottom="1440" w:gutter="0" w:footer="0" w:header="0"/>
        </w:sectPr>
      </w:pPr>
    </w:p>
    <w:p>
      <w:pPr>
        <w:spacing w:after="0" w:line="18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JPMorgan Chase &amp; Co.</w:t>
      </w:r>
    </w:p>
    <w:p>
      <w:pPr>
        <w:spacing w:after="0" w:line="128" w:lineRule="exact"/>
        <w:rPr>
          <w:sz w:val="24"/>
          <w:szCs w:val="24"/>
          <w:color w:val="auto"/>
        </w:rPr>
      </w:pPr>
    </w:p>
    <w:p>
      <w:pPr>
        <w:sectPr>
          <w:pgSz w:w="11900" w:h="16838" w:orient="portrait"/>
          <w:cols w:equalWidth="0" w:num="2">
            <w:col w:w="5120" w:space="720"/>
            <w:col w:w="518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Security Type: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SEC Registered Senior Notes</w:t>
      </w:r>
    </w:p>
    <w:p>
      <w:pPr>
        <w:spacing w:after="0" w:line="129" w:lineRule="exact"/>
        <w:rPr>
          <w:sz w:val="24"/>
          <w:szCs w:val="24"/>
          <w:color w:val="auto"/>
        </w:rPr>
      </w:pPr>
    </w:p>
    <w:p>
      <w:pPr>
        <w:sectPr>
          <w:pgSz w:w="11900" w:h="16838" w:orient="portrait"/>
          <w:cols w:equalWidth="0" w:num="2">
            <w:col w:w="5120" w:space="720"/>
            <w:col w:w="518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Fixed-to-Floating Rate Notes due 2036</w:t>
      </w:r>
    </w:p>
    <w:p>
      <w:pPr>
        <w:spacing w:after="0" w:line="128" w:lineRule="exact"/>
        <w:rPr>
          <w:sz w:val="24"/>
          <w:szCs w:val="24"/>
          <w:color w:val="auto"/>
        </w:rPr>
      </w:pPr>
    </w:p>
    <w:p>
      <w:pPr>
        <w:sectPr>
          <w:pgSz w:w="11900" w:h="16838" w:orient="portrait"/>
          <w:cols w:equalWidth="0" w:num="2">
            <w:col w:w="5120" w:space="720"/>
            <w:col w:w="518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Currency:</w:t>
      </w:r>
    </w:p>
    <w:p>
      <w:pPr>
        <w:spacing w:after="0" w:line="20" w:lineRule="exact"/>
        <w:rPr>
          <w:sz w:val="24"/>
          <w:szCs w:val="24"/>
          <w:color w:val="auto"/>
        </w:rPr>
      </w:pPr>
      <w:r>
        <w:rPr>
          <w:sz w:val="24"/>
          <w:szCs w:val="24"/>
          <w:color w:val="auto"/>
        </w:rPr>
        <w:br w:type="column"/>
      </w:r>
    </w:p>
    <w:p>
      <w:pPr>
        <w:jc w:val="center"/>
        <w:ind w:right="4820"/>
        <w:spacing w:after="0"/>
        <w:rPr>
          <w:sz w:val="20"/>
          <w:szCs w:val="20"/>
          <w:color w:val="auto"/>
        </w:rPr>
      </w:pPr>
      <w:r>
        <w:rPr>
          <w:rFonts w:ascii="Times New Roman" w:cs="Times New Roman" w:eastAsia="Times New Roman" w:hAnsi="Times New Roman"/>
          <w:sz w:val="18"/>
          <w:szCs w:val="18"/>
          <w:color w:val="auto"/>
        </w:rPr>
        <w:t>USD</w:t>
      </w:r>
    </w:p>
    <w:p>
      <w:pPr>
        <w:spacing w:after="0" w:line="117" w:lineRule="exact"/>
        <w:rPr>
          <w:sz w:val="24"/>
          <w:szCs w:val="24"/>
          <w:color w:val="auto"/>
        </w:rPr>
      </w:pPr>
    </w:p>
    <w:p>
      <w:pPr>
        <w:sectPr>
          <w:pgSz w:w="11900" w:h="16838" w:orient="portrait"/>
          <w:cols w:equalWidth="0" w:num="2">
            <w:col w:w="5120" w:space="720"/>
            <w:col w:w="518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Size: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$3,000,000,000</w:t>
      </w:r>
    </w:p>
    <w:p>
      <w:pPr>
        <w:spacing w:after="0" w:line="128" w:lineRule="exact"/>
        <w:rPr>
          <w:sz w:val="24"/>
          <w:szCs w:val="24"/>
          <w:color w:val="auto"/>
        </w:rPr>
      </w:pPr>
    </w:p>
    <w:p>
      <w:pPr>
        <w:sectPr>
          <w:pgSz w:w="11900" w:h="16838" w:orient="portrait"/>
          <w:cols w:equalWidth="0" w:num="2">
            <w:col w:w="5120" w:space="720"/>
            <w:col w:w="518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Maturity: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October 22, 2036</w:t>
      </w:r>
    </w:p>
    <w:p>
      <w:pPr>
        <w:spacing w:after="0" w:line="117" w:lineRule="exact"/>
        <w:rPr>
          <w:sz w:val="24"/>
          <w:szCs w:val="24"/>
          <w:color w:val="auto"/>
        </w:rPr>
      </w:pPr>
    </w:p>
    <w:p>
      <w:pPr>
        <w:sectPr>
          <w:pgSz w:w="11900" w:h="16838" w:orient="portrait"/>
          <w:cols w:equalWidth="0" w:num="2">
            <w:col w:w="5120" w:space="720"/>
            <w:col w:w="518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Fixed Rate Period:</w:t>
      </w:r>
    </w:p>
    <w:p>
      <w:pPr>
        <w:spacing w:after="0" w:line="20" w:lineRule="exact"/>
        <w:rPr>
          <w:sz w:val="24"/>
          <w:szCs w:val="24"/>
          <w:color w:val="auto"/>
        </w:rPr>
      </w:pPr>
      <w:r>
        <w:rPr>
          <w:sz w:val="24"/>
          <w:szCs w:val="24"/>
          <w:color w:val="auto"/>
        </w:rPr>
        <w:br w:type="column"/>
      </w:r>
    </w:p>
    <w:p>
      <w:pPr>
        <w:ind w:right="260"/>
        <w:spacing w:after="0" w:line="282" w:lineRule="auto"/>
        <w:rPr>
          <w:sz w:val="20"/>
          <w:szCs w:val="20"/>
          <w:color w:val="auto"/>
        </w:rPr>
      </w:pPr>
      <w:r>
        <w:rPr>
          <w:rFonts w:ascii="Times New Roman" w:cs="Times New Roman" w:eastAsia="Times New Roman" w:hAnsi="Times New Roman"/>
          <w:sz w:val="18"/>
          <w:szCs w:val="18"/>
          <w:color w:val="auto"/>
        </w:rPr>
        <w:t>From and including October 22, 2025 to, but excluding, October 22, 2035</w:t>
      </w:r>
    </w:p>
    <w:p>
      <w:pPr>
        <w:spacing w:after="0" w:line="54" w:lineRule="exact"/>
        <w:rPr>
          <w:sz w:val="24"/>
          <w:szCs w:val="24"/>
          <w:color w:val="auto"/>
        </w:rPr>
      </w:pPr>
    </w:p>
    <w:p>
      <w:pPr>
        <w:sectPr>
          <w:pgSz w:w="11900" w:h="16838" w:orient="portrait"/>
          <w:cols w:equalWidth="0" w:num="2">
            <w:col w:w="5120" w:space="720"/>
            <w:col w:w="518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Floating Rate Period: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From and including October 22, 2035 to, but excluding, Maturity</w:t>
      </w:r>
    </w:p>
    <w:p>
      <w:pPr>
        <w:spacing w:after="0" w:line="129" w:lineRule="exact"/>
        <w:rPr>
          <w:sz w:val="24"/>
          <w:szCs w:val="24"/>
          <w:color w:val="auto"/>
        </w:rPr>
      </w:pPr>
    </w:p>
    <w:p>
      <w:pPr>
        <w:sectPr>
          <w:pgSz w:w="11900" w:h="16838" w:orient="portrait"/>
          <w:cols w:equalWidth="0" w:num="2">
            <w:col w:w="5120" w:space="720"/>
            <w:col w:w="518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Payment Frequency:</w:t>
      </w:r>
    </w:p>
    <w:p>
      <w:pPr>
        <w:spacing w:after="0" w:line="20" w:lineRule="exact"/>
        <w:rPr>
          <w:sz w:val="24"/>
          <w:szCs w:val="24"/>
          <w:color w:val="auto"/>
        </w:rPr>
      </w:pPr>
      <w:r>
        <w:rPr>
          <w:sz w:val="24"/>
          <w:szCs w:val="24"/>
          <w:color w:val="auto"/>
        </w:rPr>
        <w:br w:type="column"/>
      </w:r>
    </w:p>
    <w:p>
      <w:pPr>
        <w:ind w:right="360"/>
        <w:spacing w:after="0" w:line="282" w:lineRule="auto"/>
        <w:rPr>
          <w:sz w:val="20"/>
          <w:szCs w:val="20"/>
          <w:color w:val="auto"/>
        </w:rPr>
      </w:pPr>
      <w:r>
        <w:rPr>
          <w:rFonts w:ascii="Times New Roman" w:cs="Times New Roman" w:eastAsia="Times New Roman" w:hAnsi="Times New Roman"/>
          <w:sz w:val="18"/>
          <w:szCs w:val="18"/>
          <w:color w:val="auto"/>
        </w:rPr>
        <w:t>Semi-annual during the Fixed Rate Period and quarterly during the Floating Rate Period</w:t>
      </w:r>
    </w:p>
    <w:p>
      <w:pPr>
        <w:spacing w:after="0" w:line="54" w:lineRule="exact"/>
        <w:rPr>
          <w:sz w:val="24"/>
          <w:szCs w:val="24"/>
          <w:color w:val="auto"/>
        </w:rPr>
      </w:pPr>
    </w:p>
    <w:p>
      <w:pPr>
        <w:sectPr>
          <w:pgSz w:w="11900" w:h="16838" w:orient="portrait"/>
          <w:cols w:equalWidth="0" w:num="2">
            <w:col w:w="5120" w:space="720"/>
            <w:col w:w="518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Day Count Fraction:</w:t>
      </w:r>
    </w:p>
    <w:p>
      <w:pPr>
        <w:spacing w:after="0" w:line="20" w:lineRule="exact"/>
        <w:rPr>
          <w:sz w:val="24"/>
          <w:szCs w:val="24"/>
          <w:color w:val="auto"/>
        </w:rPr>
      </w:pPr>
      <w:r>
        <w:rPr>
          <w:sz w:val="24"/>
          <w:szCs w:val="24"/>
          <w:color w:val="auto"/>
        </w:rPr>
        <w:br w:type="column"/>
      </w:r>
    </w:p>
    <w:p>
      <w:pPr>
        <w:ind w:right="240"/>
        <w:spacing w:after="0" w:line="282" w:lineRule="auto"/>
        <w:rPr>
          <w:sz w:val="20"/>
          <w:szCs w:val="20"/>
          <w:color w:val="auto"/>
        </w:rPr>
      </w:pPr>
      <w:r>
        <w:rPr>
          <w:rFonts w:ascii="Times New Roman" w:cs="Times New Roman" w:eastAsia="Times New Roman" w:hAnsi="Times New Roman"/>
          <w:sz w:val="18"/>
          <w:szCs w:val="18"/>
          <w:color w:val="auto"/>
        </w:rPr>
        <w:t>30/360 during the Fixed Rate Period, Actual/360 during the Floating Rate Period</w:t>
      </w:r>
    </w:p>
    <w:p>
      <w:pPr>
        <w:spacing w:after="0" w:line="54" w:lineRule="exact"/>
        <w:rPr>
          <w:sz w:val="24"/>
          <w:szCs w:val="24"/>
          <w:color w:val="auto"/>
        </w:rPr>
      </w:pPr>
    </w:p>
    <w:p>
      <w:pPr>
        <w:sectPr>
          <w:pgSz w:w="11900" w:h="16838" w:orient="portrait"/>
          <w:cols w:equalWidth="0" w:num="2">
            <w:col w:w="5120" w:space="720"/>
            <w:col w:w="518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4.250% due August 15, 2035</w:t>
      </w:r>
    </w:p>
    <w:p>
      <w:pPr>
        <w:spacing w:after="0" w:line="129" w:lineRule="exact"/>
        <w:rPr>
          <w:sz w:val="24"/>
          <w:szCs w:val="24"/>
          <w:color w:val="auto"/>
        </w:rPr>
      </w:pPr>
    </w:p>
    <w:p>
      <w:pPr>
        <w:sectPr>
          <w:pgSz w:w="11900" w:h="16838" w:orient="portrait"/>
          <w:cols w:equalWidth="0" w:num="2">
            <w:col w:w="5120" w:space="720"/>
            <w:col w:w="518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Benchmark Treasury 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4.040%</w:t>
      </w:r>
    </w:p>
    <w:p>
      <w:pPr>
        <w:spacing w:after="0" w:line="117" w:lineRule="exact"/>
        <w:rPr>
          <w:sz w:val="24"/>
          <w:szCs w:val="24"/>
          <w:color w:val="auto"/>
        </w:rPr>
      </w:pPr>
    </w:p>
    <w:p>
      <w:pPr>
        <w:sectPr>
          <w:pgSz w:w="11900" w:h="16838" w:orient="portrait"/>
          <w:cols w:equalWidth="0" w:num="2">
            <w:col w:w="5120" w:space="720"/>
            <w:col w:w="518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Spread to 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+77 basis points</w:t>
      </w:r>
    </w:p>
    <w:p>
      <w:pPr>
        <w:spacing w:after="0" w:line="117" w:lineRule="exact"/>
        <w:rPr>
          <w:sz w:val="24"/>
          <w:szCs w:val="24"/>
          <w:color w:val="auto"/>
        </w:rPr>
      </w:pPr>
    </w:p>
    <w:p>
      <w:pPr>
        <w:sectPr>
          <w:pgSz w:w="11900" w:h="16838" w:orient="portrait"/>
          <w:cols w:equalWidth="0" w:num="2">
            <w:col w:w="5120" w:space="720"/>
            <w:col w:w="5180"/>
          </w:cols>
          <w:pgMar w:left="440" w:top="891"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Reoffer Yield:</w:t>
      </w:r>
    </w:p>
    <w:p>
      <w:pPr>
        <w:spacing w:after="0" w:line="20" w:lineRule="exact"/>
        <w:rPr>
          <w:sz w:val="24"/>
          <w:szCs w:val="24"/>
          <w:color w:val="auto"/>
        </w:rPr>
      </w:pPr>
      <w:r>
        <w:rPr>
          <w:sz w:val="24"/>
          <w:szCs w:val="24"/>
          <w:color w:val="auto"/>
        </w:rPr>
        <w:br w:type="column"/>
      </w:r>
    </w:p>
    <w:p>
      <w:pPr>
        <w:jc w:val="center"/>
        <w:ind w:right="4620"/>
        <w:spacing w:after="0"/>
        <w:rPr>
          <w:sz w:val="20"/>
          <w:szCs w:val="20"/>
          <w:color w:val="auto"/>
        </w:rPr>
      </w:pPr>
      <w:r>
        <w:rPr>
          <w:rFonts w:ascii="Times New Roman" w:cs="Times New Roman" w:eastAsia="Times New Roman" w:hAnsi="Times New Roman"/>
          <w:sz w:val="18"/>
          <w:szCs w:val="18"/>
          <w:color w:val="auto"/>
        </w:rPr>
        <w:t>4.810%</w:t>
      </w:r>
    </w:p>
    <w:p>
      <w:pPr>
        <w:sectPr>
          <w:pgSz w:w="11900" w:h="16838" w:orient="portrait"/>
          <w:cols w:equalWidth="0" w:num="2">
            <w:col w:w="5120" w:space="720"/>
            <w:col w:w="5180"/>
          </w:cols>
          <w:pgMar w:left="440" w:top="891"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Fixed Rate 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 Rate Coupon: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 Rate Index:</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 Rate Reset Frequency: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 Convention: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Times New Roman" w:cs="Times New Roman" w:eastAsia="Times New Roman" w:hAnsi="Times New Roman"/>
          <w:sz w:val="18"/>
          <w:szCs w:val="18"/>
          <w:color w:val="auto"/>
        </w:rPr>
        <w:t>4.810%, payable semiannually in arrears during the Fixed Rate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-281940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jc w:val="both"/>
        <w:ind w:left="380" w:right="120"/>
        <w:spacing w:after="0" w:line="266" w:lineRule="auto"/>
        <w:rPr>
          <w:sz w:val="20"/>
          <w:szCs w:val="20"/>
          <w:color w:val="auto"/>
        </w:rPr>
      </w:pPr>
      <w:r>
        <w:rPr>
          <w:rFonts w:ascii="Times New Roman" w:cs="Times New Roman" w:eastAsia="Times New Roman" w:hAnsi="Times New Roman"/>
          <w:sz w:val="18"/>
          <w:szCs w:val="18"/>
          <w:color w:val="auto"/>
        </w:rPr>
        <w:t>An annual floating rate equal to the Floating Rate Index plus a spread of 1.190% per annum, payable quarterly in arrears during the Floating Rate Period.</w:t>
      </w:r>
    </w:p>
    <w:p>
      <w:pPr>
        <w:spacing w:after="0" w:line="68" w:lineRule="exact"/>
        <w:rPr>
          <w:sz w:val="20"/>
          <w:szCs w:val="20"/>
          <w:color w:val="auto"/>
        </w:rPr>
      </w:pPr>
    </w:p>
    <w:p>
      <w:pPr>
        <w:ind w:left="380" w:right="440"/>
        <w:spacing w:after="0" w:line="266" w:lineRule="auto"/>
        <w:rPr>
          <w:sz w:val="20"/>
          <w:szCs w:val="20"/>
          <w:color w:val="auto"/>
        </w:rPr>
      </w:pPr>
      <w:r>
        <w:rPr>
          <w:rFonts w:ascii="Times New Roman" w:cs="Times New Roman" w:eastAsia="Times New Roman" w:hAnsi="Times New Roman"/>
          <w:sz w:val="18"/>
          <w:szCs w:val="18"/>
          <w:color w:val="auto"/>
        </w:rPr>
        <w:t>Benchmark rate (expected to be Compounded SOFR as described under “Description of the Notes—Interest on the notes” in the Preliminary Prospectus Supplement).</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Quarterly during the Floating Rate Period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100% of face amount</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$2,986,500,000</w:t>
      </w:r>
    </w:p>
    <w:p>
      <w:pPr>
        <w:spacing w:after="0" w:line="117" w:lineRule="exact"/>
        <w:rPr>
          <w:sz w:val="20"/>
          <w:szCs w:val="20"/>
          <w:color w:val="auto"/>
        </w:rPr>
      </w:pPr>
    </w:p>
    <w:p>
      <w:pPr>
        <w:ind w:left="380"/>
        <w:spacing w:after="0" w:line="261" w:lineRule="auto"/>
        <w:rPr>
          <w:sz w:val="20"/>
          <w:szCs w:val="20"/>
          <w:color w:val="auto"/>
        </w:rPr>
      </w:pPr>
      <w:r>
        <w:rPr>
          <w:rFonts w:ascii="Times New Roman" w:cs="Times New Roman" w:eastAsia="Times New Roman" w:hAnsi="Times New Roman"/>
          <w:sz w:val="18"/>
          <w:szCs w:val="18"/>
          <w:color w:val="auto"/>
        </w:rPr>
        <w:t>During the Fixed Rate Period, each April 22 and October 22, beginning April 22, 2026 and including October 22, 2035, and during the Floating Rate Period, each of January 22, 2036, April 22, 2036, July 22, 2036 and October 22, 2036.</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New York</w:t>
      </w:r>
    </w:p>
    <w:p>
      <w:pPr>
        <w:spacing w:after="0" w:line="117" w:lineRule="exact"/>
        <w:rPr>
          <w:sz w:val="20"/>
          <w:szCs w:val="20"/>
          <w:color w:val="auto"/>
        </w:rPr>
      </w:pPr>
    </w:p>
    <w:p>
      <w:pPr>
        <w:ind w:left="380" w:right="440"/>
        <w:spacing w:after="0" w:line="282" w:lineRule="auto"/>
        <w:rPr>
          <w:sz w:val="20"/>
          <w:szCs w:val="20"/>
          <w:color w:val="auto"/>
        </w:rPr>
      </w:pPr>
      <w:r>
        <w:rPr>
          <w:rFonts w:ascii="Times New Roman" w:cs="Times New Roman" w:eastAsia="Times New Roman" w:hAnsi="Times New Roman"/>
          <w:sz w:val="18"/>
          <w:szCs w:val="18"/>
          <w:color w:val="auto"/>
        </w:rPr>
        <w:t>During the Fixed Rate Period, following business day. During the Floating Rate Period, modified following business day.</w:t>
      </w:r>
    </w:p>
    <w:p>
      <w:pPr>
        <w:spacing w:after="0" w:line="54" w:lineRule="exact"/>
        <w:rPr>
          <w:sz w:val="20"/>
          <w:szCs w:val="20"/>
          <w:color w:val="auto"/>
        </w:rPr>
      </w:pPr>
    </w:p>
    <w:p>
      <w:pPr>
        <w:ind w:left="380" w:right="40"/>
        <w:spacing w:after="0" w:line="256" w:lineRule="auto"/>
        <w:rPr>
          <w:sz w:val="20"/>
          <w:szCs w:val="20"/>
          <w:color w:val="auto"/>
        </w:rPr>
      </w:pPr>
      <w:r>
        <w:rPr>
          <w:rFonts w:ascii="Times New Roman" w:cs="Times New Roman" w:eastAsia="Times New Roman" w:hAnsi="Times New Roman"/>
          <w:sz w:val="18"/>
          <w:szCs w:val="18"/>
          <w:color w:val="auto"/>
        </w:rPr>
        <w:t>We may redeem the notes, at our option, in whole at any time or in part from time to time, on or after April 22, 2026 and prior to October 22, 2035 upon at least 5 days’ but no more than 60 days’ notice to holders of the notes, at a redemption price equal to the greater of: (i) (a) the sum of the present values of the remaining scheduled payments of principal and interest on the notes to be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2">
            <w:col w:w="4300" w:space="720"/>
            <w:col w:w="5540"/>
          </w:cols>
          <w:pgMar w:left="880" w:top="378" w:right="459" w:bottom="1440" w:gutter="0" w:footer="0" w:header="0"/>
        </w:sectPr>
      </w:pPr>
    </w:p>
    <w:bookmarkStart w:id="2" w:name="page3"/>
    <w:bookmarkEnd w:id="2"/>
    <w:p>
      <w:pPr>
        <w:ind w:left="5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redeemed discounted to the redemption date (assuming the notes</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matured on October 22, 2035) on a semi-annual basis (assuming a</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360-day year consisting of twelve 30-day months) at the “Treasury</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Rate” plus 15 basis points less (b) interest accrued on those notes to the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redemption date; and (ii) 100% of the principal amount of the notes to</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be redeemed; plus, in either case, accrued and unpaid interest on the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notes to be redeemed to, but excluding, the redemption date.</w:t>
      </w:r>
    </w:p>
    <w:p>
      <w:pPr>
        <w:spacing w:after="0" w:line="9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In addition, we may redeem the notes, at our option, in whole, but not</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in part, on October 22, 2035 upon at least 5 days’ but no more than 60</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days’ notice to holders of the notes, at a redemption price equal to</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100% of the principal amount of the notes to be redeemed plus accrued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and unpaid interest thereon to, but excluding, the redemption date.</w:t>
      </w:r>
    </w:p>
    <w:p>
      <w:pPr>
        <w:spacing w:after="0" w:line="9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In addition, we may redeem the notes, at our option, in whole at any</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time or in part from time to time, on or after July 22, 2036 upon at least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5 days’ but no more than 60 days’ notice to holders of the notes, at a</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redemption price equal to 100% of the principal amount of the notes to</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be redeemed plus accrued and unpaid interest thereon to, but excluding,</w:t>
      </w:r>
    </w:p>
    <w:p>
      <w:pPr>
        <w:spacing w:after="0" w:line="2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the redemption date.</w:t>
      </w:r>
    </w:p>
    <w:p>
      <w:pPr>
        <w:spacing w:after="0" w:line="9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The foregoing supplements and supersedes the information set forth</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under “Description of the Notes” in the Preliminary Prospectus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Supplement.</w:t>
      </w:r>
    </w:p>
    <w:p>
      <w:pPr>
        <w:sectPr>
          <w:pgSz w:w="11900" w:h="16838" w:orient="portrait"/>
          <w:cols w:equalWidth="0" w:num="1">
            <w:col w:w="10560"/>
          </w:cols>
          <w:pgMar w:left="880" w:top="270" w:right="459" w:bottom="1440" w:gutter="0" w:footer="0" w:header="0"/>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CUSIP/ISIN:</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46647PFE1 / US46647PFE16</w:t>
      </w:r>
    </w:p>
    <w:p>
      <w:pPr>
        <w:spacing w:after="0" w:line="129" w:lineRule="exact"/>
        <w:rPr>
          <w:sz w:val="20"/>
          <w:szCs w:val="20"/>
          <w:color w:val="auto"/>
        </w:rPr>
      </w:pPr>
    </w:p>
    <w:p>
      <w:pPr>
        <w:sectPr>
          <w:pgSz w:w="11900" w:h="16838" w:orient="portrait"/>
          <w:cols w:equalWidth="0" w:num="2">
            <w:col w:w="4680" w:space="720"/>
            <w:col w:w="5160"/>
          </w:cols>
          <w:pgMar w:left="88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October 15, 2025</w:t>
      </w:r>
    </w:p>
    <w:p>
      <w:pPr>
        <w:spacing w:after="0" w:line="117" w:lineRule="exact"/>
        <w:rPr>
          <w:sz w:val="20"/>
          <w:szCs w:val="20"/>
          <w:color w:val="auto"/>
        </w:rPr>
      </w:pPr>
    </w:p>
    <w:p>
      <w:pPr>
        <w:sectPr>
          <w:pgSz w:w="11900" w:h="16838" w:orient="portrait"/>
          <w:cols w:equalWidth="0" w:num="2">
            <w:col w:w="4680" w:space="720"/>
            <w:col w:w="5160"/>
          </w:cols>
          <w:pgMar w:left="88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October 22, 2025 (T+5)</w:t>
      </w:r>
    </w:p>
    <w:p>
      <w:pPr>
        <w:spacing w:after="0" w:line="169" w:lineRule="exact"/>
        <w:rPr>
          <w:sz w:val="20"/>
          <w:szCs w:val="20"/>
          <w:color w:val="auto"/>
        </w:rPr>
      </w:pPr>
    </w:p>
    <w:p>
      <w:pPr>
        <w:sectPr>
          <w:pgSz w:w="11900" w:h="16838" w:orient="portrait"/>
          <w:cols w:equalWidth="0" w:num="2">
            <w:col w:w="4680" w:space="720"/>
            <w:col w:w="5160"/>
          </w:cols>
          <w:pgMar w:left="880" w:top="270" w:right="459" w:bottom="1440" w:gutter="0" w:footer="0" w:header="0"/>
          <w:type w:val="continuous"/>
        </w:sectPr>
      </w:pPr>
    </w:p>
    <w:p>
      <w:pPr>
        <w:jc w:val="center"/>
        <w:ind w:right="44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60"/>
          </w:cols>
          <w:pgMar w:left="880" w:top="270" w:right="4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Denominations:</w:t>
      </w:r>
    </w:p>
    <w:p>
      <w:pPr>
        <w:spacing w:after="0" w:line="20" w:lineRule="exact"/>
        <w:rPr>
          <w:sz w:val="20"/>
          <w:szCs w:val="20"/>
          <w:color w:val="auto"/>
        </w:rPr>
      </w:pPr>
      <w:r>
        <w:rPr>
          <w:sz w:val="20"/>
          <w:szCs w:val="20"/>
          <w:color w:val="auto"/>
        </w:rPr>
        <w:br w:type="column"/>
      </w:r>
    </w:p>
    <w:p>
      <w:pPr>
        <w:jc w:val="center"/>
        <w:ind w:right="4000"/>
        <w:spacing w:after="0"/>
        <w:rPr>
          <w:sz w:val="20"/>
          <w:szCs w:val="20"/>
          <w:color w:val="auto"/>
        </w:rPr>
      </w:pPr>
      <w:r>
        <w:rPr>
          <w:rFonts w:ascii="Times New Roman" w:cs="Times New Roman" w:eastAsia="Times New Roman" w:hAnsi="Times New Roman"/>
          <w:sz w:val="18"/>
          <w:szCs w:val="18"/>
          <w:color w:val="auto"/>
        </w:rPr>
        <w:t>$2,000 x $1,000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-281940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4680" w:space="720"/>
            <w:col w:w="5180"/>
          </w:cols>
          <w:pgMar w:left="880" w:top="378" w:right="4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Concurrent Issuance:</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In addition to the notes described in this term sheet, JPMorgan Chase &amp; Co. is concurrently offering $2,000,000,000 of fixed-to-floating rate notes due 2031. The consummation of each of these offerings is not contingent on any other offering.</w:t>
      </w:r>
    </w:p>
    <w:p>
      <w:pPr>
        <w:spacing w:after="0" w:line="72" w:lineRule="exact"/>
        <w:rPr>
          <w:sz w:val="20"/>
          <w:szCs w:val="20"/>
          <w:color w:val="auto"/>
        </w:rPr>
      </w:pPr>
    </w:p>
    <w:p>
      <w:pPr>
        <w:sectPr>
          <w:pgSz w:w="11900" w:h="16838" w:orient="portrait"/>
          <w:cols w:equalWidth="0" w:num="2">
            <w:col w:w="4680" w:space="720"/>
            <w:col w:w="5180"/>
          </w:cols>
          <w:pgMar w:left="880" w:top="378"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Sole Bookrunner: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J.P. Morgan Securities LLC</w:t>
      </w:r>
    </w:p>
    <w:p>
      <w:pPr>
        <w:spacing w:after="0" w:line="128" w:lineRule="exact"/>
        <w:rPr>
          <w:sz w:val="20"/>
          <w:szCs w:val="20"/>
          <w:color w:val="auto"/>
        </w:rPr>
      </w:pPr>
    </w:p>
    <w:p>
      <w:pPr>
        <w:sectPr>
          <w:pgSz w:w="11900" w:h="16838" w:orient="portrait"/>
          <w:cols w:equalWidth="0" w:num="2">
            <w:col w:w="4680" w:space="720"/>
            <w:col w:w="5180"/>
          </w:cols>
          <w:pgMar w:left="880" w:top="378"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CaixaBank,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CIBC World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Commerz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FHN Financial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Third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KeyBanc Capital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Lloyds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M&amp;T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nabSecurities,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Natixis Securities Americas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NatWest Markets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Nordea Bank Abp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Nykredit Bank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UniCredit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Westpac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AmeriVet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Bancroft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Blaylock Van,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CastleOak Securities,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Drexel Hamilton,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Falcon Square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Independence Point Securities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Mischler Financial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Penserra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Seelaus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Roberts &amp; Ryan Investments, Inc.</w:t>
      </w:r>
    </w:p>
    <w:p>
      <w:pPr>
        <w:spacing w:after="0" w:line="153" w:lineRule="exact"/>
        <w:rPr>
          <w:sz w:val="20"/>
          <w:szCs w:val="20"/>
          <w:color w:val="auto"/>
        </w:rPr>
      </w:pPr>
    </w:p>
    <w:p>
      <w:pPr>
        <w:sectPr>
          <w:pgSz w:w="11900" w:h="16838" w:orient="portrait"/>
          <w:cols w:equalWidth="0" w:num="2">
            <w:col w:w="4680" w:space="720"/>
            <w:col w:w="5180"/>
          </w:cols>
          <w:pgMar w:left="880" w:top="378" w:right="439" w:bottom="1440" w:gutter="0" w:footer="0" w:header="0"/>
          <w:type w:val="continuous"/>
        </w:sectPr>
      </w:pPr>
    </w:p>
    <w:p>
      <w:pPr>
        <w:jc w:val="center"/>
        <w:ind w:right="46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580"/>
          </w:cols>
          <w:pgMar w:left="880" w:top="378" w:right="439" w:bottom="1440" w:gutter="0" w:footer="0" w:header="0"/>
          <w:type w:val="continuous"/>
        </w:sectPr>
      </w:pPr>
    </w:p>
    <w:bookmarkStart w:id="4" w:name="page5"/>
    <w:bookmarkEnd w:id="4"/>
    <w:p>
      <w:pPr>
        <w:ind w:left="58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Samuel A. Ramirez &amp; Company, Inc.</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Siebert Williams Shank &amp; Co., LLC</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CAVU Securities LLC</w:t>
      </w:r>
    </w:p>
    <w:p>
      <w:pPr>
        <w:spacing w:after="0" w:line="22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Certain of the underwriters are not U.S. registered broker-dealers, and will not effect any offers or sales of any notes in the United States unless it is through one or more U.S. registered broker-dealers as permitted by the regulations of the Financial Industry Regulatory Authority, Inc.</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Settlement Period: The closing will occur on October 22, 2025 which will be more than one U.S. business day after the date of this pricing term sheet. Rule 15c6-1 under the Securities Exchange Act of 1934 generally requires that securities trades in the secondary market settle in one business day, unless the parties to a trade expressly agree otherwise.</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JPMorgan Chase &amp; Co. has filed a registration statement (including a prospectus, as supplemented by a prospectus supplement) with the Securities and Exchange Commission, or SEC, for the offering to which this term sheet relates. Before you invest, you should read the prospectus in that registration statement, the prospectus supplement and any other documents relating to this offering that JPMorgan Chase &amp; Co. has filed with the SEC for more complete information about JPMorgan Chase &amp; Co. and this offering. You may get these documents without cost by visiting EDGAR on the SEC Web site at www.sec.gov. Alternatively, the issuer, any underwriter or any dealer participating in the offering will arrange to send you the prospectus if you request it by calling collect 1-212-834-4533.</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2025-10-16T08:20:55Z</dcterms:created>
  <dcterms:modified xsi:type="dcterms:W3CDTF">2025-10-16T08:20:55Z</dcterms:modified>
</cp:coreProperties>
</file>