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5308-01_fwp.htm"/>
      <w:bookmarkStart w:id="1" w:name="ksea030530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11,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SLB Contingent Income Auto-Callable Securities</w:t>
      </w:r>
    </w:p>
    <w:p>
      <w:pPr>
        <w:pStyle w:val="TextBody"/>
        <w:bidi w:val="0"/>
        <w:ind w:left="86" w:right="0" w:hanging="0"/>
        <w:jc w:val="left"/>
        <w:rPr>
          <w:rFonts w:ascii="Arial;Helvetica;Sans-Serif" w:hAnsi="Arial;Helvetica;Sans-Serif"/>
          <w:b/>
          <w:i/>
          <w:caps w:val="false"/>
          <w:smallCaps w:val="false"/>
          <w:sz w:val="17"/>
        </w:rPr>
      </w:pPr>
      <w:r>
        <w:rPr>
          <w:rFonts w:ascii="Arial;Helvetica;Sans-Serif" w:hAnsi="Arial;Helvetica;Sans-Serif"/>
          <w:b/>
          <w:i/>
          <w:caps w:val="false"/>
          <w:smallCaps w:val="false"/>
          <w:sz w:val="17"/>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19010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1901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83"/>
                              <w:gridCol w:w="892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3"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92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922"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stock: </w:t>
                                  </w:r>
                                </w:p>
                              </w:tc>
                              <w:tc>
                                <w:tcPr>
                                  <w:tcW w:w="8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Common stock of SLB N.V. (SLB Limited) (Bloomberg ticker: SLB UN Equity)  </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w:t>
                                  </w:r>
                                </w:p>
                              </w:tc>
                              <w:tc>
                                <w:tcPr>
                                  <w:tcW w:w="8922"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early redemption payment will be an amount equal to (i) the stated principal amount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 the contingent quarterly payment with respect to the related determination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(iii) any previously unpaid contingent  quarterly payments with respect to any prior determination dates.</w:t>
                                  </w:r>
                                </w:p>
                              </w:tc>
                            </w:tr>
                          </w:tbl>
                          <w:tbl>
                            <w:tblPr>
                              <w:tblW w:w="10205" w:type="dxa"/>
                              <w:jc w:val="left"/>
                              <w:tblInd w:w="0" w:type="dxa"/>
                              <w:tblLayout w:type="fixed"/>
                              <w:tblCellMar>
                                <w:top w:w="0" w:type="dxa"/>
                                <w:left w:w="0" w:type="dxa"/>
                                <w:bottom w:w="0" w:type="dxa"/>
                                <w:right w:w="0" w:type="dxa"/>
                              </w:tblCellMar>
                            </w:tblPr>
                            <w:tblGrid>
                              <w:gridCol w:w="1182"/>
                              <w:gridCol w:w="9023"/>
                            </w:tblGrid>
                            <w:tr>
                              <w:trPr/>
                              <w:tc>
                                <w:tcPr>
                                  <w:tcW w:w="118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9023" w:type="dxa"/>
                                  <w:tcBorders/>
                                  <w:vAlign w:val="center"/>
                                </w:tcPr>
                                <w:p>
                                  <w:pPr>
                                    <w:pStyle w:val="TableContents"/>
                                    <w:bidi w:val="0"/>
                                    <w:ind w:left="169" w:right="0" w:hanging="169"/>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$25.00 (at least 2.50%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283"/>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r>
                                    <w:rPr>
                                      <w:rFonts w:ascii="Arial;Helvetica;Sans-Serif" w:hAnsi="Arial;Helvetica;Sans-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1559"/>
                              <w:gridCol w:w="2496"/>
                              <w:gridCol w:w="6150"/>
                            </w:tblGrid>
                            <w:tr>
                              <w:trPr/>
                              <w:tc>
                                <w:tcPr>
                                  <w:tcW w:w="1559"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646"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18, 2026, March 18, 2027, June 21, 2027, September 20, 2027, December 20, 2027, March 20, 2028, June 20, 2028, September 18, 2028, December 18, 2028, March 19, 2029, June 18, 2029 and September 18, 2029</w:t>
                                  </w:r>
                                </w:p>
                              </w:tc>
                            </w:tr>
                            <w:tr>
                              <w:trPr/>
                              <w:tc>
                                <w:tcPr>
                                  <w:tcW w:w="1559"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646"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23, 2026, March 23, 2027, June 24, 2027, September 23, 2027, December 23, 2027, March 23, 2028, June 23, 2028, September 21, 2028, December 21, 2028, March 22, 2029, June 22, 2029 and the maturity date</w:t>
                                  </w:r>
                                </w:p>
                              </w:tc>
                            </w:tr>
                            <w:tr>
                              <w:trPr/>
                              <w:tc>
                                <w:tcPr>
                                  <w:tcW w:w="1559"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4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i w:val="false"/>
                                      <w:caps w:val="false"/>
                                      <w:smallCaps w:val="false"/>
                                      <w:sz w:val="16"/>
                                    </w:rPr>
                                    <w:t>greater than or equal to</w:t>
                                  </w:r>
                                  <w:r>
                                    <w:rPr>
                                      <w:rFonts w:ascii="Arial;Helvetica;Sans-Serif" w:hAnsi="Arial;Helvetica;Sans-Serif"/>
                                      <w:b w:val="false"/>
                                      <w:i w:val="false"/>
                                      <w:caps w:val="false"/>
                                      <w:smallCaps w:val="false"/>
                                      <w:sz w:val="16"/>
                                    </w:rPr>
                                    <w:t xml:space="preserve"> the downside threshold level:</w:t>
                                  </w:r>
                                </w:p>
                              </w:tc>
                              <w:tc>
                                <w:tcPr>
                                  <w:tcW w:w="6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 the stated principal amount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 the contingent quarterly payment with respect to the final determination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(iii) any previously unpaid contingent quarterly payments with respect to any prior determination dates.</w:t>
                                  </w:r>
                                </w:p>
                              </w:tc>
                            </w:tr>
                            <w:tr>
                              <w:trPr/>
                              <w:tc>
                                <w:tcPr>
                                  <w:tcW w:w="1559"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4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i w:val="false"/>
                                      <w:caps w:val="false"/>
                                      <w:smallCaps w:val="false"/>
                                      <w:sz w:val="16"/>
                                    </w:rPr>
                                    <w:t>less than</w:t>
                                  </w:r>
                                  <w:r>
                                    <w:rPr>
                                      <w:rFonts w:ascii="Arial;Helvetica;Sans-Serif" w:hAnsi="Arial;Helvetica;Sans-Serif"/>
                                      <w:b w:val="false"/>
                                      <w:i w:val="false"/>
                                      <w:caps w:val="false"/>
                                      <w:smallCaps w:val="false"/>
                                      <w:sz w:val="16"/>
                                    </w:rPr>
                                    <w:t xml:space="preserve"> the downside threshold level:</w:t>
                                  </w:r>
                                </w:p>
                              </w:tc>
                              <w:tc>
                                <w:tcPr>
                                  <w:tcW w:w="6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 the stated principal amount </w:t>
                                  </w:r>
                                  <w:r>
                                    <w:rPr>
                                      <w:rFonts w:ascii="Arial;Helvetica;Sans-Serif" w:hAnsi="Arial;Helvetica;Sans-Serif"/>
                                      <w:b w:val="false"/>
                                      <w:i/>
                                      <w:caps w:val="false"/>
                                      <w:smallCaps w:val="false"/>
                                      <w:sz w:val="16"/>
                                    </w:rPr>
                                    <w:t>times</w:t>
                                  </w:r>
                                  <w:r>
                                    <w:rPr>
                                      <w:rFonts w:ascii="Arial;Helvetica;Sans-Serif" w:hAnsi="Arial;Helvetica;Sans-Serif"/>
                                      <w:b w:val="false"/>
                                      <w:i w:val="false"/>
                                      <w:caps w:val="false"/>
                                      <w:smallCaps w:val="false"/>
                                      <w:sz w:val="16"/>
                                    </w:rPr>
                                    <w:t xml:space="preserve"> (ii) the stock performance factor.  This cash payment will be less than 60% of the stated principal amount of the securities and could be zero.</w:t>
                                  </w:r>
                                </w:p>
                              </w:tc>
                            </w:tr>
                          </w:tbl>
                          <w:tbl>
                            <w:tblPr>
                              <w:tblW w:w="6460" w:type="dxa"/>
                              <w:jc w:val="left"/>
                              <w:tblInd w:w="0" w:type="dxa"/>
                              <w:tblLayout w:type="fixed"/>
                              <w:tblCellMar>
                                <w:top w:w="0" w:type="dxa"/>
                                <w:left w:w="0" w:type="dxa"/>
                                <w:bottom w:w="0" w:type="dxa"/>
                                <w:right w:w="0" w:type="dxa"/>
                              </w:tblCellMar>
                            </w:tblPr>
                            <w:tblGrid>
                              <w:gridCol w:w="2105"/>
                              <w:gridCol w:w="4355"/>
                            </w:tblGrid>
                            <w:tr>
                              <w:trPr/>
                              <w:tc>
                                <w:tcPr>
                                  <w:tcW w:w="210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435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60%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stock price:</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closing price of the underlying stock on the pricing date</w:t>
                                  </w:r>
                                </w:p>
                              </w:tc>
                            </w:tr>
                          </w:tbl>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6.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83"/>
                        <w:gridCol w:w="892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3"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92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922"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stock: </w:t>
                            </w:r>
                          </w:p>
                        </w:tc>
                        <w:tc>
                          <w:tcPr>
                            <w:tcW w:w="8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Common stock of SLB N.V. (SLB Limited) (Bloomberg ticker: SLB UN Equity)  </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w:t>
                            </w:r>
                          </w:p>
                        </w:tc>
                        <w:tc>
                          <w:tcPr>
                            <w:tcW w:w="8922"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early redemption payment will be an amount equal to (i) the stated principal amount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 the contingent quarterly payment with respect to the related determination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(iii) any previously unpaid contingent  quarterly payments with respect to any prior determination dates.</w:t>
                            </w:r>
                          </w:p>
                        </w:tc>
                      </w:tr>
                    </w:tbl>
                    <w:tbl>
                      <w:tblPr>
                        <w:tblW w:w="10205" w:type="dxa"/>
                        <w:jc w:val="left"/>
                        <w:tblInd w:w="0" w:type="dxa"/>
                        <w:tblLayout w:type="fixed"/>
                        <w:tblCellMar>
                          <w:top w:w="0" w:type="dxa"/>
                          <w:left w:w="0" w:type="dxa"/>
                          <w:bottom w:w="0" w:type="dxa"/>
                          <w:right w:w="0" w:type="dxa"/>
                        </w:tblCellMar>
                      </w:tblPr>
                      <w:tblGrid>
                        <w:gridCol w:w="1182"/>
                        <w:gridCol w:w="9023"/>
                      </w:tblGrid>
                      <w:tr>
                        <w:trPr/>
                        <w:tc>
                          <w:tcPr>
                            <w:tcW w:w="118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9023" w:type="dxa"/>
                            <w:tcBorders/>
                            <w:vAlign w:val="center"/>
                          </w:tcPr>
                          <w:p>
                            <w:pPr>
                              <w:pStyle w:val="TableContents"/>
                              <w:bidi w:val="0"/>
                              <w:ind w:left="169" w:right="0" w:hanging="169"/>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$25.00 (at least 2.50%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283"/>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r>
                              <w:rPr>
                                <w:rFonts w:ascii="Arial;Helvetica;Sans-Serif" w:hAnsi="Arial;Helvetica;Sans-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1559"/>
                        <w:gridCol w:w="2496"/>
                        <w:gridCol w:w="6150"/>
                      </w:tblGrid>
                      <w:tr>
                        <w:trPr/>
                        <w:tc>
                          <w:tcPr>
                            <w:tcW w:w="1559"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646"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18, 2026, March 18, 2027, June 21, 2027, September 20, 2027, December 20, 2027, March 20, 2028, June 20, 2028, September 18, 2028, December 18, 2028, March 19, 2029, June 18, 2029 and September 18, 2029</w:t>
                            </w:r>
                          </w:p>
                        </w:tc>
                      </w:tr>
                      <w:tr>
                        <w:trPr/>
                        <w:tc>
                          <w:tcPr>
                            <w:tcW w:w="1559"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646"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23, 2026, March 23, 2027, June 24, 2027, September 23, 2027, December 23, 2027, March 23, 2028, June 23, 2028, September 21, 2028, December 21, 2028, March 22, 2029, June 22, 2029 and the maturity date</w:t>
                            </w:r>
                          </w:p>
                        </w:tc>
                      </w:tr>
                      <w:tr>
                        <w:trPr/>
                        <w:tc>
                          <w:tcPr>
                            <w:tcW w:w="1559"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4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i w:val="false"/>
                                <w:caps w:val="false"/>
                                <w:smallCaps w:val="false"/>
                                <w:sz w:val="16"/>
                              </w:rPr>
                              <w:t>greater than or equal to</w:t>
                            </w:r>
                            <w:r>
                              <w:rPr>
                                <w:rFonts w:ascii="Arial;Helvetica;Sans-Serif" w:hAnsi="Arial;Helvetica;Sans-Serif"/>
                                <w:b w:val="false"/>
                                <w:i w:val="false"/>
                                <w:caps w:val="false"/>
                                <w:smallCaps w:val="false"/>
                                <w:sz w:val="16"/>
                              </w:rPr>
                              <w:t xml:space="preserve"> the downside threshold level:</w:t>
                            </w:r>
                          </w:p>
                        </w:tc>
                        <w:tc>
                          <w:tcPr>
                            <w:tcW w:w="6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 the stated principal amount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 the contingent quarterly payment with respect to the final determination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(iii) any previously unpaid contingent quarterly payments with respect to any prior determination dates.</w:t>
                            </w:r>
                          </w:p>
                        </w:tc>
                      </w:tr>
                      <w:tr>
                        <w:trPr/>
                        <w:tc>
                          <w:tcPr>
                            <w:tcW w:w="1559"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4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i w:val="false"/>
                                <w:caps w:val="false"/>
                                <w:smallCaps w:val="false"/>
                                <w:sz w:val="16"/>
                              </w:rPr>
                              <w:t>less than</w:t>
                            </w:r>
                            <w:r>
                              <w:rPr>
                                <w:rFonts w:ascii="Arial;Helvetica;Sans-Serif" w:hAnsi="Arial;Helvetica;Sans-Serif"/>
                                <w:b w:val="false"/>
                                <w:i w:val="false"/>
                                <w:caps w:val="false"/>
                                <w:smallCaps w:val="false"/>
                                <w:sz w:val="16"/>
                              </w:rPr>
                              <w:t xml:space="preserve"> the downside threshold level:</w:t>
                            </w:r>
                          </w:p>
                        </w:tc>
                        <w:tc>
                          <w:tcPr>
                            <w:tcW w:w="6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 the stated principal amount </w:t>
                            </w:r>
                            <w:r>
                              <w:rPr>
                                <w:rFonts w:ascii="Arial;Helvetica;Sans-Serif" w:hAnsi="Arial;Helvetica;Sans-Serif"/>
                                <w:b w:val="false"/>
                                <w:i/>
                                <w:caps w:val="false"/>
                                <w:smallCaps w:val="false"/>
                                <w:sz w:val="16"/>
                              </w:rPr>
                              <w:t>times</w:t>
                            </w:r>
                            <w:r>
                              <w:rPr>
                                <w:rFonts w:ascii="Arial;Helvetica;Sans-Serif" w:hAnsi="Arial;Helvetica;Sans-Serif"/>
                                <w:b w:val="false"/>
                                <w:i w:val="false"/>
                                <w:caps w:val="false"/>
                                <w:smallCaps w:val="false"/>
                                <w:sz w:val="16"/>
                              </w:rPr>
                              <w:t xml:space="preserve"> (ii) the stock performance factor.  This cash payment will be less than 60% of the stated principal amount of the securities and could be zero.</w:t>
                            </w:r>
                          </w:p>
                        </w:tc>
                      </w:tr>
                    </w:tbl>
                    <w:tbl>
                      <w:tblPr>
                        <w:tblW w:w="6460" w:type="dxa"/>
                        <w:jc w:val="left"/>
                        <w:tblInd w:w="0" w:type="dxa"/>
                        <w:tblLayout w:type="fixed"/>
                        <w:tblCellMar>
                          <w:top w:w="0" w:type="dxa"/>
                          <w:left w:w="0" w:type="dxa"/>
                          <w:bottom w:w="0" w:type="dxa"/>
                          <w:right w:w="0" w:type="dxa"/>
                        </w:tblCellMar>
                      </w:tblPr>
                      <w:tblGrid>
                        <w:gridCol w:w="2105"/>
                        <w:gridCol w:w="4355"/>
                      </w:tblGrid>
                      <w:tr>
                        <w:trPr/>
                        <w:tc>
                          <w:tcPr>
                            <w:tcW w:w="210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435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60%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stock price:</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closing price of the underlying stock on the pricing date</w:t>
                            </w:r>
                          </w:p>
                        </w:tc>
                      </w:tr>
                    </w:tbl>
                    <w:p>
                      <w:pPr>
                        <w:pStyle w:val="TextBody"/>
                        <w:bidi w:val="0"/>
                        <w:spacing w:before="0" w:after="283"/>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r>
                              <w:trPr/>
                              <w:tc>
                                <w:tcPr>
                                  <w:tcW w:w="1828"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September 18,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September 21,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Arial;Helvetica;Sans-Serif" w:hAnsi="Arial;Helvetica;Sans-Serif"/>
                                      <w:b w:val="false"/>
                                      <w:i w:val="false"/>
                                      <w:caps w:val="false"/>
                                      <w:smallCaps w:val="false"/>
                                      <w:sz w:val="16"/>
                                    </w:rPr>
                                    <w:t xml:space="preserve">46661MVX9 </w:t>
                                  </w:r>
                                  <w:r>
                                    <w:rPr>
                                      <w:rFonts w:ascii="Times New Roman;Times;Serif" w:hAnsi="Times New Roman;Times;Serif"/>
                                      <w:b w:val="false"/>
                                      <w:i w:val="false"/>
                                      <w:caps w:val="false"/>
                                      <w:smallCaps w:val="false"/>
                                      <w:sz w:val="16"/>
                                    </w:rPr>
                                    <w:t xml:space="preserve">/ </w:t>
                                  </w:r>
                                  <w:r>
                                    <w:rPr>
                                      <w:rFonts w:ascii="Arial;Helvetica;Sans-Serif" w:hAnsi="Arial;Helvetica;Sans-Serif"/>
                                      <w:b w:val="false"/>
                                      <w:i w:val="false"/>
                                      <w:caps w:val="false"/>
                                      <w:smallCaps w:val="false"/>
                                      <w:sz w:val="16"/>
                                    </w:rPr>
                                    <w:t>US46661MVX90</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2">
                                    <w:r>
                                      <w:rPr>
                                        <w:rStyle w:val="InternetLink"/>
                                        <w:sz w:val="16"/>
                                      </w:rPr>
                                      <w:t>http://www.sec.gov/Archives/edgar/data/19617/000121390026099088/</w:t>
                                      <w:br/>
                                      <w:t>ea0305249-01_424b2.htm</w:t>
                                    </w:r>
                                  </w:hyperlink>
                                  <w:r>
                                    <w:rPr>
                                      <w:sz w:val="16"/>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3985" w:type="dxa"/>
                              <w:jc w:val="left"/>
                              <w:tblInd w:w="0" w:type="dxa"/>
                              <w:tblLayout w:type="fixed"/>
                              <w:tblCellMar>
                                <w:top w:w="0" w:type="dxa"/>
                                <w:left w:w="0" w:type="dxa"/>
                                <w:bottom w:w="0" w:type="dxa"/>
                                <w:right w:w="0" w:type="dxa"/>
                              </w:tblCellMar>
                            </w:tblPr>
                            <w:tblGrid>
                              <w:gridCol w:w="3985"/>
                            </w:tblGrid>
                            <w:tr>
                              <w:trPr/>
                              <w:tc>
                                <w:tcPr>
                                  <w:tcW w:w="3985" w:type="dxa"/>
                                  <w:tcBorders/>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bl>
                          <w:tbl>
                            <w:tblPr>
                              <w:tblW w:w="9100" w:type="dxa"/>
                              <w:jc w:val="left"/>
                              <w:tblInd w:w="0" w:type="dxa"/>
                              <w:tblLayout w:type="fixed"/>
                              <w:tblCellMar>
                                <w:top w:w="0" w:type="dxa"/>
                                <w:left w:w="0" w:type="dxa"/>
                                <w:bottom w:w="0" w:type="dxa"/>
                                <w:right w:w="0" w:type="dxa"/>
                              </w:tblCellMar>
                            </w:tblPr>
                            <w:tblGrid>
                              <w:gridCol w:w="2255"/>
                              <w:gridCol w:w="6845"/>
                            </w:tblGrid>
                            <w:tr>
                              <w:trPr/>
                              <w:tc>
                                <w:tcPr>
                                  <w:tcW w:w="2255"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r>
                        <w:trPr/>
                        <w:tc>
                          <w:tcPr>
                            <w:tcW w:w="1828"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September 18,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September 21,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Arial;Helvetica;Sans-Serif" w:hAnsi="Arial;Helvetica;Sans-Serif"/>
                                <w:b w:val="false"/>
                                <w:i w:val="false"/>
                                <w:caps w:val="false"/>
                                <w:smallCaps w:val="false"/>
                                <w:sz w:val="16"/>
                              </w:rPr>
                              <w:t xml:space="preserve">46661MVX9 </w:t>
                            </w:r>
                            <w:r>
                              <w:rPr>
                                <w:rFonts w:ascii="Times New Roman;Times;Serif" w:hAnsi="Times New Roman;Times;Serif"/>
                                <w:b w:val="false"/>
                                <w:i w:val="false"/>
                                <w:caps w:val="false"/>
                                <w:smallCaps w:val="false"/>
                                <w:sz w:val="16"/>
                              </w:rPr>
                              <w:t xml:space="preserve">/ </w:t>
                            </w:r>
                            <w:r>
                              <w:rPr>
                                <w:rFonts w:ascii="Arial;Helvetica;Sans-Serif" w:hAnsi="Arial;Helvetica;Sans-Serif"/>
                                <w:b w:val="false"/>
                                <w:i w:val="false"/>
                                <w:caps w:val="false"/>
                                <w:smallCaps w:val="false"/>
                                <w:sz w:val="16"/>
                              </w:rPr>
                              <w:t>US46661MVX90</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3">
                              <w:r>
                                <w:rPr>
                                  <w:rStyle w:val="InternetLink"/>
                                  <w:sz w:val="16"/>
                                </w:rPr>
                                <w:t>http://www.sec.gov/Archives/edgar/data/19617/000121390026099088/</w:t>
                                <w:br/>
                                <w:t>ea0305249-01_424b2.htm</w:t>
                              </w:r>
                            </w:hyperlink>
                            <w:r>
                              <w:rPr>
                                <w:sz w:val="16"/>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3985" w:type="dxa"/>
                        <w:jc w:val="left"/>
                        <w:tblInd w:w="0" w:type="dxa"/>
                        <w:tblLayout w:type="fixed"/>
                        <w:tblCellMar>
                          <w:top w:w="0" w:type="dxa"/>
                          <w:left w:w="0" w:type="dxa"/>
                          <w:bottom w:w="0" w:type="dxa"/>
                          <w:right w:w="0" w:type="dxa"/>
                        </w:tblCellMar>
                      </w:tblPr>
                      <w:tblGrid>
                        <w:gridCol w:w="3985"/>
                      </w:tblGrid>
                      <w:tr>
                        <w:trPr/>
                        <w:tc>
                          <w:tcPr>
                            <w:tcW w:w="3985" w:type="dxa"/>
                            <w:tcBorders/>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bl>
                    <w:tbl>
                      <w:tblPr>
                        <w:tblW w:w="9100" w:type="dxa"/>
                        <w:jc w:val="left"/>
                        <w:tblInd w:w="0" w:type="dxa"/>
                        <w:tblLayout w:type="fixed"/>
                        <w:tblCellMar>
                          <w:top w:w="0" w:type="dxa"/>
                          <w:left w:w="0" w:type="dxa"/>
                          <w:bottom w:w="0" w:type="dxa"/>
                          <w:right w:w="0" w:type="dxa"/>
                        </w:tblCellMar>
                      </w:tblPr>
                      <w:tblGrid>
                        <w:gridCol w:w="2255"/>
                        <w:gridCol w:w="6845"/>
                      </w:tblGrid>
                      <w:tr>
                        <w:trPr/>
                        <w:tc>
                          <w:tcPr>
                            <w:tcW w:w="2255"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7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v:textbox>
                <w10:wrap type="square" side="left"/>
              </v:rect>
            </w:pict>
          </mc:Fallback>
        </mc:AlternateConten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SLB Contingent Income Auto-Callable Securities</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will not receive any contingent quarterly payment for any quarterly period (or any previously unpaid contingent quarterly payments) if the closing price of the underlying stock on the relevant determination date is less than the downside threshold level. </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0" w:type="dxa"/>
            <w:tcBorders/>
            <w:vAlign w:val="center"/>
          </w:tcPr>
          <w:p>
            <w:pPr>
              <w:pStyle w:val="TableContents"/>
              <w:bidi w:val="0"/>
              <w:spacing w:before="0" w:after="283"/>
              <w:jc w:val="left"/>
              <w:rPr>
                <w:sz w:val="18"/>
              </w:rPr>
            </w:pPr>
            <w:r>
              <w:rPr>
                <w:sz w:val="18"/>
              </w:rPr>
              <w:t>The contingent quarterly payment is based solely on the closing prices of the underlying stock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8"/>
              </w:rPr>
            </w:pPr>
            <w:r>
              <w:rPr>
                <w:sz w:val="18"/>
              </w:rPr>
              <w:t>Investors will not participate in any appreciation of the underlying stock.</w:t>
            </w:r>
          </w:p>
        </w:tc>
      </w:tr>
    </w:tbl>
    <w:tbl>
      <w:tblPr>
        <w:tblW w:w="5000" w:type="pct"/>
        <w:jc w:val="left"/>
        <w:tblInd w:w="0" w:type="dxa"/>
        <w:tblLayout w:type="fixed"/>
        <w:tblCellMar>
          <w:top w:w="0" w:type="dxa"/>
          <w:left w:w="0" w:type="dxa"/>
          <w:bottom w:w="0" w:type="dxa"/>
          <w:right w:w="0" w:type="dxa"/>
        </w:tblCellMar>
      </w:tblPr>
      <w:tblGrid>
        <w:gridCol w:w="218"/>
        <w:gridCol w:w="720"/>
        <w:gridCol w:w="9267"/>
      </w:tblGrid>
      <w:tr>
        <w:trPr/>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67" w:type="dxa"/>
            <w:tcBorders/>
            <w:vAlign w:val="center"/>
          </w:tcPr>
          <w:p>
            <w:pPr>
              <w:pStyle w:val="TableContents"/>
              <w:bidi w:val="0"/>
              <w:spacing w:before="0" w:after="283"/>
              <w:jc w:val="left"/>
              <w:rPr>
                <w:sz w:val="18"/>
              </w:rPr>
            </w:pPr>
            <w:r>
              <w:rPr>
                <w:sz w:val="18"/>
              </w:rPr>
              <w:t>Early redemption risk.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There are risks associated with investments in securities linked to the value of equity securities issued by a non-U.S. company.</w:t>
            </w:r>
          </w:p>
        </w:tc>
      </w:tr>
    </w:tbl>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108"/>
        <w:gridCol w:w="357"/>
        <w:gridCol w:w="9740"/>
      </w:tblGrid>
      <w:tr>
        <w:trPr/>
        <w:tc>
          <w:tcPr>
            <w:tcW w:w="1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4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No affiliation with SLB N.V. (SLB Limited).</w:t>
            </w:r>
          </w:p>
        </w:tc>
      </w:tr>
    </w:tbl>
    <w:tbl>
      <w:tblPr>
        <w:tblW w:w="5000" w:type="pct"/>
        <w:jc w:val="left"/>
        <w:tblInd w:w="0" w:type="dxa"/>
        <w:tblLayout w:type="fixed"/>
        <w:tblCellMar>
          <w:top w:w="0" w:type="dxa"/>
          <w:left w:w="0" w:type="dxa"/>
          <w:bottom w:w="0" w:type="dxa"/>
          <w:right w:w="0" w:type="dxa"/>
        </w:tblCellMar>
      </w:tblPr>
      <w:tblGrid>
        <w:gridCol w:w="46"/>
        <w:gridCol w:w="151"/>
        <w:gridCol w:w="10008"/>
      </w:tblGrid>
      <w:tr>
        <w:trPr/>
        <w:tc>
          <w:tcPr>
            <w:tcW w:w="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0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may engage in business with or involving SLB N.V. (SLB Limited) without regard to your interests.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9088/ea0305249-01_424b2.htm" TargetMode="External"/><Relationship Id="rId3" Type="http://schemas.openxmlformats.org/officeDocument/2006/relationships/hyperlink" Target="http://www.sec.gov/Archives/edgar/data/19617/000121390026099088/ea0305249-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1664</Words>
  <Characters>9184</Characters>
  <CharactersWithSpaces>10723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