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46-01_fwp.htm"/>
      <w:bookmarkStart w:id="1" w:name="ksea030044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SX5E Capped Buffered Return Enhanced Notes The following is a summary of the terms of the notes offered by the preliminary pricing supplement highlighted below. Summary of Terms JPMorgan Chase Financial Company LLC JPMorgan Chase &amp; Co. $1,000 EURO STOXX 50 ® Index 2.00 [31.75% - 35.75%]* 10.00% (Final Value – Initial Value) / Initial Value The closing level of the Underlying on the Pricing Date The closing level of the Underlying on the Observation Date August 31, 2026 August 31, 2028 September 6, 2028 46661K6R4 Issuer: Guarantor: Minimum Denomination: Underlying: Upside Leverage Factor: Maximum Return: Buffer Amount: Underlying Return: Initial Value: Final Value: Pricing Date: Observation Date: Maturity Date: CUSIP: Preliminary Pricing Supplement: http://sp.jpmorgan.com/document/cusip/46661K6R4/doctype/Product_Termsheet/document.pdf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31.75% or greater than 35.75%. ** Reflects a Maximum Return of 31.75%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$1,317.50 31.75% 100.000% $1,317.50 31.75% 80.000% $1,317.50 31.75% 60.000% $1,317.50 31.75% 40.000% $1,317.50 31.75% 30.000% $1,317.50 31.75% 20.000% $1,317.50 31.75% 15.875% $1,200.00 20.00% 10.000% $1,100.00 10.00% 5.000% $1,000.00 0.00% 0.000% $1,000.00 0.00% - 5.000% $1,000.00 0.00% - 10.000% $950.00 - 5.00% - 15.000% $800.00 - 20.00% - 30.000% $500.00 - 50.00% - 60.000% $100.00 - 90.00% - 100.000%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SX5E Capped Buffered Return Enhanced Notes Ɣ Ɣ Ɣ Ɣ Your investment in the notes may result in a loss. Your maximum gain on the notes is limited by the Maximum Return. Your payment at maturity will be determined by the Underlying. If the Underlying declines from its initial level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We may accelerate your notes if a change - in - law event occurs. The notes are subject to risks associated with non - U.S. securities. The notes do not provide direct exposure to fluctuations in foreign exchange rates with respect to the Index. As a finance subsidiary, JPMorgan Chase Financial Company LLC has no independent activities and has limited assets. Selected Risks Selected Risks (continued)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1357</Words>
  <Characters>7020</Characters>
  <CharactersWithSpaces>8379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