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9500-01_fwp.htm"/>
      <w:bookmarkStart w:id="1" w:name="ksea0309500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October 23,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3-Year SVX Auto-Callable Trigger PLUS</w:t>
      </w:r>
    </w:p>
    <w:p>
      <w:pPr>
        <w:pStyle w:val="TextBody"/>
        <w:bidi w:val="0"/>
        <w:spacing w:before="0" w:after="0"/>
        <w:ind w:left="200"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Auto-Callable Trigger Plus, which we refer to as the Trigger PLUS.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887349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887349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026"/>
                              <w:gridCol w:w="917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026" w:type="dxa"/>
                                  <w:tcBorders/>
                                  <w:shd w:fill="FFFFFF"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Issuer: </w:t>
                                  </w:r>
                                </w:p>
                              </w:tc>
                              <w:tc>
                                <w:tcPr>
                                  <w:tcW w:w="9179"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026"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Guarantor:</w:t>
                                  </w:r>
                                </w:p>
                              </w:tc>
                              <w:tc>
                                <w:tcPr>
                                  <w:tcW w:w="9179" w:type="dxa"/>
                                  <w:tcBorders/>
                                  <w:shd w:fill="DCEBF4" w:val="clear"/>
                                  <w:vAlign w:val="center"/>
                                </w:tcPr>
                                <w:p>
                                  <w:pPr>
                                    <w:pStyle w:val="TableContents"/>
                                    <w:bidi w:val="0"/>
                                    <w:spacing w:before="0" w:after="283"/>
                                    <w:jc w:val="left"/>
                                    <w:rPr>
                                      <w:sz w:val="15"/>
                                    </w:rPr>
                                  </w:pPr>
                                  <w:r>
                                    <w:rPr>
                                      <w:sz w:val="15"/>
                                    </w:rPr>
                                    <w:t>JPMorgan Chase &amp; Co.</w:t>
                                  </w:r>
                                </w:p>
                              </w:tc>
                            </w:tr>
                            <w:tr>
                              <w:trPr/>
                              <w:tc>
                                <w:tcPr>
                                  <w:tcW w:w="1026"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Underlying index: </w:t>
                                  </w:r>
                                </w:p>
                              </w:tc>
                              <w:tc>
                                <w:tcPr>
                                  <w:tcW w:w="9179" w:type="dxa"/>
                                  <w:tcBorders/>
                                  <w:vAlign w:val="center"/>
                                </w:tcPr>
                                <w:p>
                                  <w:pPr>
                                    <w:pStyle w:val="TableContents"/>
                                    <w:bidi w:val="0"/>
                                    <w:spacing w:before="0" w:after="283"/>
                                    <w:jc w:val="left"/>
                                    <w:rPr>
                                      <w:sz w:val="15"/>
                                      <w:shd w:fill="FFFFFF" w:val="clear"/>
                                    </w:rPr>
                                  </w:pPr>
                                  <w:r>
                                    <w:rPr>
                                      <w:sz w:val="15"/>
                                      <w:shd w:fill="FFFFFF" w:val="clear"/>
                                    </w:rPr>
                                    <w:t>S&amp;P 500</w:t>
                                  </w:r>
                                  <w:r>
                                    <w:rPr>
                                      <w:position w:val="5"/>
                                      <w:sz w:val="12"/>
                                      <w:sz w:val="15"/>
                                      <w:shd w:fill="FFFFFF" w:val="clear"/>
                                    </w:rPr>
                                    <w:t>®</w:t>
                                  </w:r>
                                  <w:r>
                                    <w:rPr>
                                      <w:sz w:val="15"/>
                                      <w:shd w:fill="FFFFFF" w:val="clear"/>
                                    </w:rPr>
                                    <w:t xml:space="preserve"> Value Index (Bloomberg ticker: SVX Index)</w:t>
                                  </w:r>
                                </w:p>
                              </w:tc>
                            </w:tr>
                            <w:tr>
                              <w:trPr/>
                              <w:tc>
                                <w:tcPr>
                                  <w:tcW w:w="1026"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Early redemption: </w:t>
                                  </w:r>
                                </w:p>
                              </w:tc>
                              <w:tc>
                                <w:tcPr>
                                  <w:tcW w:w="9179" w:type="dxa"/>
                                  <w:tcBorders/>
                                  <w:shd w:fill="DCEBF4" w:val="clear"/>
                                  <w:vAlign w:val="center"/>
                                </w:tcPr>
                                <w:p>
                                  <w:pPr>
                                    <w:pStyle w:val="TableContents"/>
                                    <w:bidi w:val="0"/>
                                    <w:spacing w:before="0" w:after="283"/>
                                    <w:jc w:val="left"/>
                                    <w:rPr>
                                      <w:sz w:val="15"/>
                                    </w:rPr>
                                  </w:pPr>
                                  <w:r>
                                    <w:rPr>
                                      <w:sz w:val="15"/>
                                    </w:rPr>
                                    <w:t xml:space="preserve">If, on the redemption observation date, the closing level of the underlying index is </w:t>
                                  </w:r>
                                  <w:r>
                                    <w:rPr>
                                      <w:b/>
                                      <w:sz w:val="15"/>
                                    </w:rPr>
                                    <w:t>greater than or equal to</w:t>
                                  </w:r>
                                  <w:r>
                                    <w:rPr>
                                      <w:sz w:val="15"/>
                                    </w:rPr>
                                    <w:t xml:space="preserve"> the initial index value,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index value is greater than the initial index value.  Moreover, if the Trigger PLUS are automatically redeemed, your investment may underperform the underlying index, and the early redemption payment may be significantly less than the payment at maturity you would receive for the same level of appreciation of the underlying index had the Trigger PLUS not been automatically redeemed and instead remained outstanding until maturity</w:t>
                                  </w:r>
                                  <w:r>
                                    <w:rPr>
                                      <w:i/>
                                      <w:sz w:val="15"/>
                                    </w:rPr>
                                    <w:t>.</w:t>
                                  </w:r>
                                </w:p>
                              </w:tc>
                            </w:tr>
                            <w:tr>
                              <w:trPr/>
                              <w:tc>
                                <w:tcPr>
                                  <w:tcW w:w="1026"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Early redemption payment:</w:t>
                                  </w:r>
                                </w:p>
                              </w:tc>
                              <w:tc>
                                <w:tcPr>
                                  <w:tcW w:w="9179" w:type="dxa"/>
                                  <w:tcBorders/>
                                  <w:vAlign w:val="center"/>
                                </w:tcPr>
                                <w:p>
                                  <w:pPr>
                                    <w:pStyle w:val="TableContents"/>
                                    <w:bidi w:val="0"/>
                                    <w:spacing w:before="0" w:after="283"/>
                                    <w:jc w:val="left"/>
                                    <w:rPr>
                                      <w:sz w:val="15"/>
                                    </w:rPr>
                                  </w:pPr>
                                  <w:r>
                                    <w:rPr>
                                      <w:sz w:val="15"/>
                                    </w:rPr>
                                    <w:t>At least $1,092.00 per Trigger PLUS. The actual early redemption payment will be provided in the pricing supplement and will not be less than $1,092.00 per Trigger PLUS.</w:t>
                                  </w:r>
                                </w:p>
                              </w:tc>
                            </w:tr>
                          </w:tbl>
                          <w:tbl>
                            <w:tblPr>
                              <w:tblW w:w="10205" w:type="dxa"/>
                              <w:jc w:val="left"/>
                              <w:tblInd w:w="0" w:type="dxa"/>
                              <w:tblLayout w:type="fixed"/>
                              <w:tblCellMar>
                                <w:top w:w="0" w:type="dxa"/>
                                <w:left w:w="0" w:type="dxa"/>
                                <w:bottom w:w="0" w:type="dxa"/>
                                <w:right w:w="0" w:type="dxa"/>
                              </w:tblCellMar>
                            </w:tblPr>
                            <w:tblGrid>
                              <w:gridCol w:w="1273"/>
                              <w:gridCol w:w="8932"/>
                            </w:tblGrid>
                            <w:tr>
                              <w:trPr/>
                              <w:tc>
                                <w:tcPr>
                                  <w:tcW w:w="1273"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Payment at maturity:</w:t>
                                  </w:r>
                                </w:p>
                              </w:tc>
                              <w:tc>
                                <w:tcPr>
                                  <w:tcW w:w="8932" w:type="dxa"/>
                                  <w:tcBorders/>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40" w:after="40"/>
                                    <w:ind w:left="720" w:right="4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index value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index value, for each $1,000 stated principal amount Trigger PLUS: $1,000 + leveraged upside payment</w:t>
                                  </w:r>
                                </w:p>
                                <w:p>
                                  <w:pPr>
                                    <w:pStyle w:val="TableContents"/>
                                    <w:bidi w:val="0"/>
                                    <w:spacing w:before="40" w:after="40"/>
                                    <w:ind w:left="720" w:right="4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index value is </w:t>
                                  </w:r>
                                  <w:r>
                                    <w:rPr>
                                      <w:rFonts w:ascii="Arial;Helvetica;Sans-Serif" w:hAnsi="Arial;Helvetica;Sans-Serif"/>
                                      <w:b w:val="false"/>
                                      <w:i/>
                                      <w:caps w:val="false"/>
                                      <w:smallCaps w:val="false"/>
                                      <w:sz w:val="15"/>
                                    </w:rPr>
                                    <w:t xml:space="preserve">less than or equal to </w:t>
                                  </w:r>
                                  <w:r>
                                    <w:rPr>
                                      <w:rFonts w:ascii="Arial;Helvetica;Sans-Serif" w:hAnsi="Arial;Helvetica;Sans-Serif"/>
                                      <w:b w:val="false"/>
                                      <w:i w:val="false"/>
                                      <w:caps w:val="false"/>
                                      <w:smallCaps w:val="false"/>
                                      <w:sz w:val="15"/>
                                    </w:rPr>
                                    <w:t xml:space="preserve">the initial index value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w:t>
                                  </w:r>
                                </w:p>
                                <w:p>
                                  <w:pPr>
                                    <w:pStyle w:val="TableContents"/>
                                    <w:bidi w:val="0"/>
                                    <w:spacing w:before="40" w:after="40"/>
                                    <w:ind w:left="720" w:right="4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index value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index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10%, and possibly all, of your investment.</w:t>
                                  </w:r>
                                </w:p>
                              </w:tc>
                            </w:tr>
                          </w:tbl>
                          <w:tbl>
                            <w:tblPr>
                              <w:tblW w:w="6610" w:type="dxa"/>
                              <w:jc w:val="left"/>
                              <w:tblInd w:w="0" w:type="dxa"/>
                              <w:tblLayout w:type="fixed"/>
                              <w:tblCellMar>
                                <w:top w:w="0" w:type="dxa"/>
                                <w:left w:w="0" w:type="dxa"/>
                                <w:bottom w:w="0" w:type="dxa"/>
                                <w:right w:w="0" w:type="dxa"/>
                              </w:tblCellMar>
                            </w:tblPr>
                            <w:tblGrid>
                              <w:gridCol w:w="2780"/>
                              <w:gridCol w:w="3830"/>
                            </w:tblGrid>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Leveraged upside payment:</w:t>
                                  </w:r>
                                </w:p>
                              </w:tc>
                              <w:tc>
                                <w:tcPr>
                                  <w:tcW w:w="3830" w:type="dxa"/>
                                  <w:tcBorders/>
                                  <w:vAlign w:val="center"/>
                                </w:tcPr>
                                <w:p>
                                  <w:pPr>
                                    <w:pStyle w:val="TableContents"/>
                                    <w:bidi w:val="0"/>
                                    <w:spacing w:before="0" w:after="283"/>
                                    <w:jc w:val="left"/>
                                    <w:rPr>
                                      <w:sz w:val="15"/>
                                    </w:rPr>
                                  </w:pPr>
                                  <w:r>
                                    <w:rPr>
                                      <w:sz w:val="15"/>
                                    </w:rPr>
                                    <w:t>$1,000 × leverage factor × index percent increase</w:t>
                                  </w:r>
                                </w:p>
                              </w:tc>
                            </w:tr>
                            <w:tr>
                              <w:trPr/>
                              <w:tc>
                                <w:tcPr>
                                  <w:tcW w:w="2780"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percent increase:</w:t>
                                  </w:r>
                                </w:p>
                              </w:tc>
                              <w:tc>
                                <w:tcPr>
                                  <w:tcW w:w="3830" w:type="dxa"/>
                                  <w:tcBorders/>
                                  <w:shd w:fill="DCEBF4" w:val="clear"/>
                                  <w:vAlign w:val="center"/>
                                </w:tcPr>
                                <w:p>
                                  <w:pPr>
                                    <w:pStyle w:val="TableContents"/>
                                    <w:bidi w:val="0"/>
                                    <w:spacing w:before="0" w:after="283"/>
                                    <w:jc w:val="left"/>
                                    <w:rPr>
                                      <w:sz w:val="15"/>
                                    </w:rPr>
                                  </w:pPr>
                                  <w:r>
                                    <w:rPr>
                                      <w:sz w:val="15"/>
                                    </w:rPr>
                                    <w:t>(final index value – initial index value) / initial index value</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Initial index value: </w:t>
                                  </w:r>
                                </w:p>
                              </w:tc>
                              <w:tc>
                                <w:tcPr>
                                  <w:tcW w:w="3830" w:type="dxa"/>
                                  <w:tcBorders/>
                                  <w:vAlign w:val="center"/>
                                </w:tcPr>
                                <w:p>
                                  <w:pPr>
                                    <w:pStyle w:val="TableContents"/>
                                    <w:bidi w:val="0"/>
                                    <w:spacing w:before="0" w:after="283"/>
                                    <w:jc w:val="left"/>
                                    <w:rPr>
                                      <w:sz w:val="15"/>
                                    </w:rPr>
                                  </w:pPr>
                                  <w:r>
                                    <w:rPr>
                                      <w:sz w:val="15"/>
                                    </w:rPr>
                                    <w:t>The closing level of the underlying index on the pricing date</w:t>
                                  </w:r>
                                </w:p>
                              </w:tc>
                            </w:tr>
                            <w:tr>
                              <w:trPr/>
                              <w:tc>
                                <w:tcPr>
                                  <w:tcW w:w="2780"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Final index value: </w:t>
                                  </w:r>
                                </w:p>
                              </w:tc>
                              <w:tc>
                                <w:tcPr>
                                  <w:tcW w:w="3830" w:type="dxa"/>
                                  <w:tcBorders/>
                                  <w:shd w:fill="DCEBF4" w:val="clear"/>
                                  <w:vAlign w:val="center"/>
                                </w:tcPr>
                                <w:p>
                                  <w:pPr>
                                    <w:pStyle w:val="TableContents"/>
                                    <w:bidi w:val="0"/>
                                    <w:spacing w:before="0" w:after="283"/>
                                    <w:jc w:val="left"/>
                                    <w:rPr>
                                      <w:sz w:val="15"/>
                                    </w:rPr>
                                  </w:pPr>
                                  <w:r>
                                    <w:rPr>
                                      <w:sz w:val="15"/>
                                    </w:rPr>
                                    <w:t>The closing level of the underlying index on the valuation date</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Trigger level:</w:t>
                                  </w:r>
                                </w:p>
                              </w:tc>
                              <w:tc>
                                <w:tcPr>
                                  <w:tcW w:w="3830" w:type="dxa"/>
                                  <w:tcBorders/>
                                  <w:vAlign w:val="center"/>
                                </w:tcPr>
                                <w:p>
                                  <w:pPr>
                                    <w:pStyle w:val="TableContents"/>
                                    <w:bidi w:val="0"/>
                                    <w:spacing w:before="0" w:after="283"/>
                                    <w:jc w:val="left"/>
                                    <w:rPr>
                                      <w:sz w:val="15"/>
                                    </w:rPr>
                                  </w:pPr>
                                  <w:r>
                                    <w:rPr>
                                      <w:sz w:val="15"/>
                                    </w:rPr>
                                    <w:t>90% of the initial index value</w:t>
                                  </w:r>
                                </w:p>
                              </w:tc>
                            </w:tr>
                            <w:tr>
                              <w:trPr/>
                              <w:tc>
                                <w:tcPr>
                                  <w:tcW w:w="2780"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Leverage factor: </w:t>
                                  </w:r>
                                </w:p>
                              </w:tc>
                              <w:tc>
                                <w:tcPr>
                                  <w:tcW w:w="3830" w:type="dxa"/>
                                  <w:tcBorders/>
                                  <w:shd w:fill="DCEBF4" w:val="clear"/>
                                  <w:vAlign w:val="center"/>
                                </w:tcPr>
                                <w:p>
                                  <w:pPr>
                                    <w:pStyle w:val="TableContents"/>
                                    <w:bidi w:val="0"/>
                                    <w:spacing w:before="0" w:after="283"/>
                                    <w:jc w:val="left"/>
                                    <w:rPr>
                                      <w:sz w:val="15"/>
                                    </w:rPr>
                                  </w:pPr>
                                  <w:r>
                                    <w:rPr>
                                      <w:sz w:val="15"/>
                                    </w:rPr>
                                    <w:t xml:space="preserve">125% </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performance factor:</w:t>
                                  </w:r>
                                </w:p>
                              </w:tc>
                              <w:tc>
                                <w:tcPr>
                                  <w:tcW w:w="3830" w:type="dxa"/>
                                  <w:tcBorders/>
                                  <w:vAlign w:val="center"/>
                                </w:tcPr>
                                <w:p>
                                  <w:pPr>
                                    <w:pStyle w:val="TableContents"/>
                                    <w:bidi w:val="0"/>
                                    <w:spacing w:before="0" w:after="283"/>
                                    <w:jc w:val="left"/>
                                    <w:rPr>
                                      <w:sz w:val="15"/>
                                    </w:rPr>
                                  </w:pPr>
                                  <w:r>
                                    <w:rPr>
                                      <w:sz w:val="15"/>
                                    </w:rPr>
                                    <w:t>final index value / initial index value</w:t>
                                  </w:r>
                                </w:p>
                              </w:tc>
                            </w:tr>
                            <w:tr>
                              <w:trPr/>
                              <w:tc>
                                <w:tcPr>
                                  <w:tcW w:w="278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Stated principal amount:</w:t>
                                  </w:r>
                                </w:p>
                              </w:tc>
                              <w:tc>
                                <w:tcPr>
                                  <w:tcW w:w="3830" w:type="dxa"/>
                                  <w:tcBorders/>
                                  <w:shd w:fill="DCEBF0" w:val="clear"/>
                                  <w:vAlign w:val="center"/>
                                </w:tcPr>
                                <w:p>
                                  <w:pPr>
                                    <w:pStyle w:val="TableContents"/>
                                    <w:bidi w:val="0"/>
                                    <w:spacing w:before="0" w:after="283"/>
                                    <w:jc w:val="left"/>
                                    <w:rPr>
                                      <w:sz w:val="15"/>
                                    </w:rPr>
                                  </w:pPr>
                                  <w:r>
                                    <w:rPr>
                                      <w:sz w:val="15"/>
                                    </w:rPr>
                                    <w:t>$1,000 per Trigger PLUS</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Issue price:</w:t>
                                  </w:r>
                                </w:p>
                              </w:tc>
                              <w:tc>
                                <w:tcPr>
                                  <w:tcW w:w="3830" w:type="dxa"/>
                                  <w:tcBorders/>
                                  <w:vAlign w:val="center"/>
                                </w:tcPr>
                                <w:p>
                                  <w:pPr>
                                    <w:pStyle w:val="TableContents"/>
                                    <w:bidi w:val="0"/>
                                    <w:spacing w:before="0" w:after="283"/>
                                    <w:jc w:val="left"/>
                                    <w:rPr>
                                      <w:sz w:val="15"/>
                                    </w:rPr>
                                  </w:pPr>
                                  <w:r>
                                    <w:rPr>
                                      <w:sz w:val="15"/>
                                    </w:rPr>
                                    <w:t>$1,000 per Trigger PLUS</w:t>
                                  </w:r>
                                </w:p>
                              </w:tc>
                            </w:tr>
                            <w:tr>
                              <w:trPr/>
                              <w:tc>
                                <w:tcPr>
                                  <w:tcW w:w="278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Pricing date:</w:t>
                                  </w:r>
                                </w:p>
                              </w:tc>
                              <w:tc>
                                <w:tcPr>
                                  <w:tcW w:w="3830" w:type="dxa"/>
                                  <w:tcBorders/>
                                  <w:shd w:fill="DCEBF0" w:val="clear"/>
                                  <w:vAlign w:val="center"/>
                                </w:tcPr>
                                <w:p>
                                  <w:pPr>
                                    <w:pStyle w:val="TableContents"/>
                                    <w:bidi w:val="0"/>
                                    <w:spacing w:before="0" w:after="283"/>
                                    <w:jc w:val="left"/>
                                    <w:rPr>
                                      <w:sz w:val="15"/>
                                    </w:rPr>
                                  </w:pPr>
                                  <w:r>
                                    <w:rPr>
                                      <w:sz w:val="15"/>
                                    </w:rPr>
                                    <w:t>Expected to be October 30, 2026</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Original issue date (settlement date): </w:t>
                                  </w:r>
                                </w:p>
                              </w:tc>
                              <w:tc>
                                <w:tcPr>
                                  <w:tcW w:w="3830" w:type="dxa"/>
                                  <w:tcBorders/>
                                  <w:vAlign w:val="center"/>
                                </w:tcPr>
                                <w:p>
                                  <w:pPr>
                                    <w:pStyle w:val="TableContents"/>
                                    <w:bidi w:val="0"/>
                                    <w:spacing w:before="0" w:after="283"/>
                                    <w:jc w:val="left"/>
                                    <w:rPr>
                                      <w:sz w:val="15"/>
                                    </w:rPr>
                                  </w:pPr>
                                  <w:r>
                                    <w:rPr>
                                      <w:sz w:val="15"/>
                                    </w:rPr>
                                    <w:t>3 business days after the pricing date</w:t>
                                  </w:r>
                                </w:p>
                              </w:tc>
                            </w:tr>
                            <w:tr>
                              <w:trPr/>
                              <w:tc>
                                <w:tcPr>
                                  <w:tcW w:w="2780" w:type="dxa"/>
                                  <w:tcBorders/>
                                  <w:shd w:fill="D3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observation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3830" w:type="dxa"/>
                                  <w:tcBorders/>
                                  <w:shd w:fill="D3EAF6" w:val="clear"/>
                                  <w:vAlign w:val="center"/>
                                </w:tcPr>
                                <w:p>
                                  <w:pPr>
                                    <w:pStyle w:val="TableContents"/>
                                    <w:bidi w:val="0"/>
                                    <w:spacing w:before="0" w:after="283"/>
                                    <w:jc w:val="left"/>
                                    <w:rPr>
                                      <w:sz w:val="15"/>
                                    </w:rPr>
                                  </w:pPr>
                                  <w:r>
                                    <w:rPr>
                                      <w:sz w:val="15"/>
                                    </w:rPr>
                                    <w:t>November 8, 2027</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3830" w:type="dxa"/>
                                  <w:tcBorders/>
                                  <w:vAlign w:val="center"/>
                                </w:tcPr>
                                <w:p>
                                  <w:pPr>
                                    <w:pStyle w:val="TableContents"/>
                                    <w:bidi w:val="0"/>
                                    <w:spacing w:before="0" w:after="283"/>
                                    <w:jc w:val="left"/>
                                    <w:rPr>
                                      <w:sz w:val="15"/>
                                    </w:rPr>
                                  </w:pPr>
                                  <w:r>
                                    <w:rPr>
                                      <w:sz w:val="15"/>
                                    </w:rPr>
                                    <w:t>November 12, 2027</w:t>
                                  </w:r>
                                </w:p>
                              </w:tc>
                            </w:tr>
                            <w:tr>
                              <w:trPr/>
                              <w:tc>
                                <w:tcPr>
                                  <w:tcW w:w="278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Valuation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3830" w:type="dxa"/>
                                  <w:tcBorders/>
                                  <w:shd w:fill="DCEBF0" w:val="clear"/>
                                  <w:vAlign w:val="center"/>
                                </w:tcPr>
                                <w:p>
                                  <w:pPr>
                                    <w:pStyle w:val="TableContents"/>
                                    <w:bidi w:val="0"/>
                                    <w:spacing w:before="0" w:after="283"/>
                                    <w:jc w:val="left"/>
                                    <w:rPr>
                                      <w:sz w:val="15"/>
                                    </w:rPr>
                                  </w:pPr>
                                  <w:r>
                                    <w:rPr>
                                      <w:sz w:val="15"/>
                                    </w:rPr>
                                    <w:t>October 30, 2029</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Maturity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3830" w:type="dxa"/>
                                  <w:tcBorders/>
                                  <w:vAlign w:val="center"/>
                                </w:tcPr>
                                <w:p>
                                  <w:pPr>
                                    <w:pStyle w:val="TableContents"/>
                                    <w:bidi w:val="0"/>
                                    <w:spacing w:before="0" w:after="283"/>
                                    <w:jc w:val="left"/>
                                    <w:rPr>
                                      <w:sz w:val="15"/>
                                    </w:rPr>
                                  </w:pPr>
                                  <w:r>
                                    <w:rPr>
                                      <w:sz w:val="15"/>
                                    </w:rPr>
                                    <w:t>November 2, 2029</w:t>
                                  </w:r>
                                </w:p>
                              </w:tc>
                            </w:tr>
                            <w:tr>
                              <w:trPr/>
                              <w:tc>
                                <w:tcPr>
                                  <w:tcW w:w="2780" w:type="dxa"/>
                                  <w:tcBorders/>
                                  <w:shd w:fill="DCEBF0" w:val="clear"/>
                                  <w:vAlign w:val="center"/>
                                </w:tcPr>
                                <w:p>
                                  <w:pPr>
                                    <w:pStyle w:val="TableContents"/>
                                    <w:bidi w:val="0"/>
                                    <w:spacing w:before="0" w:after="283"/>
                                    <w:jc w:val="left"/>
                                    <w:rPr>
                                      <w:b/>
                                      <w:color w:val="296DC1"/>
                                      <w:sz w:val="15"/>
                                    </w:rPr>
                                  </w:pPr>
                                  <w:r>
                                    <w:rPr>
                                      <w:b/>
                                      <w:color w:val="296DC1"/>
                                      <w:sz w:val="15"/>
                                    </w:rPr>
                                    <w:t>CUSIP / ISIN:</w:t>
                                  </w:r>
                                </w:p>
                              </w:tc>
                              <w:tc>
                                <w:tcPr>
                                  <w:tcW w:w="3830" w:type="dxa"/>
                                  <w:tcBorders/>
                                  <w:shd w:fill="DCEBF0" w:val="clear"/>
                                  <w:vAlign w:val="center"/>
                                </w:tcPr>
                                <w:p>
                                  <w:pPr>
                                    <w:pStyle w:val="TableContents"/>
                                    <w:bidi w:val="0"/>
                                    <w:spacing w:before="0" w:after="283"/>
                                    <w:jc w:val="left"/>
                                    <w:rPr>
                                      <w:sz w:val="15"/>
                                    </w:rPr>
                                  </w:pPr>
                                  <w:r>
                                    <w:rPr>
                                      <w:sz w:val="15"/>
                                    </w:rPr>
                                    <w:t>46661QQ24 / US46661QQ247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98.7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026"/>
                        <w:gridCol w:w="917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026" w:type="dxa"/>
                            <w:tcBorders/>
                            <w:shd w:fill="FFFFFF"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Issuer: </w:t>
                            </w:r>
                          </w:p>
                        </w:tc>
                        <w:tc>
                          <w:tcPr>
                            <w:tcW w:w="9179"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026"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Guarantor:</w:t>
                            </w:r>
                          </w:p>
                        </w:tc>
                        <w:tc>
                          <w:tcPr>
                            <w:tcW w:w="9179" w:type="dxa"/>
                            <w:tcBorders/>
                            <w:shd w:fill="DCEBF4" w:val="clear"/>
                            <w:vAlign w:val="center"/>
                          </w:tcPr>
                          <w:p>
                            <w:pPr>
                              <w:pStyle w:val="TableContents"/>
                              <w:bidi w:val="0"/>
                              <w:spacing w:before="0" w:after="283"/>
                              <w:jc w:val="left"/>
                              <w:rPr>
                                <w:sz w:val="15"/>
                              </w:rPr>
                            </w:pPr>
                            <w:r>
                              <w:rPr>
                                <w:sz w:val="15"/>
                              </w:rPr>
                              <w:t>JPMorgan Chase &amp; Co.</w:t>
                            </w:r>
                          </w:p>
                        </w:tc>
                      </w:tr>
                      <w:tr>
                        <w:trPr/>
                        <w:tc>
                          <w:tcPr>
                            <w:tcW w:w="1026"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Underlying index: </w:t>
                            </w:r>
                          </w:p>
                        </w:tc>
                        <w:tc>
                          <w:tcPr>
                            <w:tcW w:w="9179" w:type="dxa"/>
                            <w:tcBorders/>
                            <w:vAlign w:val="center"/>
                          </w:tcPr>
                          <w:p>
                            <w:pPr>
                              <w:pStyle w:val="TableContents"/>
                              <w:bidi w:val="0"/>
                              <w:spacing w:before="0" w:after="283"/>
                              <w:jc w:val="left"/>
                              <w:rPr>
                                <w:sz w:val="15"/>
                                <w:shd w:fill="FFFFFF" w:val="clear"/>
                              </w:rPr>
                            </w:pPr>
                            <w:r>
                              <w:rPr>
                                <w:sz w:val="15"/>
                                <w:shd w:fill="FFFFFF" w:val="clear"/>
                              </w:rPr>
                              <w:t>S&amp;P 500</w:t>
                            </w:r>
                            <w:r>
                              <w:rPr>
                                <w:position w:val="5"/>
                                <w:sz w:val="12"/>
                                <w:sz w:val="15"/>
                                <w:shd w:fill="FFFFFF" w:val="clear"/>
                              </w:rPr>
                              <w:t>®</w:t>
                            </w:r>
                            <w:r>
                              <w:rPr>
                                <w:sz w:val="15"/>
                                <w:shd w:fill="FFFFFF" w:val="clear"/>
                              </w:rPr>
                              <w:t xml:space="preserve"> Value Index (Bloomberg ticker: SVX Index)</w:t>
                            </w:r>
                          </w:p>
                        </w:tc>
                      </w:tr>
                      <w:tr>
                        <w:trPr/>
                        <w:tc>
                          <w:tcPr>
                            <w:tcW w:w="1026"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Early redemption: </w:t>
                            </w:r>
                          </w:p>
                        </w:tc>
                        <w:tc>
                          <w:tcPr>
                            <w:tcW w:w="9179" w:type="dxa"/>
                            <w:tcBorders/>
                            <w:shd w:fill="DCEBF4" w:val="clear"/>
                            <w:vAlign w:val="center"/>
                          </w:tcPr>
                          <w:p>
                            <w:pPr>
                              <w:pStyle w:val="TableContents"/>
                              <w:bidi w:val="0"/>
                              <w:spacing w:before="0" w:after="283"/>
                              <w:jc w:val="left"/>
                              <w:rPr>
                                <w:sz w:val="15"/>
                              </w:rPr>
                            </w:pPr>
                            <w:r>
                              <w:rPr>
                                <w:sz w:val="15"/>
                              </w:rPr>
                              <w:t xml:space="preserve">If, on the redemption observation date, the closing level of the underlying index is </w:t>
                            </w:r>
                            <w:r>
                              <w:rPr>
                                <w:b/>
                                <w:sz w:val="15"/>
                              </w:rPr>
                              <w:t>greater than or equal to</w:t>
                            </w:r>
                            <w:r>
                              <w:rPr>
                                <w:sz w:val="15"/>
                              </w:rPr>
                              <w:t xml:space="preserve"> the initial index value,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index value is greater than the initial index value.  Moreover, if the Trigger PLUS are automatically redeemed, your investment may underperform the underlying index, and the early redemption payment may be significantly less than the payment at maturity you would receive for the same level of appreciation of the underlying index had the Trigger PLUS not been automatically redeemed and instead remained outstanding until maturity</w:t>
                            </w:r>
                            <w:r>
                              <w:rPr>
                                <w:i/>
                                <w:sz w:val="15"/>
                              </w:rPr>
                              <w:t>.</w:t>
                            </w:r>
                          </w:p>
                        </w:tc>
                      </w:tr>
                      <w:tr>
                        <w:trPr/>
                        <w:tc>
                          <w:tcPr>
                            <w:tcW w:w="1026"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Early redemption payment:</w:t>
                            </w:r>
                          </w:p>
                        </w:tc>
                        <w:tc>
                          <w:tcPr>
                            <w:tcW w:w="9179" w:type="dxa"/>
                            <w:tcBorders/>
                            <w:vAlign w:val="center"/>
                          </w:tcPr>
                          <w:p>
                            <w:pPr>
                              <w:pStyle w:val="TableContents"/>
                              <w:bidi w:val="0"/>
                              <w:spacing w:before="0" w:after="283"/>
                              <w:jc w:val="left"/>
                              <w:rPr>
                                <w:sz w:val="15"/>
                              </w:rPr>
                            </w:pPr>
                            <w:r>
                              <w:rPr>
                                <w:sz w:val="15"/>
                              </w:rPr>
                              <w:t>At least $1,092.00 per Trigger PLUS. The actual early redemption payment will be provided in the pricing supplement and will not be less than $1,092.00 per Trigger PLUS.</w:t>
                            </w:r>
                          </w:p>
                        </w:tc>
                      </w:tr>
                    </w:tbl>
                    <w:tbl>
                      <w:tblPr>
                        <w:tblW w:w="10205" w:type="dxa"/>
                        <w:jc w:val="left"/>
                        <w:tblInd w:w="0" w:type="dxa"/>
                        <w:tblLayout w:type="fixed"/>
                        <w:tblCellMar>
                          <w:top w:w="0" w:type="dxa"/>
                          <w:left w:w="0" w:type="dxa"/>
                          <w:bottom w:w="0" w:type="dxa"/>
                          <w:right w:w="0" w:type="dxa"/>
                        </w:tblCellMar>
                      </w:tblPr>
                      <w:tblGrid>
                        <w:gridCol w:w="1273"/>
                        <w:gridCol w:w="8932"/>
                      </w:tblGrid>
                      <w:tr>
                        <w:trPr/>
                        <w:tc>
                          <w:tcPr>
                            <w:tcW w:w="1273"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Payment at maturity:</w:t>
                            </w:r>
                          </w:p>
                        </w:tc>
                        <w:tc>
                          <w:tcPr>
                            <w:tcW w:w="8932" w:type="dxa"/>
                            <w:tcBorders/>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40" w:after="40"/>
                              <w:ind w:left="720" w:right="4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index value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index value, for each $1,000 stated principal amount Trigger PLUS: $1,000 + leveraged upside payment</w:t>
                            </w:r>
                          </w:p>
                          <w:p>
                            <w:pPr>
                              <w:pStyle w:val="TableContents"/>
                              <w:bidi w:val="0"/>
                              <w:spacing w:before="40" w:after="40"/>
                              <w:ind w:left="720" w:right="4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index value is </w:t>
                            </w:r>
                            <w:r>
                              <w:rPr>
                                <w:rFonts w:ascii="Arial;Helvetica;Sans-Serif" w:hAnsi="Arial;Helvetica;Sans-Serif"/>
                                <w:b w:val="false"/>
                                <w:i/>
                                <w:caps w:val="false"/>
                                <w:smallCaps w:val="false"/>
                                <w:sz w:val="15"/>
                              </w:rPr>
                              <w:t xml:space="preserve">less than or equal to </w:t>
                            </w:r>
                            <w:r>
                              <w:rPr>
                                <w:rFonts w:ascii="Arial;Helvetica;Sans-Serif" w:hAnsi="Arial;Helvetica;Sans-Serif"/>
                                <w:b w:val="false"/>
                                <w:i w:val="false"/>
                                <w:caps w:val="false"/>
                                <w:smallCaps w:val="false"/>
                                <w:sz w:val="15"/>
                              </w:rPr>
                              <w:t xml:space="preserve">the initial index value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w:t>
                            </w:r>
                          </w:p>
                          <w:p>
                            <w:pPr>
                              <w:pStyle w:val="TableContents"/>
                              <w:bidi w:val="0"/>
                              <w:spacing w:before="40" w:after="40"/>
                              <w:ind w:left="720" w:right="4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index value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index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10%, and possibly all, of your investment.</w:t>
                            </w:r>
                          </w:p>
                        </w:tc>
                      </w:tr>
                    </w:tbl>
                    <w:tbl>
                      <w:tblPr>
                        <w:tblW w:w="6610" w:type="dxa"/>
                        <w:jc w:val="left"/>
                        <w:tblInd w:w="0" w:type="dxa"/>
                        <w:tblLayout w:type="fixed"/>
                        <w:tblCellMar>
                          <w:top w:w="0" w:type="dxa"/>
                          <w:left w:w="0" w:type="dxa"/>
                          <w:bottom w:w="0" w:type="dxa"/>
                          <w:right w:w="0" w:type="dxa"/>
                        </w:tblCellMar>
                      </w:tblPr>
                      <w:tblGrid>
                        <w:gridCol w:w="2780"/>
                        <w:gridCol w:w="3830"/>
                      </w:tblGrid>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Leveraged upside payment:</w:t>
                            </w:r>
                          </w:p>
                        </w:tc>
                        <w:tc>
                          <w:tcPr>
                            <w:tcW w:w="3830" w:type="dxa"/>
                            <w:tcBorders/>
                            <w:vAlign w:val="center"/>
                          </w:tcPr>
                          <w:p>
                            <w:pPr>
                              <w:pStyle w:val="TableContents"/>
                              <w:bidi w:val="0"/>
                              <w:spacing w:before="0" w:after="283"/>
                              <w:jc w:val="left"/>
                              <w:rPr>
                                <w:sz w:val="15"/>
                              </w:rPr>
                            </w:pPr>
                            <w:r>
                              <w:rPr>
                                <w:sz w:val="15"/>
                              </w:rPr>
                              <w:t>$1,000 × leverage factor × index percent increase</w:t>
                            </w:r>
                          </w:p>
                        </w:tc>
                      </w:tr>
                      <w:tr>
                        <w:trPr/>
                        <w:tc>
                          <w:tcPr>
                            <w:tcW w:w="2780"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percent increase:</w:t>
                            </w:r>
                          </w:p>
                        </w:tc>
                        <w:tc>
                          <w:tcPr>
                            <w:tcW w:w="3830" w:type="dxa"/>
                            <w:tcBorders/>
                            <w:shd w:fill="DCEBF4" w:val="clear"/>
                            <w:vAlign w:val="center"/>
                          </w:tcPr>
                          <w:p>
                            <w:pPr>
                              <w:pStyle w:val="TableContents"/>
                              <w:bidi w:val="0"/>
                              <w:spacing w:before="0" w:after="283"/>
                              <w:jc w:val="left"/>
                              <w:rPr>
                                <w:sz w:val="15"/>
                              </w:rPr>
                            </w:pPr>
                            <w:r>
                              <w:rPr>
                                <w:sz w:val="15"/>
                              </w:rPr>
                              <w:t>(final index value – initial index value) / initial index value</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Initial index value: </w:t>
                            </w:r>
                          </w:p>
                        </w:tc>
                        <w:tc>
                          <w:tcPr>
                            <w:tcW w:w="3830" w:type="dxa"/>
                            <w:tcBorders/>
                            <w:vAlign w:val="center"/>
                          </w:tcPr>
                          <w:p>
                            <w:pPr>
                              <w:pStyle w:val="TableContents"/>
                              <w:bidi w:val="0"/>
                              <w:spacing w:before="0" w:after="283"/>
                              <w:jc w:val="left"/>
                              <w:rPr>
                                <w:sz w:val="15"/>
                              </w:rPr>
                            </w:pPr>
                            <w:r>
                              <w:rPr>
                                <w:sz w:val="15"/>
                              </w:rPr>
                              <w:t>The closing level of the underlying index on the pricing date</w:t>
                            </w:r>
                          </w:p>
                        </w:tc>
                      </w:tr>
                      <w:tr>
                        <w:trPr/>
                        <w:tc>
                          <w:tcPr>
                            <w:tcW w:w="2780"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Final index value: </w:t>
                            </w:r>
                          </w:p>
                        </w:tc>
                        <w:tc>
                          <w:tcPr>
                            <w:tcW w:w="3830" w:type="dxa"/>
                            <w:tcBorders/>
                            <w:shd w:fill="DCEBF4" w:val="clear"/>
                            <w:vAlign w:val="center"/>
                          </w:tcPr>
                          <w:p>
                            <w:pPr>
                              <w:pStyle w:val="TableContents"/>
                              <w:bidi w:val="0"/>
                              <w:spacing w:before="0" w:after="283"/>
                              <w:jc w:val="left"/>
                              <w:rPr>
                                <w:sz w:val="15"/>
                              </w:rPr>
                            </w:pPr>
                            <w:r>
                              <w:rPr>
                                <w:sz w:val="15"/>
                              </w:rPr>
                              <w:t>The closing level of the underlying index on the valuation date</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Trigger level:</w:t>
                            </w:r>
                          </w:p>
                        </w:tc>
                        <w:tc>
                          <w:tcPr>
                            <w:tcW w:w="3830" w:type="dxa"/>
                            <w:tcBorders/>
                            <w:vAlign w:val="center"/>
                          </w:tcPr>
                          <w:p>
                            <w:pPr>
                              <w:pStyle w:val="TableContents"/>
                              <w:bidi w:val="0"/>
                              <w:spacing w:before="0" w:after="283"/>
                              <w:jc w:val="left"/>
                              <w:rPr>
                                <w:sz w:val="15"/>
                              </w:rPr>
                            </w:pPr>
                            <w:r>
                              <w:rPr>
                                <w:sz w:val="15"/>
                              </w:rPr>
                              <w:t>90% of the initial index value</w:t>
                            </w:r>
                          </w:p>
                        </w:tc>
                      </w:tr>
                      <w:tr>
                        <w:trPr/>
                        <w:tc>
                          <w:tcPr>
                            <w:tcW w:w="2780"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Leverage factor: </w:t>
                            </w:r>
                          </w:p>
                        </w:tc>
                        <w:tc>
                          <w:tcPr>
                            <w:tcW w:w="3830" w:type="dxa"/>
                            <w:tcBorders/>
                            <w:shd w:fill="DCEBF4" w:val="clear"/>
                            <w:vAlign w:val="center"/>
                          </w:tcPr>
                          <w:p>
                            <w:pPr>
                              <w:pStyle w:val="TableContents"/>
                              <w:bidi w:val="0"/>
                              <w:spacing w:before="0" w:after="283"/>
                              <w:jc w:val="left"/>
                              <w:rPr>
                                <w:sz w:val="15"/>
                              </w:rPr>
                            </w:pPr>
                            <w:r>
                              <w:rPr>
                                <w:sz w:val="15"/>
                              </w:rPr>
                              <w:t xml:space="preserve">125% </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performance factor:</w:t>
                            </w:r>
                          </w:p>
                        </w:tc>
                        <w:tc>
                          <w:tcPr>
                            <w:tcW w:w="3830" w:type="dxa"/>
                            <w:tcBorders/>
                            <w:vAlign w:val="center"/>
                          </w:tcPr>
                          <w:p>
                            <w:pPr>
                              <w:pStyle w:val="TableContents"/>
                              <w:bidi w:val="0"/>
                              <w:spacing w:before="0" w:after="283"/>
                              <w:jc w:val="left"/>
                              <w:rPr>
                                <w:sz w:val="15"/>
                              </w:rPr>
                            </w:pPr>
                            <w:r>
                              <w:rPr>
                                <w:sz w:val="15"/>
                              </w:rPr>
                              <w:t>final index value / initial index value</w:t>
                            </w:r>
                          </w:p>
                        </w:tc>
                      </w:tr>
                      <w:tr>
                        <w:trPr/>
                        <w:tc>
                          <w:tcPr>
                            <w:tcW w:w="278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Stated principal amount:</w:t>
                            </w:r>
                          </w:p>
                        </w:tc>
                        <w:tc>
                          <w:tcPr>
                            <w:tcW w:w="3830" w:type="dxa"/>
                            <w:tcBorders/>
                            <w:shd w:fill="DCEBF0" w:val="clear"/>
                            <w:vAlign w:val="center"/>
                          </w:tcPr>
                          <w:p>
                            <w:pPr>
                              <w:pStyle w:val="TableContents"/>
                              <w:bidi w:val="0"/>
                              <w:spacing w:before="0" w:after="283"/>
                              <w:jc w:val="left"/>
                              <w:rPr>
                                <w:sz w:val="15"/>
                              </w:rPr>
                            </w:pPr>
                            <w:r>
                              <w:rPr>
                                <w:sz w:val="15"/>
                              </w:rPr>
                              <w:t>$1,000 per Trigger PLUS</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Issue price:</w:t>
                            </w:r>
                          </w:p>
                        </w:tc>
                        <w:tc>
                          <w:tcPr>
                            <w:tcW w:w="3830" w:type="dxa"/>
                            <w:tcBorders/>
                            <w:vAlign w:val="center"/>
                          </w:tcPr>
                          <w:p>
                            <w:pPr>
                              <w:pStyle w:val="TableContents"/>
                              <w:bidi w:val="0"/>
                              <w:spacing w:before="0" w:after="283"/>
                              <w:jc w:val="left"/>
                              <w:rPr>
                                <w:sz w:val="15"/>
                              </w:rPr>
                            </w:pPr>
                            <w:r>
                              <w:rPr>
                                <w:sz w:val="15"/>
                              </w:rPr>
                              <w:t>$1,000 per Trigger PLUS</w:t>
                            </w:r>
                          </w:p>
                        </w:tc>
                      </w:tr>
                      <w:tr>
                        <w:trPr/>
                        <w:tc>
                          <w:tcPr>
                            <w:tcW w:w="278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Pricing date:</w:t>
                            </w:r>
                          </w:p>
                        </w:tc>
                        <w:tc>
                          <w:tcPr>
                            <w:tcW w:w="3830" w:type="dxa"/>
                            <w:tcBorders/>
                            <w:shd w:fill="DCEBF0" w:val="clear"/>
                            <w:vAlign w:val="center"/>
                          </w:tcPr>
                          <w:p>
                            <w:pPr>
                              <w:pStyle w:val="TableContents"/>
                              <w:bidi w:val="0"/>
                              <w:spacing w:before="0" w:after="283"/>
                              <w:jc w:val="left"/>
                              <w:rPr>
                                <w:sz w:val="15"/>
                              </w:rPr>
                            </w:pPr>
                            <w:r>
                              <w:rPr>
                                <w:sz w:val="15"/>
                              </w:rPr>
                              <w:t>Expected to be October 30, 2026</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Original issue date (settlement date): </w:t>
                            </w:r>
                          </w:p>
                        </w:tc>
                        <w:tc>
                          <w:tcPr>
                            <w:tcW w:w="3830" w:type="dxa"/>
                            <w:tcBorders/>
                            <w:vAlign w:val="center"/>
                          </w:tcPr>
                          <w:p>
                            <w:pPr>
                              <w:pStyle w:val="TableContents"/>
                              <w:bidi w:val="0"/>
                              <w:spacing w:before="0" w:after="283"/>
                              <w:jc w:val="left"/>
                              <w:rPr>
                                <w:sz w:val="15"/>
                              </w:rPr>
                            </w:pPr>
                            <w:r>
                              <w:rPr>
                                <w:sz w:val="15"/>
                              </w:rPr>
                              <w:t>3 business days after the pricing date</w:t>
                            </w:r>
                          </w:p>
                        </w:tc>
                      </w:tr>
                      <w:tr>
                        <w:trPr/>
                        <w:tc>
                          <w:tcPr>
                            <w:tcW w:w="2780" w:type="dxa"/>
                            <w:tcBorders/>
                            <w:shd w:fill="D3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observation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3830" w:type="dxa"/>
                            <w:tcBorders/>
                            <w:shd w:fill="D3EAF6" w:val="clear"/>
                            <w:vAlign w:val="center"/>
                          </w:tcPr>
                          <w:p>
                            <w:pPr>
                              <w:pStyle w:val="TableContents"/>
                              <w:bidi w:val="0"/>
                              <w:spacing w:before="0" w:after="283"/>
                              <w:jc w:val="left"/>
                              <w:rPr>
                                <w:sz w:val="15"/>
                              </w:rPr>
                            </w:pPr>
                            <w:r>
                              <w:rPr>
                                <w:sz w:val="15"/>
                              </w:rPr>
                              <w:t>November 8, 2027</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3830" w:type="dxa"/>
                            <w:tcBorders/>
                            <w:vAlign w:val="center"/>
                          </w:tcPr>
                          <w:p>
                            <w:pPr>
                              <w:pStyle w:val="TableContents"/>
                              <w:bidi w:val="0"/>
                              <w:spacing w:before="0" w:after="283"/>
                              <w:jc w:val="left"/>
                              <w:rPr>
                                <w:sz w:val="15"/>
                              </w:rPr>
                            </w:pPr>
                            <w:r>
                              <w:rPr>
                                <w:sz w:val="15"/>
                              </w:rPr>
                              <w:t>November 12, 2027</w:t>
                            </w:r>
                          </w:p>
                        </w:tc>
                      </w:tr>
                      <w:tr>
                        <w:trPr/>
                        <w:tc>
                          <w:tcPr>
                            <w:tcW w:w="278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Valuation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3830" w:type="dxa"/>
                            <w:tcBorders/>
                            <w:shd w:fill="DCEBF0" w:val="clear"/>
                            <w:vAlign w:val="center"/>
                          </w:tcPr>
                          <w:p>
                            <w:pPr>
                              <w:pStyle w:val="TableContents"/>
                              <w:bidi w:val="0"/>
                              <w:spacing w:before="0" w:after="283"/>
                              <w:jc w:val="left"/>
                              <w:rPr>
                                <w:sz w:val="15"/>
                              </w:rPr>
                            </w:pPr>
                            <w:r>
                              <w:rPr>
                                <w:sz w:val="15"/>
                              </w:rPr>
                              <w:t>October 30, 2029</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Maturity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3830" w:type="dxa"/>
                            <w:tcBorders/>
                            <w:vAlign w:val="center"/>
                          </w:tcPr>
                          <w:p>
                            <w:pPr>
                              <w:pStyle w:val="TableContents"/>
                              <w:bidi w:val="0"/>
                              <w:spacing w:before="0" w:after="283"/>
                              <w:jc w:val="left"/>
                              <w:rPr>
                                <w:sz w:val="15"/>
                              </w:rPr>
                            </w:pPr>
                            <w:r>
                              <w:rPr>
                                <w:sz w:val="15"/>
                              </w:rPr>
                              <w:t>November 2, 2029</w:t>
                            </w:r>
                          </w:p>
                        </w:tc>
                      </w:tr>
                      <w:tr>
                        <w:trPr/>
                        <w:tc>
                          <w:tcPr>
                            <w:tcW w:w="2780" w:type="dxa"/>
                            <w:tcBorders/>
                            <w:shd w:fill="DCEBF0" w:val="clear"/>
                            <w:vAlign w:val="center"/>
                          </w:tcPr>
                          <w:p>
                            <w:pPr>
                              <w:pStyle w:val="TableContents"/>
                              <w:bidi w:val="0"/>
                              <w:spacing w:before="0" w:after="283"/>
                              <w:jc w:val="left"/>
                              <w:rPr>
                                <w:b/>
                                <w:color w:val="296DC1"/>
                                <w:sz w:val="15"/>
                              </w:rPr>
                            </w:pPr>
                            <w:r>
                              <w:rPr>
                                <w:b/>
                                <w:color w:val="296DC1"/>
                                <w:sz w:val="15"/>
                              </w:rPr>
                              <w:t>CUSIP / ISIN:</w:t>
                            </w:r>
                          </w:p>
                        </w:tc>
                        <w:tc>
                          <w:tcPr>
                            <w:tcW w:w="3830" w:type="dxa"/>
                            <w:tcBorders/>
                            <w:shd w:fill="DCEBF0" w:val="clear"/>
                            <w:vAlign w:val="center"/>
                          </w:tcPr>
                          <w:p>
                            <w:pPr>
                              <w:pStyle w:val="TableContents"/>
                              <w:bidi w:val="0"/>
                              <w:spacing w:before="0" w:after="283"/>
                              <w:jc w:val="left"/>
                              <w:rPr>
                                <w:sz w:val="15"/>
                              </w:rPr>
                            </w:pPr>
                            <w:r>
                              <w:rPr>
                                <w:sz w:val="15"/>
                              </w:rPr>
                              <w:t>46661QQ24 / US46661QQ247</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7195" w:type="dxa"/>
                              <w:jc w:val="left"/>
                              <w:tblInd w:w="0" w:type="dxa"/>
                              <w:tblLayout w:type="fixed"/>
                              <w:tblCellMar>
                                <w:top w:w="0" w:type="dxa"/>
                                <w:left w:w="0" w:type="dxa"/>
                                <w:bottom w:w="0" w:type="dxa"/>
                                <w:right w:w="0" w:type="dxa"/>
                              </w:tblCellMar>
                            </w:tblPr>
                            <w:tblGrid>
                              <w:gridCol w:w="2195"/>
                              <w:gridCol w:w="5000"/>
                            </w:tblGrid>
                            <w:tr>
                              <w:trPr/>
                              <w:tc>
                                <w:tcPr>
                                  <w:tcW w:w="2195" w:type="dxa"/>
                                  <w:tcBorders/>
                                  <w:vAlign w:val="center"/>
                                </w:tcPr>
                                <w:p>
                                  <w:pPr>
                                    <w:pStyle w:val="TableContents"/>
                                    <w:bidi w:val="0"/>
                                    <w:spacing w:before="0" w:after="283"/>
                                    <w:jc w:val="left"/>
                                    <w:rPr>
                                      <w:b/>
                                      <w:color w:val="296DC1"/>
                                      <w:sz w:val="15"/>
                                    </w:rPr>
                                  </w:pPr>
                                  <w:r>
                                    <w:rPr>
                                      <w:b/>
                                      <w:color w:val="296DC1"/>
                                      <w:sz w:val="15"/>
                                    </w:rPr>
                                    <w:t xml:space="preserve">Preliminary pricing supplement: </w:t>
                                  </w:r>
                                </w:p>
                              </w:tc>
                              <w:tc>
                                <w:tcPr>
                                  <w:tcW w:w="5000" w:type="dxa"/>
                                  <w:tcBorders/>
                                  <w:vAlign w:val="center"/>
                                </w:tcPr>
                                <w:p>
                                  <w:pPr>
                                    <w:pStyle w:val="TableContents"/>
                                    <w:bidi w:val="0"/>
                                    <w:spacing w:before="0" w:after="283"/>
                                    <w:jc w:val="left"/>
                                    <w:rPr/>
                                  </w:pPr>
                                  <w:hyperlink r:id="rId2">
                                    <w:r>
                                      <w:rPr>
                                        <w:rStyle w:val="InternetLink"/>
                                        <w:sz w:val="16"/>
                                      </w:rPr>
                                      <w:t>http://www.sec.gov/Archives/edgar/data/19617/000121390026111798/</w:t>
                                      <w:br/>
                                      <w:t>ea0309452-01_424b2.htm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5"/>
                              </w:rPr>
                              <w:t>Subject to postponement</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Any payment on the Trigger PLUS is subject to the credit risk of JPMorgan Financial, as issuer of the Trigger PLUS, and the credit risk of JPMorgan Chase &amp; Co., as guarantor of the Trigger PLUS.</w:t>
                            </w:r>
                          </w:p>
                          <w:tbl>
                            <w:tblPr>
                              <w:tblW w:w="5730" w:type="dxa"/>
                              <w:jc w:val="left"/>
                              <w:tblInd w:w="0" w:type="dxa"/>
                              <w:tblLayout w:type="fixed"/>
                              <w:tblCellMar>
                                <w:top w:w="0" w:type="dxa"/>
                                <w:left w:w="0" w:type="dxa"/>
                                <w:bottom w:w="0" w:type="dxa"/>
                                <w:right w:w="0" w:type="dxa"/>
                              </w:tblCellMar>
                            </w:tblPr>
                            <w:tblGrid>
                              <w:gridCol w:w="5730"/>
                            </w:tblGrid>
                            <w:tr>
                              <w:trPr/>
                              <w:tc>
                                <w:tcPr>
                                  <w:tcW w:w="5730"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Auto-Callable Trigger PLUS Payoff Diagram*</w:t>
                                  </w:r>
                                </w:p>
                              </w:tc>
                            </w:tr>
                            <w:tr>
                              <w:trPr/>
                              <w:tc>
                                <w:tcPr>
                                  <w:tcW w:w="5730" w:type="dxa"/>
                                  <w:tcBorders/>
                                  <w:vAlign w:val="center"/>
                                </w:tcPr>
                                <w:p>
                                  <w:pPr>
                                    <w:pStyle w:val="TableContents"/>
                                    <w:bidi w:val="0"/>
                                    <w:spacing w:before="0" w:after="283"/>
                                    <w:jc w:val="center"/>
                                    <w:rPr/>
                                  </w:pPr>
                                  <w:r>
                                    <w:rPr/>
                                    <w:drawing>
                                      <wp:inline distT="0" distB="0" distL="0" distR="0">
                                        <wp:extent cx="3619500" cy="22764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3619500" cy="2276475"/>
                                                </a:xfrm>
                                                <a:prstGeom prst="rect">
                                                  <a:avLst/>
                                                </a:prstGeom>
                                              </pic:spPr>
                                            </pic:pic>
                                          </a:graphicData>
                                        </a:graphic>
                                      </wp:inline>
                                    </w:drawing>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5260" w:type="dxa"/>
                              <w:jc w:val="left"/>
                              <w:tblInd w:w="0" w:type="dxa"/>
                              <w:tblLayout w:type="fixed"/>
                              <w:tblCellMar>
                                <w:top w:w="0" w:type="dxa"/>
                                <w:left w:w="0" w:type="dxa"/>
                                <w:bottom w:w="0" w:type="dxa"/>
                                <w:right w:w="0" w:type="dxa"/>
                              </w:tblCellMar>
                            </w:tblPr>
                            <w:tblGrid>
                              <w:gridCol w:w="2975"/>
                              <w:gridCol w:w="2285"/>
                            </w:tblGrid>
                            <w:tr>
                              <w:trPr/>
                              <w:tc>
                                <w:tcPr>
                                  <w:tcW w:w="297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Index</w:t>
                                  </w:r>
                                </w:p>
                              </w:tc>
                              <w:tc>
                                <w:tcPr>
                                  <w:tcW w:w="228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62.50%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37.50%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12.50%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6.25%</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1.25%</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-10.01%</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-10.01%</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2975"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*If no automatic early redemption occurs</w:t>
                                  </w:r>
                                </w:p>
                              </w:tc>
                              <w:tc>
                                <w:tcPr>
                                  <w:tcW w:w="2285" w:type="dxa"/>
                                  <w:tcBorders/>
                                  <w:shd w:fill="FFFFFF" w:val="clear"/>
                                  <w:vAlign w:val="center"/>
                                </w:tcPr>
                                <w:p>
                                  <w:pPr>
                                    <w:pStyle w:val="TableContents"/>
                                    <w:bidi w:val="0"/>
                                    <w:spacing w:before="0" w:after="283"/>
                                    <w:jc w:val="center"/>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7195" w:type="dxa"/>
                        <w:jc w:val="left"/>
                        <w:tblInd w:w="0" w:type="dxa"/>
                        <w:tblLayout w:type="fixed"/>
                        <w:tblCellMar>
                          <w:top w:w="0" w:type="dxa"/>
                          <w:left w:w="0" w:type="dxa"/>
                          <w:bottom w:w="0" w:type="dxa"/>
                          <w:right w:w="0" w:type="dxa"/>
                        </w:tblCellMar>
                      </w:tblPr>
                      <w:tblGrid>
                        <w:gridCol w:w="2195"/>
                        <w:gridCol w:w="5000"/>
                      </w:tblGrid>
                      <w:tr>
                        <w:trPr/>
                        <w:tc>
                          <w:tcPr>
                            <w:tcW w:w="2195" w:type="dxa"/>
                            <w:tcBorders/>
                            <w:vAlign w:val="center"/>
                          </w:tcPr>
                          <w:p>
                            <w:pPr>
                              <w:pStyle w:val="TableContents"/>
                              <w:bidi w:val="0"/>
                              <w:spacing w:before="0" w:after="283"/>
                              <w:jc w:val="left"/>
                              <w:rPr>
                                <w:b/>
                                <w:color w:val="296DC1"/>
                                <w:sz w:val="15"/>
                              </w:rPr>
                            </w:pPr>
                            <w:r>
                              <w:rPr>
                                <w:b/>
                                <w:color w:val="296DC1"/>
                                <w:sz w:val="15"/>
                              </w:rPr>
                              <w:t xml:space="preserve">Preliminary pricing supplement: </w:t>
                            </w:r>
                          </w:p>
                        </w:tc>
                        <w:tc>
                          <w:tcPr>
                            <w:tcW w:w="5000" w:type="dxa"/>
                            <w:tcBorders/>
                            <w:vAlign w:val="center"/>
                          </w:tcPr>
                          <w:p>
                            <w:pPr>
                              <w:pStyle w:val="TableContents"/>
                              <w:bidi w:val="0"/>
                              <w:spacing w:before="0" w:after="283"/>
                              <w:jc w:val="left"/>
                              <w:rPr/>
                            </w:pPr>
                            <w:hyperlink r:id="rId4">
                              <w:r>
                                <w:rPr>
                                  <w:rStyle w:val="InternetLink"/>
                                  <w:sz w:val="16"/>
                                </w:rPr>
                                <w:t>http://www.sec.gov/Archives/edgar/data/19617/000121390026111798/</w:t>
                                <w:br/>
                                <w:t>ea0309452-01_424b2.htm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5"/>
                        </w:rPr>
                        <w:t>Subject to postponement</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Any payment on the Trigger PLUS is subject to the credit risk of JPMorgan Financial, as issuer of the Trigger PLUS, and the credit risk of JPMorgan Chase &amp; Co., as guarantor of the Trigger PLUS.</w:t>
                      </w:r>
                    </w:p>
                    <w:tbl>
                      <w:tblPr>
                        <w:tblW w:w="5730" w:type="dxa"/>
                        <w:jc w:val="left"/>
                        <w:tblInd w:w="0" w:type="dxa"/>
                        <w:tblLayout w:type="fixed"/>
                        <w:tblCellMar>
                          <w:top w:w="0" w:type="dxa"/>
                          <w:left w:w="0" w:type="dxa"/>
                          <w:bottom w:w="0" w:type="dxa"/>
                          <w:right w:w="0" w:type="dxa"/>
                        </w:tblCellMar>
                      </w:tblPr>
                      <w:tblGrid>
                        <w:gridCol w:w="5730"/>
                      </w:tblGrid>
                      <w:tr>
                        <w:trPr/>
                        <w:tc>
                          <w:tcPr>
                            <w:tcW w:w="5730"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Auto-Callable Trigger PLUS Payoff Diagram*</w:t>
                            </w:r>
                          </w:p>
                        </w:tc>
                      </w:tr>
                      <w:tr>
                        <w:trPr/>
                        <w:tc>
                          <w:tcPr>
                            <w:tcW w:w="5730" w:type="dxa"/>
                            <w:tcBorders/>
                            <w:vAlign w:val="center"/>
                          </w:tcPr>
                          <w:p>
                            <w:pPr>
                              <w:pStyle w:val="TableContents"/>
                              <w:bidi w:val="0"/>
                              <w:spacing w:before="0" w:after="283"/>
                              <w:jc w:val="center"/>
                              <w:rPr/>
                            </w:pPr>
                            <w:r>
                              <w:rPr/>
                              <w:drawing>
                                <wp:inline distT="0" distB="0" distL="0" distR="0">
                                  <wp:extent cx="3619500" cy="22764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3619500" cy="2276475"/>
                                          </a:xfrm>
                                          <a:prstGeom prst="rect">
                                            <a:avLst/>
                                          </a:prstGeom>
                                        </pic:spPr>
                                      </pic:pic>
                                    </a:graphicData>
                                  </a:graphic>
                                </wp:inline>
                              </w:drawing>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5260" w:type="dxa"/>
                        <w:jc w:val="left"/>
                        <w:tblInd w:w="0" w:type="dxa"/>
                        <w:tblLayout w:type="fixed"/>
                        <w:tblCellMar>
                          <w:top w:w="0" w:type="dxa"/>
                          <w:left w:w="0" w:type="dxa"/>
                          <w:bottom w:w="0" w:type="dxa"/>
                          <w:right w:w="0" w:type="dxa"/>
                        </w:tblCellMar>
                      </w:tblPr>
                      <w:tblGrid>
                        <w:gridCol w:w="2975"/>
                        <w:gridCol w:w="2285"/>
                      </w:tblGrid>
                      <w:tr>
                        <w:trPr/>
                        <w:tc>
                          <w:tcPr>
                            <w:tcW w:w="297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Index</w:t>
                            </w:r>
                          </w:p>
                        </w:tc>
                        <w:tc>
                          <w:tcPr>
                            <w:tcW w:w="228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62.50%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37.50%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12.50%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6.25%</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1.25%</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-10.01%</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-10.01%</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2975"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*If no automatic early redemption occurs</w:t>
                            </w:r>
                          </w:p>
                        </w:tc>
                        <w:tc>
                          <w:tcPr>
                            <w:tcW w:w="2285" w:type="dxa"/>
                            <w:tcBorders/>
                            <w:shd w:fill="FFFFFF" w:val="clear"/>
                            <w:vAlign w:val="center"/>
                          </w:tcPr>
                          <w:p>
                            <w:pPr>
                              <w:pStyle w:val="TableContents"/>
                              <w:bidi w:val="0"/>
                              <w:spacing w:before="0" w:after="283"/>
                              <w:jc w:val="center"/>
                              <w:rPr/>
                            </w:pPr>
                            <w:r>
                              <w:rPr/>
                              <w:t> </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3-Year SVX Auto-Callable Trigger PLUS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Index</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index,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Trigger PLUS Generally</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Trigger PLUS do not pay interest or, if the Trigger PLUS have not been automatically redeemed prior to maturity, guarantee the return of any principal and your investment in the Trigger PLUS may result in a loss.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If the Trigger PLUS are automatically redeemed prior to maturity, the appreciation potential of the Trigger PLUS is limited to the early redemption payment.</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Trigger PLUS are subject to the credit risks of JPMorgan Financial and JPMorgan Chase &amp; Co., and any actual or anticipated changes to our or JPMorgan Chase &amp; Co.’s credit ratings or credit spreads may adversely affect the market value of the Trigger PLUS.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85" w:type="dxa"/>
            <w:tcBorders/>
            <w:vAlign w:val="center"/>
          </w:tcPr>
          <w:p>
            <w:pPr>
              <w:pStyle w:val="TableContents"/>
              <w:bidi w:val="0"/>
              <w:spacing w:before="0" w:after="283"/>
              <w:jc w:val="left"/>
              <w:rPr>
                <w:sz w:val="18"/>
              </w:rPr>
            </w:pPr>
            <w:r>
              <w:rPr>
                <w:sz w:val="18"/>
              </w:rPr>
              <w:t>The final terms and estimated valuation of the Trigger PLUS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71"/>
        <w:gridCol w:w="234"/>
        <w:gridCol w:w="9900"/>
      </w:tblGrid>
      <w:tr>
        <w:trPr/>
        <w:tc>
          <w:tcPr>
            <w:tcW w:w="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0" w:type="dxa"/>
            <w:tcBorders/>
            <w:vAlign w:val="center"/>
          </w:tcPr>
          <w:p>
            <w:pPr>
              <w:pStyle w:val="TableContents"/>
              <w:bidi w:val="0"/>
              <w:spacing w:before="0" w:after="283"/>
              <w:jc w:val="left"/>
              <w:rPr>
                <w:sz w:val="18"/>
              </w:rPr>
            </w:pPr>
            <w:r>
              <w:rPr>
                <w:sz w:val="18"/>
              </w:rPr>
              <w:t>The tax consequences of an investment in the Trigger PLUS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Trigger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5"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Trigger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Trigger PLUS</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8"/>
              </w:rPr>
            </w:pPr>
            <w:r>
              <w:rPr>
                <w:sz w:val="18"/>
              </w:rPr>
              <w:t>The estimated value of the Trigger PLUS will be lower than the original issue price (price to public) of the 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34" w:type="dxa"/>
            <w:tcBorders/>
            <w:vAlign w:val="center"/>
          </w:tcPr>
          <w:p>
            <w:pPr>
              <w:pStyle w:val="TableContents"/>
              <w:bidi w:val="0"/>
              <w:spacing w:before="0" w:after="283"/>
              <w:jc w:val="left"/>
              <w:rPr>
                <w:sz w:val="18"/>
              </w:rPr>
            </w:pPr>
            <w:r>
              <w:rPr>
                <w:sz w:val="18"/>
              </w:rPr>
              <w:t>The estimated value of the Trigger PLUS does not represent future values of the Trigger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1"/>
        <w:gridCol w:w="170"/>
        <w:gridCol w:w="9984"/>
      </w:tblGrid>
      <w:tr>
        <w:trPr/>
        <w:tc>
          <w:tcPr>
            <w:tcW w:w="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4"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Trigger </w:t>
            </w:r>
            <w:r>
              <w:rPr>
                <w:rFonts w:ascii="Arial;Helvetica;Sans-Serif" w:hAnsi="Arial;Helvetica;Sans-Serif"/>
                <w:b w:val="false"/>
                <w:sz w:val="18"/>
              </w:rPr>
              <w:t>PLUS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Trigger </w:t>
            </w:r>
            <w:r>
              <w:rPr>
                <w:rFonts w:ascii="Arial;Helvetica;Sans-Serif" w:hAnsi="Arial;Helvetica;Sans-Serif"/>
                <w:b w:val="false"/>
                <w:sz w:val="18"/>
              </w:rPr>
              <w:t xml:space="preserve">PLUS as published by J.P. Morgan Securities LLC (and which may be reflected on customer account statements) may be higher than the then-current estimated value of the </w:t>
            </w:r>
            <w:r>
              <w:rPr>
                <w:sz w:val="18"/>
              </w:rPr>
              <w:t xml:space="preserve">Trigger </w:t>
            </w:r>
            <w:r>
              <w:rPr>
                <w:rFonts w:ascii="Arial;Helvetica;Sans-Serif" w:hAnsi="Arial;Helvetica;Sans-Serif"/>
                <w:b w:val="false"/>
                <w:sz w:val="18"/>
              </w:rPr>
              <w:t>PLUS for a limited time period.</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9" w:type="dxa"/>
            <w:tcBorders/>
            <w:vAlign w:val="center"/>
          </w:tcPr>
          <w:p>
            <w:pPr>
              <w:pStyle w:val="TableContents"/>
              <w:bidi w:val="0"/>
              <w:spacing w:before="0" w:after="283"/>
              <w:jc w:val="left"/>
              <w:rPr>
                <w:sz w:val="18"/>
              </w:rPr>
            </w:pPr>
            <w:r>
              <w:rPr>
                <w:sz w:val="18"/>
              </w:rPr>
              <w:t>Secondary market prices of the Trigger PLUS will likely be lower than the original issue price of the Trigger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Trigger </w:t>
            </w:r>
            <w:r>
              <w:rPr>
                <w:rFonts w:ascii="Arial;Helvetica;Sans-Serif" w:hAnsi="Arial;Helvetica;Sans-Serif"/>
                <w:b w:val="false"/>
                <w:sz w:val="18"/>
              </w:rPr>
              <w:t>PLUS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Index</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88"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JPMorgan Chase &amp; Co. is currently one of the companies that make up the underlying index</w:t>
            </w:r>
          </w:p>
        </w:tc>
      </w:tr>
    </w:tbl>
    <w:tbl>
      <w:tblPr>
        <w:tblW w:w="5000" w:type="pct"/>
        <w:jc w:val="left"/>
        <w:tblInd w:w="0" w:type="dxa"/>
        <w:tblLayout w:type="fixed"/>
        <w:tblCellMar>
          <w:top w:w="0" w:type="dxa"/>
          <w:left w:w="0" w:type="dxa"/>
          <w:bottom w:w="0" w:type="dxa"/>
          <w:right w:w="0" w:type="dxa"/>
        </w:tblCellMar>
      </w:tblPr>
      <w:tblGrid>
        <w:gridCol w:w="55"/>
        <w:gridCol w:w="182"/>
        <w:gridCol w:w="9968"/>
      </w:tblGrid>
      <w:tr>
        <w:trPr/>
        <w:tc>
          <w:tcPr>
            <w:tcW w:w="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68"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investment strategy represented by the underlying index may not be successful.</w:t>
            </w:r>
          </w:p>
        </w:tc>
      </w:tr>
    </w:tbl>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6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Investing in the Trigger PLUS is not equivalent to investing in the underlying index.</w:t>
            </w:r>
          </w:p>
        </w:tc>
      </w:tr>
    </w:tbl>
    <w:tbl>
      <w:tblPr>
        <w:tblW w:w="5000" w:type="pct"/>
        <w:jc w:val="left"/>
        <w:tblInd w:w="0" w:type="dxa"/>
        <w:tblLayout w:type="fixed"/>
        <w:tblCellMar>
          <w:top w:w="0" w:type="dxa"/>
          <w:left w:w="0" w:type="dxa"/>
          <w:bottom w:w="0" w:type="dxa"/>
          <w:right w:w="0" w:type="dxa"/>
        </w:tblCellMar>
      </w:tblPr>
      <w:tblGrid>
        <w:gridCol w:w="52"/>
        <w:gridCol w:w="172"/>
        <w:gridCol w:w="9981"/>
      </w:tblGrid>
      <w:tr>
        <w:trPr/>
        <w:tc>
          <w:tcPr>
            <w:tcW w:w="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8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Adjustments to the underlying index could adversely affect the value of the Trigger PLUS.</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11798/ea0309452-01_424b2.htm" TargetMode="External"/><Relationship Id="rId3" Type="http://schemas.openxmlformats.org/officeDocument/2006/relationships/image" Target="media/image1.jpeg"/><Relationship Id="rId4" Type="http://schemas.openxmlformats.org/officeDocument/2006/relationships/hyperlink" Target="http://www.sec.gov/Archives/edgar/data/19617/000121390026111798/ea0309452-01_424b2.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1430</Words>
  <Characters>7707</Characters>
  <CharactersWithSpaces>9027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