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Russell 2000 ®   Index and S&amp;P 500 ®   Index  Upside Leverage Factor:   At least 1.07*  Barrier Amount:   With respect to each Underlying, 70.00% of its Initial Value  Underlying Return:   (Final Value – Initial Value) / Initial Value  Pricing Date:   September 25, 2026  Observation Date:   September 25, 2028  Maturity Date:   September 28, 2028  CUSIP:   46661MA95  Preliminary Pricing Supplement:   http://sp.jpmorgan.com/document/cusip/46661MA95/doctype/Product_Termsheet/document.pdf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1.07. ** Reflects an Upside Leverage Factor of 1.07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107.00%   $2,070.00  80.00%   85.60%   $1,856.00  60.00%   64.20%   $1,642.00  40.00%   42.80%   $1,428.00  30.00%   32.10%   $1,321.00  20.00%   21.40%   $1,214.00  10.00%   10.70%   $1,107.00  5.00%   5.35%   $1,053.50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2yr 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1339</Words>
  <Characters>7158</Characters>
  <CharactersWithSpaces>8700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