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00048-01_fwp.htm"/>
      <w:bookmarkStart w:id="1" w:name="ksea0300048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July 31,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2-Year ORCL Auto-Callable Dual Directional Trigger PLUS</w:t>
      </w:r>
    </w:p>
    <w:p>
      <w:pPr>
        <w:pStyle w:val="TextBody"/>
        <w:bidi w:val="0"/>
        <w:spacing w:before="40" w:after="40"/>
        <w:ind w:left="86" w:right="40" w:hanging="0"/>
        <w:jc w:val="left"/>
        <w:rPr>
          <w:rFonts w:ascii="Arial;Helvetica;Sans-Serif" w:hAnsi="Arial;Helvetica;Sans-Serif"/>
          <w:b/>
          <w:i/>
          <w:caps w:val="false"/>
          <w:smallCaps w:val="false"/>
          <w:sz w:val="16"/>
        </w:rPr>
      </w:pPr>
      <w:r>
        <w:rPr>
          <w:rFonts w:ascii="Arial;Helvetica;Sans-Serif" w:hAnsi="Arial;Helvetica;Sans-Serif"/>
          <w:b/>
          <w:i/>
          <w:caps w:val="false"/>
          <w:smallCaps w:val="false"/>
          <w:sz w:val="16"/>
        </w:rPr>
        <w:t>This document provides a summary of the terms of the Auto-Callable Dual Directional Trigger PLUS, which we refer to as the Trigger PLUS. Investors must carefully review the accompanying preliminary pricing supplement referenced below, product supplement, prospectus supplement and prospectus and the “Risk Considerations” on the following page, prior to making an investment decision.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9972040"/>
                <wp:effectExtent l="0" t="0" r="0" b="0"/>
                <wp:wrapSquare wrapText="right"/>
                <wp:docPr id="1" name="Frame1"/>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1505" w:type="dxa"/>
                              <w:jc w:val="left"/>
                              <w:tblInd w:w="0" w:type="dxa"/>
                              <w:tblLayout w:type="fixed"/>
                              <w:tblCellMar>
                                <w:top w:w="0" w:type="dxa"/>
                                <w:left w:w="0" w:type="dxa"/>
                                <w:bottom w:w="0" w:type="dxa"/>
                                <w:right w:w="0" w:type="dxa"/>
                              </w:tblCellMar>
                            </w:tblPr>
                            <w:tblGrid>
                              <w:gridCol w:w="1505"/>
                            </w:tblGrid>
                            <w:tr>
                              <w:trPr/>
                              <w:tc>
                                <w:tcPr>
                                  <w:tcW w:w="1505" w:type="dxa"/>
                                  <w:tcBorders/>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bl>
                          <w:tbl>
                            <w:tblPr>
                              <w:tblW w:w="10205" w:type="dxa"/>
                              <w:jc w:val="left"/>
                              <w:tblInd w:w="0" w:type="dxa"/>
                              <w:tblLayout w:type="fixed"/>
                              <w:tblCellMar>
                                <w:top w:w="0" w:type="dxa"/>
                                <w:left w:w="0" w:type="dxa"/>
                                <w:bottom w:w="0" w:type="dxa"/>
                                <w:right w:w="0" w:type="dxa"/>
                              </w:tblCellMar>
                            </w:tblPr>
                            <w:tblGrid>
                              <w:gridCol w:w="1236"/>
                              <w:gridCol w:w="8969"/>
                            </w:tblGrid>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969" w:type="dxa"/>
                                  <w:tcBorders/>
                                  <w:shd w:fill="DCEBF4" w:val="clear"/>
                                  <w:vAlign w:val="center"/>
                                </w:tcPr>
                                <w:p>
                                  <w:pPr>
                                    <w:pStyle w:val="TableContents"/>
                                    <w:bidi w:val="0"/>
                                    <w:spacing w:before="0" w:after="283"/>
                                    <w:jc w:val="left"/>
                                    <w:rPr>
                                      <w:sz w:val="16"/>
                                    </w:rPr>
                                  </w:pPr>
                                  <w:r>
                                    <w:rPr>
                                      <w:sz w:val="16"/>
                                    </w:rPr>
                                    <w:t>JPMorgan Chase Financial Company LLC (“JPMorgan Financial”)</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969" w:type="dxa"/>
                                  <w:tcBorders/>
                                  <w:vAlign w:val="center"/>
                                </w:tcPr>
                                <w:p>
                                  <w:pPr>
                                    <w:pStyle w:val="TableContents"/>
                                    <w:bidi w:val="0"/>
                                    <w:spacing w:before="0" w:after="283"/>
                                    <w:jc w:val="left"/>
                                    <w:rPr>
                                      <w:sz w:val="16"/>
                                    </w:rPr>
                                  </w:pPr>
                                  <w:r>
                                    <w:rPr>
                                      <w:sz w:val="16"/>
                                    </w:rPr>
                                    <w:t>JPMorgan Chase &amp; Co.</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Underlying stock:</w:t>
                                  </w:r>
                                </w:p>
                              </w:tc>
                              <w:tc>
                                <w:tcPr>
                                  <w:tcW w:w="8969" w:type="dxa"/>
                                  <w:tcBorders/>
                                  <w:shd w:fill="DCEBF4" w:val="clear"/>
                                  <w:vAlign w:val="center"/>
                                </w:tcPr>
                                <w:p>
                                  <w:pPr>
                                    <w:pStyle w:val="TableContents"/>
                                    <w:bidi w:val="0"/>
                                    <w:spacing w:before="0" w:after="283"/>
                                    <w:jc w:val="left"/>
                                    <w:rPr>
                                      <w:sz w:val="16"/>
                                    </w:rPr>
                                  </w:pPr>
                                  <w:r>
                                    <w:rPr>
                                      <w:sz w:val="16"/>
                                    </w:rPr>
                                    <w:t>Common stock of Oracle Corporation (Bloomberg ticker: ORCL UN Equity)</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Early redemption: </w:t>
                                  </w:r>
                                </w:p>
                              </w:tc>
                              <w:tc>
                                <w:tcPr>
                                  <w:tcW w:w="8969" w:type="dxa"/>
                                  <w:tcBorders/>
                                  <w:vAlign w:val="center"/>
                                </w:tcPr>
                                <w:p>
                                  <w:pPr>
                                    <w:pStyle w:val="TableContents"/>
                                    <w:bidi w:val="0"/>
                                    <w:spacing w:before="0" w:after="283"/>
                                    <w:jc w:val="left"/>
                                    <w:rPr>
                                      <w:sz w:val="16"/>
                                    </w:rPr>
                                  </w:pPr>
                                  <w:r>
                                    <w:rPr>
                                      <w:sz w:val="16"/>
                                    </w:rPr>
                                    <w:t xml:space="preserve">If, on the redemption observation date, the closing price of one share of the underlying stock is </w:t>
                                  </w:r>
                                  <w:r>
                                    <w:rPr>
                                      <w:b/>
                                      <w:sz w:val="16"/>
                                    </w:rPr>
                                    <w:t>greater than or equal to</w:t>
                                  </w:r>
                                  <w:r>
                                    <w:rPr>
                                      <w:sz w:val="16"/>
                                    </w:rPr>
                                    <w:t xml:space="preserve"> the initial stock price, the Trigger PLUS will be automatically redeemed for the early redemption payment on the redemption date.  No further payments will be made on the Trigger PLUS once they have been redeemed.  In addition, if the Trigger PLUS are automatically redeemed prior to maturity, you will not benefit from the leverage feature that applies to the payment at maturity if the final stock price is greater than the initial stock price or the absolute return feature that applies to the payment at maturity if the final stock price is less than or equal to the initial stock price but is greater than or equal to the trigger level.  Moreover, if the Trigger PLUS are automatically redeemed, your investment may underperform the underlying stock, and the early redemption payment may be significantly less than the payment at maturity you would receive for the same level of appreciation of the underlying stock had the Trigger PLUS not been automatically redeemed and instead remained outstanding until maturity.</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Early redemption payment:</w:t>
                                  </w:r>
                                </w:p>
                              </w:tc>
                              <w:tc>
                                <w:tcPr>
                                  <w:tcW w:w="8969" w:type="dxa"/>
                                  <w:tcBorders/>
                                  <w:shd w:fill="DCEBF4" w:val="clear"/>
                                  <w:vAlign w:val="center"/>
                                </w:tcPr>
                                <w:p>
                                  <w:pPr>
                                    <w:pStyle w:val="TableContents"/>
                                    <w:bidi w:val="0"/>
                                    <w:spacing w:before="0" w:after="283"/>
                                    <w:jc w:val="left"/>
                                    <w:rPr>
                                      <w:sz w:val="15"/>
                                    </w:rPr>
                                  </w:pPr>
                                  <w:r>
                                    <w:rPr>
                                      <w:sz w:val="15"/>
                                    </w:rPr>
                                    <w:t>At least $1,510.00 per Trigger PLUS. The actual early redemption payment will be provided in the pricing supplement and will not be less than $1,510.00 per Trigger PLUS.</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Payment at maturity: </w:t>
                                  </w:r>
                                </w:p>
                              </w:tc>
                              <w:tc>
                                <w:tcPr>
                                  <w:tcW w:w="8969" w:type="dxa"/>
                                  <w:tcBorders/>
                                  <w:vAlign w:val="center"/>
                                </w:tcPr>
                                <w:p>
                                  <w:pPr>
                                    <w:pStyle w:val="TableContents"/>
                                    <w:bidi w:val="0"/>
                                    <w:spacing w:before="30" w:after="30"/>
                                    <w:ind w:left="30" w:right="3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If the Trigger PLUS have not been automatically redeemed prior to maturity and:</w:t>
                                  </w:r>
                                </w:p>
                                <w:p>
                                  <w:pPr>
                                    <w:pStyle w:val="TableContents"/>
                                    <w:bidi w:val="0"/>
                                    <w:spacing w:before="30" w:after="30"/>
                                    <w:ind w:left="399" w:right="30" w:hanging="360"/>
                                    <w:jc w:val="left"/>
                                    <w:rPr>
                                      <w:rFonts w:ascii="Arial;Helvetica;Sans-Serif" w:hAnsi="Arial;Helvetica;Sans-Serif"/>
                                      <w:b w:val="false"/>
                                      <w:i w:val="false"/>
                                      <w:caps w:val="false"/>
                                      <w:smallCaps w:val="false"/>
                                      <w:sz w:val="18"/>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sz w:val="15"/>
                                    </w:rPr>
                                    <w:t xml:space="preserve">the final stock price is </w:t>
                                  </w:r>
                                  <w:r>
                                    <w:rPr>
                                      <w:rFonts w:ascii="Arial;Helvetica;Sans-Serif" w:hAnsi="Arial;Helvetica;Sans-Serif"/>
                                      <w:b w:val="false"/>
                                      <w:i/>
                                      <w:caps w:val="false"/>
                                      <w:smallCaps w:val="false"/>
                                      <w:sz w:val="15"/>
                                    </w:rPr>
                                    <w:t>greater than</w:t>
                                  </w:r>
                                  <w:r>
                                    <w:rPr>
                                      <w:rFonts w:ascii="Arial;Helvetica;Sans-Serif" w:hAnsi="Arial;Helvetica;Sans-Serif"/>
                                      <w:b w:val="false"/>
                                      <w:i w:val="false"/>
                                      <w:caps w:val="false"/>
                                      <w:smallCaps w:val="false"/>
                                      <w:sz w:val="15"/>
                                    </w:rPr>
                                    <w:t xml:space="preserve"> the initial stock price, for each $1,000 stated principal amount Trigger PLUS: $1,000 + leveraged upside payment</w:t>
                                  </w:r>
                                </w:p>
                                <w:p>
                                  <w:pPr>
                                    <w:pStyle w:val="TableContents"/>
                                    <w:bidi w:val="0"/>
                                    <w:spacing w:before="30" w:after="30"/>
                                    <w:ind w:left="399" w:right="30" w:hanging="360"/>
                                    <w:jc w:val="left"/>
                                    <w:rPr>
                                      <w:rFonts w:ascii="Arial;Helvetica;Sans-Serif" w:hAnsi="Arial;Helvetica;Sans-Serif"/>
                                      <w:b w:val="false"/>
                                      <w:i w:val="false"/>
                                      <w:caps w:val="false"/>
                                      <w:smallCaps w:val="false"/>
                                      <w:sz w:val="18"/>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sz w:val="15"/>
                                    </w:rPr>
                                    <w:t xml:space="preserve">the final stock price is </w:t>
                                  </w:r>
                                  <w:r>
                                    <w:rPr>
                                      <w:rFonts w:ascii="Arial;Helvetica;Sans-Serif" w:hAnsi="Arial;Helvetica;Sans-Serif"/>
                                      <w:b w:val="false"/>
                                      <w:i/>
                                      <w:caps w:val="false"/>
                                      <w:smallCaps w:val="false"/>
                                      <w:sz w:val="15"/>
                                    </w:rPr>
                                    <w:t>less than or equal to</w:t>
                                  </w:r>
                                  <w:r>
                                    <w:rPr>
                                      <w:rFonts w:ascii="Arial;Helvetica;Sans-Serif" w:hAnsi="Arial;Helvetica;Sans-Serif"/>
                                      <w:b w:val="false"/>
                                      <w:i w:val="false"/>
                                      <w:caps w:val="false"/>
                                      <w:smallCaps w:val="false"/>
                                      <w:sz w:val="15"/>
                                    </w:rPr>
                                    <w:t xml:space="preserve"> the initial stock price but is </w:t>
                                  </w:r>
                                  <w:r>
                                    <w:rPr>
                                      <w:rFonts w:ascii="Arial;Helvetica;Sans-Serif" w:hAnsi="Arial;Helvetica;Sans-Serif"/>
                                      <w:b w:val="false"/>
                                      <w:i/>
                                      <w:caps w:val="false"/>
                                      <w:smallCaps w:val="false"/>
                                      <w:sz w:val="15"/>
                                    </w:rPr>
                                    <w:t>greater than or equal to</w:t>
                                  </w:r>
                                  <w:r>
                                    <w:rPr>
                                      <w:rFonts w:ascii="Arial;Helvetica;Sans-Serif" w:hAnsi="Arial;Helvetica;Sans-Serif"/>
                                      <w:b w:val="false"/>
                                      <w:i w:val="false"/>
                                      <w:caps w:val="false"/>
                                      <w:smallCaps w:val="false"/>
                                      <w:sz w:val="15"/>
                                    </w:rPr>
                                    <w:t xml:space="preserve"> the trigger level, for each $1,000 stated principal amount Trigger PLUS: $1,000 + ($1,000 × absolute stock return)</w:t>
                                  </w:r>
                                </w:p>
                                <w:p>
                                  <w:pPr>
                                    <w:pStyle w:val="TableContents"/>
                                    <w:bidi w:val="0"/>
                                    <w:spacing w:before="30" w:after="30"/>
                                    <w:ind w:left="30" w:right="3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In this scenario, you will receive a 1% positive return on the Trigger PLUS for each 1% negative return on the underlying stock. In no event will this amount exceed the stated principal amount plus $350.00. Accordingly, the maximum downside payment at maturity is $1,350.00 per Trigger PLUS.</w:t>
                                  </w:r>
                                </w:p>
                                <w:p>
                                  <w:pPr>
                                    <w:pStyle w:val="TableContents"/>
                                    <w:bidi w:val="0"/>
                                    <w:spacing w:before="30" w:after="30"/>
                                    <w:ind w:left="399" w:right="30" w:hanging="399"/>
                                    <w:jc w:val="left"/>
                                    <w:rPr>
                                      <w:rFonts w:ascii="Arial;Helvetica;Sans-Serif" w:hAnsi="Arial;Helvetica;Sans-Serif"/>
                                      <w:b w:val="false"/>
                                      <w:i w:val="false"/>
                                      <w:caps w:val="false"/>
                                      <w:smallCaps w:val="false"/>
                                      <w:sz w:val="18"/>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sz w:val="15"/>
                                    </w:rPr>
                                    <w:t xml:space="preserve">the final stock price is </w:t>
                                  </w:r>
                                  <w:r>
                                    <w:rPr>
                                      <w:rFonts w:ascii="Arial;Helvetica;Sans-Serif" w:hAnsi="Arial;Helvetica;Sans-Serif"/>
                                      <w:b w:val="false"/>
                                      <w:i/>
                                      <w:caps w:val="false"/>
                                      <w:smallCaps w:val="false"/>
                                      <w:sz w:val="15"/>
                                    </w:rPr>
                                    <w:t>less than</w:t>
                                  </w:r>
                                  <w:r>
                                    <w:rPr>
                                      <w:rFonts w:ascii="Arial;Helvetica;Sans-Serif" w:hAnsi="Arial;Helvetica;Sans-Serif"/>
                                      <w:b w:val="false"/>
                                      <w:i w:val="false"/>
                                      <w:caps w:val="false"/>
                                      <w:smallCaps w:val="false"/>
                                      <w:sz w:val="15"/>
                                    </w:rPr>
                                    <w:t xml:space="preserve"> the trigger level, for each $1,000 stated principal amount Trigger PLUS: $1,000 × stock performance factor</w:t>
                                  </w:r>
                                </w:p>
                                <w:p>
                                  <w:pPr>
                                    <w:pStyle w:val="TableContents"/>
                                    <w:bidi w:val="0"/>
                                    <w:spacing w:before="20" w:after="20"/>
                                    <w:ind w:left="20" w:right="2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This amount will be less than the stated principal amount of $1,000 per Trigger PLUS and will represent a loss of more than 35%, and possibly all, of your investment.</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Leveraged upside payment:</w:t>
                                  </w:r>
                                </w:p>
                              </w:tc>
                              <w:tc>
                                <w:tcPr>
                                  <w:tcW w:w="8969" w:type="dxa"/>
                                  <w:tcBorders/>
                                  <w:shd w:fill="DCEBF4" w:val="clear"/>
                                  <w:vAlign w:val="center"/>
                                </w:tcPr>
                                <w:p>
                                  <w:pPr>
                                    <w:pStyle w:val="TableContents"/>
                                    <w:bidi w:val="0"/>
                                    <w:spacing w:before="0" w:after="283"/>
                                    <w:jc w:val="left"/>
                                    <w:rPr>
                                      <w:sz w:val="16"/>
                                    </w:rPr>
                                  </w:pPr>
                                  <w:r>
                                    <w:rPr>
                                      <w:sz w:val="16"/>
                                    </w:rPr>
                                    <w:t>$1,000 × leverage factor × stock percent change</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Stock percent change:</w:t>
                                  </w:r>
                                </w:p>
                              </w:tc>
                              <w:tc>
                                <w:tcPr>
                                  <w:tcW w:w="8969" w:type="dxa"/>
                                  <w:tcBorders/>
                                  <w:vAlign w:val="center"/>
                                </w:tcPr>
                                <w:p>
                                  <w:pPr>
                                    <w:pStyle w:val="TableContents"/>
                                    <w:bidi w:val="0"/>
                                    <w:spacing w:before="0" w:after="283"/>
                                    <w:jc w:val="left"/>
                                    <w:rPr>
                                      <w:sz w:val="16"/>
                                    </w:rPr>
                                  </w:pPr>
                                  <w:r>
                                    <w:rPr>
                                      <w:sz w:val="16"/>
                                    </w:rPr>
                                    <w:t>(final stock price – initial stock price) / initial stock price</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Absolute stock return:</w:t>
                                  </w:r>
                                </w:p>
                              </w:tc>
                              <w:tc>
                                <w:tcPr>
                                  <w:tcW w:w="8969" w:type="dxa"/>
                                  <w:tcBorders/>
                                  <w:shd w:fill="DCEBF4" w:val="clear"/>
                                  <w:vAlign w:val="center"/>
                                </w:tcPr>
                                <w:p>
                                  <w:pPr>
                                    <w:pStyle w:val="TableContents"/>
                                    <w:bidi w:val="0"/>
                                    <w:spacing w:before="0" w:after="283"/>
                                    <w:jc w:val="left"/>
                                    <w:rPr>
                                      <w:sz w:val="16"/>
                                    </w:rPr>
                                  </w:pPr>
                                  <w:r>
                                    <w:rPr>
                                      <w:sz w:val="16"/>
                                    </w:rPr>
                                    <w:t>The absolute value of the stock percent change.  For example, a -5% stock percent change will result in a +5% absolute stock return.  </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Initial stock price: </w:t>
                                  </w:r>
                                </w:p>
                              </w:tc>
                              <w:tc>
                                <w:tcPr>
                                  <w:tcW w:w="8969" w:type="dxa"/>
                                  <w:tcBorders/>
                                  <w:vAlign w:val="center"/>
                                </w:tcPr>
                                <w:p>
                                  <w:pPr>
                                    <w:pStyle w:val="TableContents"/>
                                    <w:bidi w:val="0"/>
                                    <w:spacing w:before="0" w:after="283"/>
                                    <w:jc w:val="left"/>
                                    <w:rPr>
                                      <w:sz w:val="16"/>
                                    </w:rPr>
                                  </w:pPr>
                                  <w:r>
                                    <w:rPr>
                                      <w:sz w:val="16"/>
                                    </w:rPr>
                                    <w:t>The closing price of one share of the underlying stock on the pricing date</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Final stock price: </w:t>
                                  </w:r>
                                </w:p>
                              </w:tc>
                              <w:tc>
                                <w:tcPr>
                                  <w:tcW w:w="8969" w:type="dxa"/>
                                  <w:tcBorders/>
                                  <w:shd w:fill="DCEBF4" w:val="clear"/>
                                  <w:vAlign w:val="center"/>
                                </w:tcPr>
                                <w:p>
                                  <w:pPr>
                                    <w:pStyle w:val="TableContents"/>
                                    <w:bidi w:val="0"/>
                                    <w:spacing w:before="0" w:after="283"/>
                                    <w:jc w:val="left"/>
                                    <w:rPr>
                                      <w:sz w:val="16"/>
                                    </w:rPr>
                                  </w:pPr>
                                  <w:r>
                                    <w:rPr>
                                      <w:sz w:val="16"/>
                                    </w:rPr>
                                    <w:t>The closing price of one share of the underlying stock on the valuation date</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Trigger level:</w:t>
                                  </w:r>
                                </w:p>
                              </w:tc>
                              <w:tc>
                                <w:tcPr>
                                  <w:tcW w:w="8969" w:type="dxa"/>
                                  <w:tcBorders/>
                                  <w:vAlign w:val="center"/>
                                </w:tcPr>
                                <w:p>
                                  <w:pPr>
                                    <w:pStyle w:val="TableContents"/>
                                    <w:bidi w:val="0"/>
                                    <w:spacing w:before="0" w:after="283"/>
                                    <w:jc w:val="left"/>
                                    <w:rPr>
                                      <w:sz w:val="16"/>
                                    </w:rPr>
                                  </w:pPr>
                                  <w:r>
                                    <w:rPr>
                                      <w:sz w:val="16"/>
                                    </w:rPr>
                                    <w:t>65% of the initial stock price</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Leverage factor: </w:t>
                                  </w:r>
                                </w:p>
                              </w:tc>
                              <w:tc>
                                <w:tcPr>
                                  <w:tcW w:w="8969" w:type="dxa"/>
                                  <w:tcBorders/>
                                  <w:shd w:fill="DCEBF4" w:val="clear"/>
                                  <w:vAlign w:val="center"/>
                                </w:tcPr>
                                <w:p>
                                  <w:pPr>
                                    <w:pStyle w:val="TableContents"/>
                                    <w:bidi w:val="0"/>
                                    <w:spacing w:before="0" w:after="283"/>
                                    <w:jc w:val="left"/>
                                    <w:rPr>
                                      <w:sz w:val="16"/>
                                    </w:rPr>
                                  </w:pPr>
                                  <w:r>
                                    <w:rPr>
                                      <w:sz w:val="16"/>
                                    </w:rPr>
                                    <w:t>150%</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Stock performance factor:</w:t>
                                  </w:r>
                                </w:p>
                              </w:tc>
                              <w:tc>
                                <w:tcPr>
                                  <w:tcW w:w="8969" w:type="dxa"/>
                                  <w:tcBorders/>
                                  <w:vAlign w:val="center"/>
                                </w:tcPr>
                                <w:p>
                                  <w:pPr>
                                    <w:pStyle w:val="TableContents"/>
                                    <w:bidi w:val="0"/>
                                    <w:spacing w:before="0" w:after="283"/>
                                    <w:jc w:val="left"/>
                                    <w:rPr>
                                      <w:sz w:val="16"/>
                                    </w:rPr>
                                  </w:pPr>
                                  <w:r>
                                    <w:rPr>
                                      <w:sz w:val="16"/>
                                    </w:rPr>
                                    <w:t>final stock price / initial stock price</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Stock adjustment factor: </w:t>
                                  </w:r>
                                </w:p>
                              </w:tc>
                              <w:tc>
                                <w:tcPr>
                                  <w:tcW w:w="8969" w:type="dxa"/>
                                  <w:tcBorders/>
                                  <w:shd w:fill="DCEBF4" w:val="clear"/>
                                  <w:vAlign w:val="center"/>
                                </w:tcPr>
                                <w:p>
                                  <w:pPr>
                                    <w:pStyle w:val="TableContents"/>
                                    <w:bidi w:val="0"/>
                                    <w:spacing w:before="0" w:after="283"/>
                                    <w:jc w:val="left"/>
                                    <w:rPr>
                                      <w:sz w:val="16"/>
                                    </w:rPr>
                                  </w:pPr>
                                  <w:r>
                                    <w:rPr>
                                      <w:sz w:val="16"/>
                                    </w:rPr>
                                    <w:t>The stock adjustment factor is referenced in determining the closing price of the underlying stock and is set initially at 1.0 on the pricing date.  The stock adjustment factor is subject to adjustment in the event of certain corporate events affecting the underlying stock.</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969" w:type="dxa"/>
                                  <w:tcBorders/>
                                  <w:vAlign w:val="center"/>
                                </w:tcPr>
                                <w:p>
                                  <w:pPr>
                                    <w:pStyle w:val="TableContents"/>
                                    <w:bidi w:val="0"/>
                                    <w:spacing w:before="0" w:after="283"/>
                                    <w:jc w:val="left"/>
                                    <w:rPr>
                                      <w:sz w:val="16"/>
                                    </w:rPr>
                                  </w:pPr>
                                  <w:r>
                                    <w:rPr>
                                      <w:sz w:val="16"/>
                                    </w:rPr>
                                    <w:t>$1,000 per Trigger PLUS</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8969" w:type="dxa"/>
                                  <w:tcBorders/>
                                  <w:shd w:fill="DCEBF4" w:val="clear"/>
                                  <w:vAlign w:val="center"/>
                                </w:tcPr>
                                <w:p>
                                  <w:pPr>
                                    <w:pStyle w:val="TableContents"/>
                                    <w:bidi w:val="0"/>
                                    <w:spacing w:before="0" w:after="283"/>
                                    <w:jc w:val="left"/>
                                    <w:rPr>
                                      <w:sz w:val="16"/>
                                    </w:rPr>
                                  </w:pPr>
                                  <w:r>
                                    <w:rPr>
                                      <w:sz w:val="16"/>
                                    </w:rPr>
                                    <w:t>$1,000 per Trigger PLUS</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969" w:type="dxa"/>
                                  <w:tcBorders/>
                                  <w:vAlign w:val="center"/>
                                </w:tcPr>
                                <w:p>
                                  <w:pPr>
                                    <w:pStyle w:val="TableContents"/>
                                    <w:bidi w:val="0"/>
                                    <w:spacing w:before="0" w:after="283"/>
                                    <w:jc w:val="left"/>
                                    <w:rPr>
                                      <w:sz w:val="16"/>
                                    </w:rPr>
                                  </w:pPr>
                                  <w:r>
                                    <w:rPr>
                                      <w:sz w:val="16"/>
                                    </w:rPr>
                                    <w:t>Expected to be August 14, 2026</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969" w:type="dxa"/>
                                  <w:tcBorders/>
                                  <w:shd w:fill="DCEBF4" w:val="clear"/>
                                  <w:vAlign w:val="center"/>
                                </w:tcPr>
                                <w:p>
                                  <w:pPr>
                                    <w:pStyle w:val="TableContents"/>
                                    <w:bidi w:val="0"/>
                                    <w:spacing w:before="0" w:after="283"/>
                                    <w:jc w:val="left"/>
                                    <w:rPr>
                                      <w:sz w:val="16"/>
                                    </w:rPr>
                                  </w:pPr>
                                  <w:r>
                                    <w:rPr>
                                      <w:sz w:val="16"/>
                                    </w:rPr>
                                    <w:t>3 business days after the pricing date</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Redemption observation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969" w:type="dxa"/>
                                  <w:tcBorders/>
                                  <w:vAlign w:val="center"/>
                                </w:tcPr>
                                <w:p>
                                  <w:pPr>
                                    <w:pStyle w:val="TableContents"/>
                                    <w:bidi w:val="0"/>
                                    <w:spacing w:before="0" w:after="283"/>
                                    <w:jc w:val="left"/>
                                    <w:rPr>
                                      <w:sz w:val="16"/>
                                    </w:rPr>
                                  </w:pPr>
                                  <w:r>
                                    <w:rPr>
                                      <w:sz w:val="16"/>
                                    </w:rPr>
                                    <w:t>August 23, 2027</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Redemption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969" w:type="dxa"/>
                                  <w:tcBorders/>
                                  <w:shd w:fill="DCEBF4" w:val="clear"/>
                                  <w:vAlign w:val="center"/>
                                </w:tcPr>
                                <w:p>
                                  <w:pPr>
                                    <w:pStyle w:val="TableContents"/>
                                    <w:bidi w:val="0"/>
                                    <w:spacing w:before="0" w:after="283"/>
                                    <w:jc w:val="left"/>
                                    <w:rPr>
                                      <w:sz w:val="16"/>
                                    </w:rPr>
                                  </w:pPr>
                                  <w:r>
                                    <w:rPr>
                                      <w:sz w:val="16"/>
                                    </w:rPr>
                                    <w:t>August 26, 2027</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969" w:type="dxa"/>
                                  <w:tcBorders/>
                                  <w:vAlign w:val="center"/>
                                </w:tcPr>
                                <w:p>
                                  <w:pPr>
                                    <w:pStyle w:val="TableContents"/>
                                    <w:bidi w:val="0"/>
                                    <w:spacing w:before="0" w:after="283"/>
                                    <w:jc w:val="left"/>
                                    <w:rPr>
                                      <w:sz w:val="16"/>
                                    </w:rPr>
                                  </w:pPr>
                                  <w:r>
                                    <w:rPr>
                                      <w:sz w:val="16"/>
                                    </w:rPr>
                                    <w:t>August 31, 2028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w:txbxContent>
                    <w:tbl>
                      <w:tblPr>
                        <w:tblW w:w="1505" w:type="dxa"/>
                        <w:jc w:val="left"/>
                        <w:tblInd w:w="0" w:type="dxa"/>
                        <w:tblLayout w:type="fixed"/>
                        <w:tblCellMar>
                          <w:top w:w="0" w:type="dxa"/>
                          <w:left w:w="0" w:type="dxa"/>
                          <w:bottom w:w="0" w:type="dxa"/>
                          <w:right w:w="0" w:type="dxa"/>
                        </w:tblCellMar>
                      </w:tblPr>
                      <w:tblGrid>
                        <w:gridCol w:w="1505"/>
                      </w:tblGrid>
                      <w:tr>
                        <w:trPr/>
                        <w:tc>
                          <w:tcPr>
                            <w:tcW w:w="1505" w:type="dxa"/>
                            <w:tcBorders/>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bl>
                    <w:tbl>
                      <w:tblPr>
                        <w:tblW w:w="10205" w:type="dxa"/>
                        <w:jc w:val="left"/>
                        <w:tblInd w:w="0" w:type="dxa"/>
                        <w:tblLayout w:type="fixed"/>
                        <w:tblCellMar>
                          <w:top w:w="0" w:type="dxa"/>
                          <w:left w:w="0" w:type="dxa"/>
                          <w:bottom w:w="0" w:type="dxa"/>
                          <w:right w:w="0" w:type="dxa"/>
                        </w:tblCellMar>
                      </w:tblPr>
                      <w:tblGrid>
                        <w:gridCol w:w="1236"/>
                        <w:gridCol w:w="8969"/>
                      </w:tblGrid>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969" w:type="dxa"/>
                            <w:tcBorders/>
                            <w:shd w:fill="DCEBF4" w:val="clear"/>
                            <w:vAlign w:val="center"/>
                          </w:tcPr>
                          <w:p>
                            <w:pPr>
                              <w:pStyle w:val="TableContents"/>
                              <w:bidi w:val="0"/>
                              <w:spacing w:before="0" w:after="283"/>
                              <w:jc w:val="left"/>
                              <w:rPr>
                                <w:sz w:val="16"/>
                              </w:rPr>
                            </w:pPr>
                            <w:r>
                              <w:rPr>
                                <w:sz w:val="16"/>
                              </w:rPr>
                              <w:t>JPMorgan Chase Financial Company LLC (“JPMorgan Financial”)</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969" w:type="dxa"/>
                            <w:tcBorders/>
                            <w:vAlign w:val="center"/>
                          </w:tcPr>
                          <w:p>
                            <w:pPr>
                              <w:pStyle w:val="TableContents"/>
                              <w:bidi w:val="0"/>
                              <w:spacing w:before="0" w:after="283"/>
                              <w:jc w:val="left"/>
                              <w:rPr>
                                <w:sz w:val="16"/>
                              </w:rPr>
                            </w:pPr>
                            <w:r>
                              <w:rPr>
                                <w:sz w:val="16"/>
                              </w:rPr>
                              <w:t>JPMorgan Chase &amp; Co.</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Underlying stock:</w:t>
                            </w:r>
                          </w:p>
                        </w:tc>
                        <w:tc>
                          <w:tcPr>
                            <w:tcW w:w="8969" w:type="dxa"/>
                            <w:tcBorders/>
                            <w:shd w:fill="DCEBF4" w:val="clear"/>
                            <w:vAlign w:val="center"/>
                          </w:tcPr>
                          <w:p>
                            <w:pPr>
                              <w:pStyle w:val="TableContents"/>
                              <w:bidi w:val="0"/>
                              <w:spacing w:before="0" w:after="283"/>
                              <w:jc w:val="left"/>
                              <w:rPr>
                                <w:sz w:val="16"/>
                              </w:rPr>
                            </w:pPr>
                            <w:r>
                              <w:rPr>
                                <w:sz w:val="16"/>
                              </w:rPr>
                              <w:t>Common stock of Oracle Corporation (Bloomberg ticker: ORCL UN Equity)</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Early redemption: </w:t>
                            </w:r>
                          </w:p>
                        </w:tc>
                        <w:tc>
                          <w:tcPr>
                            <w:tcW w:w="8969" w:type="dxa"/>
                            <w:tcBorders/>
                            <w:vAlign w:val="center"/>
                          </w:tcPr>
                          <w:p>
                            <w:pPr>
                              <w:pStyle w:val="TableContents"/>
                              <w:bidi w:val="0"/>
                              <w:spacing w:before="0" w:after="283"/>
                              <w:jc w:val="left"/>
                              <w:rPr>
                                <w:sz w:val="16"/>
                              </w:rPr>
                            </w:pPr>
                            <w:r>
                              <w:rPr>
                                <w:sz w:val="16"/>
                              </w:rPr>
                              <w:t xml:space="preserve">If, on the redemption observation date, the closing price of one share of the underlying stock is </w:t>
                            </w:r>
                            <w:r>
                              <w:rPr>
                                <w:b/>
                                <w:sz w:val="16"/>
                              </w:rPr>
                              <w:t>greater than or equal to</w:t>
                            </w:r>
                            <w:r>
                              <w:rPr>
                                <w:sz w:val="16"/>
                              </w:rPr>
                              <w:t xml:space="preserve"> the initial stock price, the Trigger PLUS will be automatically redeemed for the early redemption payment on the redemption date.  No further payments will be made on the Trigger PLUS once they have been redeemed.  In addition, if the Trigger PLUS are automatically redeemed prior to maturity, you will not benefit from the leverage feature that applies to the payment at maturity if the final stock price is greater than the initial stock price or the absolute return feature that applies to the payment at maturity if the final stock price is less than or equal to the initial stock price but is greater than or equal to the trigger level.  Moreover, if the Trigger PLUS are automatically redeemed, your investment may underperform the underlying stock, and the early redemption payment may be significantly less than the payment at maturity you would receive for the same level of appreciation of the underlying stock had the Trigger PLUS not been automatically redeemed and instead remained outstanding until maturity.</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Early redemption payment:</w:t>
                            </w:r>
                          </w:p>
                        </w:tc>
                        <w:tc>
                          <w:tcPr>
                            <w:tcW w:w="8969" w:type="dxa"/>
                            <w:tcBorders/>
                            <w:shd w:fill="DCEBF4" w:val="clear"/>
                            <w:vAlign w:val="center"/>
                          </w:tcPr>
                          <w:p>
                            <w:pPr>
                              <w:pStyle w:val="TableContents"/>
                              <w:bidi w:val="0"/>
                              <w:spacing w:before="0" w:after="283"/>
                              <w:jc w:val="left"/>
                              <w:rPr>
                                <w:sz w:val="15"/>
                              </w:rPr>
                            </w:pPr>
                            <w:r>
                              <w:rPr>
                                <w:sz w:val="15"/>
                              </w:rPr>
                              <w:t>At least $1,510.00 per Trigger PLUS. The actual early redemption payment will be provided in the pricing supplement and will not be less than $1,510.00 per Trigger PLUS.</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Payment at maturity: </w:t>
                            </w:r>
                          </w:p>
                        </w:tc>
                        <w:tc>
                          <w:tcPr>
                            <w:tcW w:w="8969" w:type="dxa"/>
                            <w:tcBorders/>
                            <w:vAlign w:val="center"/>
                          </w:tcPr>
                          <w:p>
                            <w:pPr>
                              <w:pStyle w:val="TableContents"/>
                              <w:bidi w:val="0"/>
                              <w:spacing w:before="30" w:after="30"/>
                              <w:ind w:left="30" w:right="3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If the Trigger PLUS have not been automatically redeemed prior to maturity and:</w:t>
                            </w:r>
                          </w:p>
                          <w:p>
                            <w:pPr>
                              <w:pStyle w:val="TableContents"/>
                              <w:bidi w:val="0"/>
                              <w:spacing w:before="30" w:after="30"/>
                              <w:ind w:left="399" w:right="30" w:hanging="360"/>
                              <w:jc w:val="left"/>
                              <w:rPr>
                                <w:rFonts w:ascii="Arial;Helvetica;Sans-Serif" w:hAnsi="Arial;Helvetica;Sans-Serif"/>
                                <w:b w:val="false"/>
                                <w:i w:val="false"/>
                                <w:caps w:val="false"/>
                                <w:smallCaps w:val="false"/>
                                <w:sz w:val="18"/>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sz w:val="15"/>
                              </w:rPr>
                              <w:t xml:space="preserve">the final stock price is </w:t>
                            </w:r>
                            <w:r>
                              <w:rPr>
                                <w:rFonts w:ascii="Arial;Helvetica;Sans-Serif" w:hAnsi="Arial;Helvetica;Sans-Serif"/>
                                <w:b w:val="false"/>
                                <w:i/>
                                <w:caps w:val="false"/>
                                <w:smallCaps w:val="false"/>
                                <w:sz w:val="15"/>
                              </w:rPr>
                              <w:t>greater than</w:t>
                            </w:r>
                            <w:r>
                              <w:rPr>
                                <w:rFonts w:ascii="Arial;Helvetica;Sans-Serif" w:hAnsi="Arial;Helvetica;Sans-Serif"/>
                                <w:b w:val="false"/>
                                <w:i w:val="false"/>
                                <w:caps w:val="false"/>
                                <w:smallCaps w:val="false"/>
                                <w:sz w:val="15"/>
                              </w:rPr>
                              <w:t xml:space="preserve"> the initial stock price, for each $1,000 stated principal amount Trigger PLUS: $1,000 + leveraged upside payment</w:t>
                            </w:r>
                          </w:p>
                          <w:p>
                            <w:pPr>
                              <w:pStyle w:val="TableContents"/>
                              <w:bidi w:val="0"/>
                              <w:spacing w:before="30" w:after="30"/>
                              <w:ind w:left="399" w:right="30" w:hanging="360"/>
                              <w:jc w:val="left"/>
                              <w:rPr>
                                <w:rFonts w:ascii="Arial;Helvetica;Sans-Serif" w:hAnsi="Arial;Helvetica;Sans-Serif"/>
                                <w:b w:val="false"/>
                                <w:i w:val="false"/>
                                <w:caps w:val="false"/>
                                <w:smallCaps w:val="false"/>
                                <w:sz w:val="18"/>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sz w:val="15"/>
                              </w:rPr>
                              <w:t xml:space="preserve">the final stock price is </w:t>
                            </w:r>
                            <w:r>
                              <w:rPr>
                                <w:rFonts w:ascii="Arial;Helvetica;Sans-Serif" w:hAnsi="Arial;Helvetica;Sans-Serif"/>
                                <w:b w:val="false"/>
                                <w:i/>
                                <w:caps w:val="false"/>
                                <w:smallCaps w:val="false"/>
                                <w:sz w:val="15"/>
                              </w:rPr>
                              <w:t>less than or equal to</w:t>
                            </w:r>
                            <w:r>
                              <w:rPr>
                                <w:rFonts w:ascii="Arial;Helvetica;Sans-Serif" w:hAnsi="Arial;Helvetica;Sans-Serif"/>
                                <w:b w:val="false"/>
                                <w:i w:val="false"/>
                                <w:caps w:val="false"/>
                                <w:smallCaps w:val="false"/>
                                <w:sz w:val="15"/>
                              </w:rPr>
                              <w:t xml:space="preserve"> the initial stock price but is </w:t>
                            </w:r>
                            <w:r>
                              <w:rPr>
                                <w:rFonts w:ascii="Arial;Helvetica;Sans-Serif" w:hAnsi="Arial;Helvetica;Sans-Serif"/>
                                <w:b w:val="false"/>
                                <w:i/>
                                <w:caps w:val="false"/>
                                <w:smallCaps w:val="false"/>
                                <w:sz w:val="15"/>
                              </w:rPr>
                              <w:t>greater than or equal to</w:t>
                            </w:r>
                            <w:r>
                              <w:rPr>
                                <w:rFonts w:ascii="Arial;Helvetica;Sans-Serif" w:hAnsi="Arial;Helvetica;Sans-Serif"/>
                                <w:b w:val="false"/>
                                <w:i w:val="false"/>
                                <w:caps w:val="false"/>
                                <w:smallCaps w:val="false"/>
                                <w:sz w:val="15"/>
                              </w:rPr>
                              <w:t xml:space="preserve"> the trigger level, for each $1,000 stated principal amount Trigger PLUS: $1,000 + ($1,000 × absolute stock return)</w:t>
                            </w:r>
                          </w:p>
                          <w:p>
                            <w:pPr>
                              <w:pStyle w:val="TableContents"/>
                              <w:bidi w:val="0"/>
                              <w:spacing w:before="30" w:after="30"/>
                              <w:ind w:left="30" w:right="3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In this scenario, you will receive a 1% positive return on the Trigger PLUS for each 1% negative return on the underlying stock. In no event will this amount exceed the stated principal amount plus $350.00. Accordingly, the maximum downside payment at maturity is $1,350.00 per Trigger PLUS.</w:t>
                            </w:r>
                          </w:p>
                          <w:p>
                            <w:pPr>
                              <w:pStyle w:val="TableContents"/>
                              <w:bidi w:val="0"/>
                              <w:spacing w:before="30" w:after="30"/>
                              <w:ind w:left="399" w:right="30" w:hanging="399"/>
                              <w:jc w:val="left"/>
                              <w:rPr>
                                <w:rFonts w:ascii="Arial;Helvetica;Sans-Serif" w:hAnsi="Arial;Helvetica;Sans-Serif"/>
                                <w:b w:val="false"/>
                                <w:i w:val="false"/>
                                <w:caps w:val="false"/>
                                <w:smallCaps w:val="false"/>
                                <w:sz w:val="18"/>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8"/>
                              </w:rPr>
                              <w:t xml:space="preserve">         </w:t>
                            </w:r>
                            <w:r>
                              <w:rPr>
                                <w:rFonts w:ascii="Arial;Helvetica;Sans-Serif" w:hAnsi="Arial;Helvetica;Sans-Serif"/>
                                <w:b w:val="false"/>
                                <w:i w:val="false"/>
                                <w:caps w:val="false"/>
                                <w:smallCaps w:val="false"/>
                                <w:sz w:val="15"/>
                              </w:rPr>
                              <w:t xml:space="preserve">the final stock price is </w:t>
                            </w:r>
                            <w:r>
                              <w:rPr>
                                <w:rFonts w:ascii="Arial;Helvetica;Sans-Serif" w:hAnsi="Arial;Helvetica;Sans-Serif"/>
                                <w:b w:val="false"/>
                                <w:i/>
                                <w:caps w:val="false"/>
                                <w:smallCaps w:val="false"/>
                                <w:sz w:val="15"/>
                              </w:rPr>
                              <w:t>less than</w:t>
                            </w:r>
                            <w:r>
                              <w:rPr>
                                <w:rFonts w:ascii="Arial;Helvetica;Sans-Serif" w:hAnsi="Arial;Helvetica;Sans-Serif"/>
                                <w:b w:val="false"/>
                                <w:i w:val="false"/>
                                <w:caps w:val="false"/>
                                <w:smallCaps w:val="false"/>
                                <w:sz w:val="15"/>
                              </w:rPr>
                              <w:t xml:space="preserve"> the trigger level, for each $1,000 stated principal amount Trigger PLUS: $1,000 × stock performance factor</w:t>
                            </w:r>
                          </w:p>
                          <w:p>
                            <w:pPr>
                              <w:pStyle w:val="TableContents"/>
                              <w:bidi w:val="0"/>
                              <w:spacing w:before="20" w:after="20"/>
                              <w:ind w:left="20" w:right="2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This amount will be less than the stated principal amount of $1,000 per Trigger PLUS and will represent a loss of more than 35%, and possibly all, of your investment.</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Leveraged upside payment:</w:t>
                            </w:r>
                          </w:p>
                        </w:tc>
                        <w:tc>
                          <w:tcPr>
                            <w:tcW w:w="8969" w:type="dxa"/>
                            <w:tcBorders/>
                            <w:shd w:fill="DCEBF4" w:val="clear"/>
                            <w:vAlign w:val="center"/>
                          </w:tcPr>
                          <w:p>
                            <w:pPr>
                              <w:pStyle w:val="TableContents"/>
                              <w:bidi w:val="0"/>
                              <w:spacing w:before="0" w:after="283"/>
                              <w:jc w:val="left"/>
                              <w:rPr>
                                <w:sz w:val="16"/>
                              </w:rPr>
                            </w:pPr>
                            <w:r>
                              <w:rPr>
                                <w:sz w:val="16"/>
                              </w:rPr>
                              <w:t>$1,000 × leverage factor × stock percent change</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Stock percent change:</w:t>
                            </w:r>
                          </w:p>
                        </w:tc>
                        <w:tc>
                          <w:tcPr>
                            <w:tcW w:w="8969" w:type="dxa"/>
                            <w:tcBorders/>
                            <w:vAlign w:val="center"/>
                          </w:tcPr>
                          <w:p>
                            <w:pPr>
                              <w:pStyle w:val="TableContents"/>
                              <w:bidi w:val="0"/>
                              <w:spacing w:before="0" w:after="283"/>
                              <w:jc w:val="left"/>
                              <w:rPr>
                                <w:sz w:val="16"/>
                              </w:rPr>
                            </w:pPr>
                            <w:r>
                              <w:rPr>
                                <w:sz w:val="16"/>
                              </w:rPr>
                              <w:t>(final stock price – initial stock price) / initial stock price</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Absolute stock return:</w:t>
                            </w:r>
                          </w:p>
                        </w:tc>
                        <w:tc>
                          <w:tcPr>
                            <w:tcW w:w="8969" w:type="dxa"/>
                            <w:tcBorders/>
                            <w:shd w:fill="DCEBF4" w:val="clear"/>
                            <w:vAlign w:val="center"/>
                          </w:tcPr>
                          <w:p>
                            <w:pPr>
                              <w:pStyle w:val="TableContents"/>
                              <w:bidi w:val="0"/>
                              <w:spacing w:before="0" w:after="283"/>
                              <w:jc w:val="left"/>
                              <w:rPr>
                                <w:sz w:val="16"/>
                              </w:rPr>
                            </w:pPr>
                            <w:r>
                              <w:rPr>
                                <w:sz w:val="16"/>
                              </w:rPr>
                              <w:t>The absolute value of the stock percent change.  For example, a -5% stock percent change will result in a +5% absolute stock return.  </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Initial stock price: </w:t>
                            </w:r>
                          </w:p>
                        </w:tc>
                        <w:tc>
                          <w:tcPr>
                            <w:tcW w:w="8969" w:type="dxa"/>
                            <w:tcBorders/>
                            <w:vAlign w:val="center"/>
                          </w:tcPr>
                          <w:p>
                            <w:pPr>
                              <w:pStyle w:val="TableContents"/>
                              <w:bidi w:val="0"/>
                              <w:spacing w:before="0" w:after="283"/>
                              <w:jc w:val="left"/>
                              <w:rPr>
                                <w:sz w:val="16"/>
                              </w:rPr>
                            </w:pPr>
                            <w:r>
                              <w:rPr>
                                <w:sz w:val="16"/>
                              </w:rPr>
                              <w:t>The closing price of one share of the underlying stock on the pricing date</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Final stock price: </w:t>
                            </w:r>
                          </w:p>
                        </w:tc>
                        <w:tc>
                          <w:tcPr>
                            <w:tcW w:w="8969" w:type="dxa"/>
                            <w:tcBorders/>
                            <w:shd w:fill="DCEBF4" w:val="clear"/>
                            <w:vAlign w:val="center"/>
                          </w:tcPr>
                          <w:p>
                            <w:pPr>
                              <w:pStyle w:val="TableContents"/>
                              <w:bidi w:val="0"/>
                              <w:spacing w:before="0" w:after="283"/>
                              <w:jc w:val="left"/>
                              <w:rPr>
                                <w:sz w:val="16"/>
                              </w:rPr>
                            </w:pPr>
                            <w:r>
                              <w:rPr>
                                <w:sz w:val="16"/>
                              </w:rPr>
                              <w:t>The closing price of one share of the underlying stock on the valuation date</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Trigger level:</w:t>
                            </w:r>
                          </w:p>
                        </w:tc>
                        <w:tc>
                          <w:tcPr>
                            <w:tcW w:w="8969" w:type="dxa"/>
                            <w:tcBorders/>
                            <w:vAlign w:val="center"/>
                          </w:tcPr>
                          <w:p>
                            <w:pPr>
                              <w:pStyle w:val="TableContents"/>
                              <w:bidi w:val="0"/>
                              <w:spacing w:before="0" w:after="283"/>
                              <w:jc w:val="left"/>
                              <w:rPr>
                                <w:sz w:val="16"/>
                              </w:rPr>
                            </w:pPr>
                            <w:r>
                              <w:rPr>
                                <w:sz w:val="16"/>
                              </w:rPr>
                              <w:t>65% of the initial stock price</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Leverage factor: </w:t>
                            </w:r>
                          </w:p>
                        </w:tc>
                        <w:tc>
                          <w:tcPr>
                            <w:tcW w:w="8969" w:type="dxa"/>
                            <w:tcBorders/>
                            <w:shd w:fill="DCEBF4" w:val="clear"/>
                            <w:vAlign w:val="center"/>
                          </w:tcPr>
                          <w:p>
                            <w:pPr>
                              <w:pStyle w:val="TableContents"/>
                              <w:bidi w:val="0"/>
                              <w:spacing w:before="0" w:after="283"/>
                              <w:jc w:val="left"/>
                              <w:rPr>
                                <w:sz w:val="16"/>
                              </w:rPr>
                            </w:pPr>
                            <w:r>
                              <w:rPr>
                                <w:sz w:val="16"/>
                              </w:rPr>
                              <w:t>150%</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Stock performance factor:</w:t>
                            </w:r>
                          </w:p>
                        </w:tc>
                        <w:tc>
                          <w:tcPr>
                            <w:tcW w:w="8969" w:type="dxa"/>
                            <w:tcBorders/>
                            <w:vAlign w:val="center"/>
                          </w:tcPr>
                          <w:p>
                            <w:pPr>
                              <w:pStyle w:val="TableContents"/>
                              <w:bidi w:val="0"/>
                              <w:spacing w:before="0" w:after="283"/>
                              <w:jc w:val="left"/>
                              <w:rPr>
                                <w:sz w:val="16"/>
                              </w:rPr>
                            </w:pPr>
                            <w:r>
                              <w:rPr>
                                <w:sz w:val="16"/>
                              </w:rPr>
                              <w:t>final stock price / initial stock price</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Stock adjustment factor: </w:t>
                            </w:r>
                          </w:p>
                        </w:tc>
                        <w:tc>
                          <w:tcPr>
                            <w:tcW w:w="8969" w:type="dxa"/>
                            <w:tcBorders/>
                            <w:shd w:fill="DCEBF4" w:val="clear"/>
                            <w:vAlign w:val="center"/>
                          </w:tcPr>
                          <w:p>
                            <w:pPr>
                              <w:pStyle w:val="TableContents"/>
                              <w:bidi w:val="0"/>
                              <w:spacing w:before="0" w:after="283"/>
                              <w:jc w:val="left"/>
                              <w:rPr>
                                <w:sz w:val="16"/>
                              </w:rPr>
                            </w:pPr>
                            <w:r>
                              <w:rPr>
                                <w:sz w:val="16"/>
                              </w:rPr>
                              <w:t>The stock adjustment factor is referenced in determining the closing price of the underlying stock and is set initially at 1.0 on the pricing date.  The stock adjustment factor is subject to adjustment in the event of certain corporate events affecting the underlying stock.</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969" w:type="dxa"/>
                            <w:tcBorders/>
                            <w:vAlign w:val="center"/>
                          </w:tcPr>
                          <w:p>
                            <w:pPr>
                              <w:pStyle w:val="TableContents"/>
                              <w:bidi w:val="0"/>
                              <w:spacing w:before="0" w:after="283"/>
                              <w:jc w:val="left"/>
                              <w:rPr>
                                <w:sz w:val="16"/>
                              </w:rPr>
                            </w:pPr>
                            <w:r>
                              <w:rPr>
                                <w:sz w:val="16"/>
                              </w:rPr>
                              <w:t>$1,000 per Trigger PLUS</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8969" w:type="dxa"/>
                            <w:tcBorders/>
                            <w:shd w:fill="DCEBF4" w:val="clear"/>
                            <w:vAlign w:val="center"/>
                          </w:tcPr>
                          <w:p>
                            <w:pPr>
                              <w:pStyle w:val="TableContents"/>
                              <w:bidi w:val="0"/>
                              <w:spacing w:before="0" w:after="283"/>
                              <w:jc w:val="left"/>
                              <w:rPr>
                                <w:sz w:val="16"/>
                              </w:rPr>
                            </w:pPr>
                            <w:r>
                              <w:rPr>
                                <w:sz w:val="16"/>
                              </w:rPr>
                              <w:t>$1,000 per Trigger PLUS</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969" w:type="dxa"/>
                            <w:tcBorders/>
                            <w:vAlign w:val="center"/>
                          </w:tcPr>
                          <w:p>
                            <w:pPr>
                              <w:pStyle w:val="TableContents"/>
                              <w:bidi w:val="0"/>
                              <w:spacing w:before="0" w:after="283"/>
                              <w:jc w:val="left"/>
                              <w:rPr>
                                <w:sz w:val="16"/>
                              </w:rPr>
                            </w:pPr>
                            <w:r>
                              <w:rPr>
                                <w:sz w:val="16"/>
                              </w:rPr>
                              <w:t>Expected to be August 14, 2026</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969" w:type="dxa"/>
                            <w:tcBorders/>
                            <w:shd w:fill="DCEBF4" w:val="clear"/>
                            <w:vAlign w:val="center"/>
                          </w:tcPr>
                          <w:p>
                            <w:pPr>
                              <w:pStyle w:val="TableContents"/>
                              <w:bidi w:val="0"/>
                              <w:spacing w:before="0" w:after="283"/>
                              <w:jc w:val="left"/>
                              <w:rPr>
                                <w:sz w:val="16"/>
                              </w:rPr>
                            </w:pPr>
                            <w:r>
                              <w:rPr>
                                <w:sz w:val="16"/>
                              </w:rPr>
                              <w:t>3 business days after the pricing date</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Redemption observation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969" w:type="dxa"/>
                            <w:tcBorders/>
                            <w:vAlign w:val="center"/>
                          </w:tcPr>
                          <w:p>
                            <w:pPr>
                              <w:pStyle w:val="TableContents"/>
                              <w:bidi w:val="0"/>
                              <w:spacing w:before="0" w:after="283"/>
                              <w:jc w:val="left"/>
                              <w:rPr>
                                <w:sz w:val="16"/>
                              </w:rPr>
                            </w:pPr>
                            <w:r>
                              <w:rPr>
                                <w:sz w:val="16"/>
                              </w:rPr>
                              <w:t>August 23, 2027</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Redemption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969" w:type="dxa"/>
                            <w:tcBorders/>
                            <w:shd w:fill="DCEBF4" w:val="clear"/>
                            <w:vAlign w:val="center"/>
                          </w:tcPr>
                          <w:p>
                            <w:pPr>
                              <w:pStyle w:val="TableContents"/>
                              <w:bidi w:val="0"/>
                              <w:spacing w:before="0" w:after="283"/>
                              <w:jc w:val="left"/>
                              <w:rPr>
                                <w:sz w:val="16"/>
                              </w:rPr>
                            </w:pPr>
                            <w:r>
                              <w:rPr>
                                <w:sz w:val="16"/>
                              </w:rPr>
                              <w:t>August 26, 2027</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969" w:type="dxa"/>
                            <w:tcBorders/>
                            <w:vAlign w:val="center"/>
                          </w:tcPr>
                          <w:p>
                            <w:pPr>
                              <w:pStyle w:val="TableContents"/>
                              <w:bidi w:val="0"/>
                              <w:spacing w:before="0" w:after="283"/>
                              <w:jc w:val="left"/>
                              <w:rPr>
                                <w:sz w:val="16"/>
                              </w:rPr>
                            </w:pPr>
                            <w:r>
                              <w:rPr>
                                <w:sz w:val="16"/>
                              </w:rPr>
                              <w:t>August 31, 2028</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6685" w:type="dxa"/>
                              <w:jc w:val="left"/>
                              <w:tblInd w:w="0" w:type="dxa"/>
                              <w:tblLayout w:type="fixed"/>
                              <w:tblCellMar>
                                <w:top w:w="0" w:type="dxa"/>
                                <w:left w:w="0" w:type="dxa"/>
                                <w:bottom w:w="0" w:type="dxa"/>
                                <w:right w:w="0" w:type="dxa"/>
                              </w:tblCellMar>
                            </w:tblPr>
                            <w:tblGrid>
                              <w:gridCol w:w="2615"/>
                              <w:gridCol w:w="4070"/>
                            </w:tblGrid>
                            <w:tr>
                              <w:trPr/>
                              <w:tc>
                                <w:tcPr>
                                  <w:tcW w:w="2615"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4070" w:type="dxa"/>
                                  <w:tcBorders/>
                                  <w:shd w:fill="DCEBF4" w:val="clear"/>
                                  <w:vAlign w:val="center"/>
                                </w:tcPr>
                                <w:p>
                                  <w:pPr>
                                    <w:pStyle w:val="TableContents"/>
                                    <w:bidi w:val="0"/>
                                    <w:spacing w:before="0" w:after="283"/>
                                    <w:jc w:val="left"/>
                                    <w:rPr>
                                      <w:sz w:val="16"/>
                                    </w:rPr>
                                  </w:pPr>
                                  <w:r>
                                    <w:rPr>
                                      <w:sz w:val="16"/>
                                    </w:rPr>
                                    <w:t>September 6, 2028</w:t>
                                  </w:r>
                                </w:p>
                              </w:tc>
                            </w:tr>
                            <w:tr>
                              <w:trPr/>
                              <w:tc>
                                <w:tcPr>
                                  <w:tcW w:w="2615"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CUSIP / ISIN:</w:t>
                                  </w:r>
                                </w:p>
                              </w:tc>
                              <w:tc>
                                <w:tcPr>
                                  <w:tcW w:w="4070" w:type="dxa"/>
                                  <w:tcBorders/>
                                  <w:vAlign w:val="center"/>
                                </w:tcPr>
                                <w:p>
                                  <w:pPr>
                                    <w:pStyle w:val="TableContents"/>
                                    <w:bidi w:val="0"/>
                                    <w:spacing w:before="0" w:after="283"/>
                                    <w:jc w:val="left"/>
                                    <w:rPr>
                                      <w:sz w:val="16"/>
                                    </w:rPr>
                                  </w:pPr>
                                  <w:r>
                                    <w:rPr>
                                      <w:sz w:val="16"/>
                                    </w:rPr>
                                    <w:t>46661K2Q0 / US46661K2Q03</w:t>
                                  </w:r>
                                </w:p>
                              </w:tc>
                            </w:tr>
                            <w:tr>
                              <w:trPr/>
                              <w:tc>
                                <w:tcPr>
                                  <w:tcW w:w="2615"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Preliminary pricing supplement: </w:t>
                                  </w:r>
                                </w:p>
                              </w:tc>
                              <w:tc>
                                <w:tcPr>
                                  <w:tcW w:w="4070" w:type="dxa"/>
                                  <w:tcBorders/>
                                  <w:shd w:fill="DCEBF4" w:val="clear"/>
                                  <w:vAlign w:val="center"/>
                                </w:tcPr>
                                <w:p>
                                  <w:pPr>
                                    <w:pStyle w:val="TableContents"/>
                                    <w:bidi w:val="0"/>
                                    <w:spacing w:before="0" w:after="283"/>
                                    <w:jc w:val="left"/>
                                    <w:rPr/>
                                  </w:pPr>
                                  <w:hyperlink r:id="rId2">
                                    <w:r>
                                      <w:rPr>
                                        <w:rStyle w:val="InternetLink"/>
                                        <w:sz w:val="16"/>
                                      </w:rPr>
                                      <w:t>http://www.sec.gov/Archives/edgar/data/</w:t>
                                      <w:br/>
                                      <w:t>19617/000121390026083530/ea0299960-01_424b2.htm</w:t>
                                    </w:r>
                                  </w:hyperlink>
                                </w:p>
                              </w:tc>
                            </w:tr>
                          </w:tbl>
                          <w:p>
                            <w:pPr>
                              <w:pStyle w:val="TextBody"/>
                              <w:bidi w:val="0"/>
                              <w:spacing w:before="20" w:after="0"/>
                              <w:ind w:left="130"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spacing w:before="20" w:after="0"/>
                              <w:ind w:left="13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Trigger PLUS on the pricing date will be provided in the pricing supplement and will not be less than $930.00 per $1,000 stated principal amount Trigger PLUS. For information about the estimated value of the Trigger PLUS, which likely will be lower than the price you paid for the Trigger PLUS, please see the hyperlink above.</w:t>
                            </w:r>
                          </w:p>
                          <w:p>
                            <w:pPr>
                              <w:pStyle w:val="TextBody"/>
                              <w:bidi w:val="0"/>
                              <w:spacing w:before="20" w:after="20"/>
                              <w:ind w:left="13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Trigger PLUS is subject to the credit risk of JPMorgan Financial, as issuer of the Trigger PLUS, and the credit risk of JPMorgan Chase &amp; Co., as guarantor of the Trigger PLUS.</w:t>
                            </w:r>
                          </w:p>
                          <w:tbl>
                            <w:tblPr>
                              <w:tblW w:w="6105" w:type="dxa"/>
                              <w:jc w:val="center"/>
                              <w:tblInd w:w="0" w:type="dxa"/>
                              <w:tblLayout w:type="fixed"/>
                              <w:tblCellMar>
                                <w:top w:w="0" w:type="dxa"/>
                                <w:left w:w="0" w:type="dxa"/>
                                <w:bottom w:w="0" w:type="dxa"/>
                                <w:right w:w="0" w:type="dxa"/>
                              </w:tblCellMar>
                            </w:tblPr>
                            <w:tblGrid>
                              <w:gridCol w:w="6105"/>
                            </w:tblGrid>
                            <w:tr>
                              <w:trPr/>
                              <w:tc>
                                <w:tcPr>
                                  <w:tcW w:w="6105" w:type="dxa"/>
                                  <w:tcBorders/>
                                  <w:shd w:fill="DCEBF4" w:val="clear"/>
                                  <w:vAlign w:val="center"/>
                                </w:tcPr>
                                <w:p>
                                  <w:pPr>
                                    <w:pStyle w:val="TableContents"/>
                                    <w:bidi w:val="0"/>
                                    <w:spacing w:before="0" w:after="283"/>
                                    <w:jc w:val="center"/>
                                    <w:rPr>
                                      <w:rFonts w:ascii="Arial;Helvetica;Sans-Serif" w:hAnsi="Arial;Helvetica;Sans-Serif"/>
                                      <w:b/>
                                      <w:color w:val="296DC1"/>
                                      <w:sz w:val="16"/>
                                    </w:rPr>
                                  </w:pPr>
                                  <w:r>
                                    <w:rPr>
                                      <w:rFonts w:ascii="Arial;Helvetica;Sans-Serif" w:hAnsi="Arial;Helvetica;Sans-Serif"/>
                                      <w:b/>
                                      <w:color w:val="296DC1"/>
                                      <w:sz w:val="16"/>
                                    </w:rPr>
                                    <w:t>Auto-Callable Dual Directional Trigger PLUS Payoff Diagram</w:t>
                                  </w:r>
                                </w:p>
                              </w:tc>
                            </w:tr>
                            <w:tr>
                              <w:trPr/>
                              <w:tc>
                                <w:tcPr>
                                  <w:tcW w:w="6105" w:type="dxa"/>
                                  <w:tcBorders/>
                                  <w:vAlign w:val="center"/>
                                </w:tcPr>
                                <w:p>
                                  <w:pPr>
                                    <w:pStyle w:val="TableContents"/>
                                    <w:bidi w:val="0"/>
                                    <w:spacing w:before="0" w:after="283"/>
                                    <w:jc w:val="center"/>
                                    <w:rPr/>
                                  </w:pPr>
                                  <w:r>
                                    <w:rPr/>
                                    <w:drawing>
                                      <wp:inline distT="0" distB="0" distL="0" distR="0">
                                        <wp:extent cx="3857625" cy="25241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3"/>
                                                <a:stretch>
                                                  <a:fillRect/>
                                                </a:stretch>
                                              </pic:blipFill>
                                              <pic:spPr bwMode="auto">
                                                <a:xfrm>
                                                  <a:off x="0" y="0"/>
                                                  <a:ext cx="3857625" cy="2524125"/>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tbl>
                            <w:tblPr>
                              <w:tblW w:w="4120" w:type="dxa"/>
                              <w:jc w:val="center"/>
                              <w:tblInd w:w="0" w:type="dxa"/>
                              <w:tblLayout w:type="fixed"/>
                              <w:tblCellMar>
                                <w:top w:w="0" w:type="dxa"/>
                                <w:left w:w="0" w:type="dxa"/>
                                <w:bottom w:w="0" w:type="dxa"/>
                                <w:right w:w="0" w:type="dxa"/>
                              </w:tblCellMar>
                            </w:tblPr>
                            <w:tblGrid>
                              <w:gridCol w:w="2060"/>
                              <w:gridCol w:w="2060"/>
                            </w:tblGrid>
                            <w:tr>
                              <w:trPr/>
                              <w:tc>
                                <w:tcPr>
                                  <w:tcW w:w="2060" w:type="dxa"/>
                                  <w:tcBorders/>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Change in Underlying Stock</w:t>
                                  </w:r>
                                </w:p>
                              </w:tc>
                              <w:tc>
                                <w:tcPr>
                                  <w:tcW w:w="2060" w:type="dxa"/>
                                  <w:tcBorders/>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Return on the Trigger PLUS</w:t>
                                  </w:r>
                                </w:p>
                              </w:tc>
                            </w:tr>
                          </w:tbl>
                          <w:tbl>
                            <w:tblPr>
                              <w:tblW w:w="1480" w:type="dxa"/>
                              <w:jc w:val="center"/>
                              <w:tblInd w:w="0" w:type="dxa"/>
                              <w:tblLayout w:type="fixed"/>
                              <w:tblCellMar>
                                <w:top w:w="0" w:type="dxa"/>
                                <w:left w:w="0" w:type="dxa"/>
                                <w:bottom w:w="0" w:type="dxa"/>
                                <w:right w:w="0" w:type="dxa"/>
                              </w:tblCellMar>
                            </w:tblPr>
                            <w:tblGrid>
                              <w:gridCol w:w="740"/>
                              <w:gridCol w:w="740"/>
                            </w:tblGrid>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75.00%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45.00%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7.50%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-35.00%</w:t>
                                  </w:r>
                                </w:p>
                              </w:tc>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35.00%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-35.01%</w:t>
                                  </w:r>
                                </w:p>
                              </w:tc>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-35.01%</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tbl>
                      <w:tblPr>
                        <w:tblW w:w="6685" w:type="dxa"/>
                        <w:jc w:val="left"/>
                        <w:tblInd w:w="0" w:type="dxa"/>
                        <w:tblLayout w:type="fixed"/>
                        <w:tblCellMar>
                          <w:top w:w="0" w:type="dxa"/>
                          <w:left w:w="0" w:type="dxa"/>
                          <w:bottom w:w="0" w:type="dxa"/>
                          <w:right w:w="0" w:type="dxa"/>
                        </w:tblCellMar>
                      </w:tblPr>
                      <w:tblGrid>
                        <w:gridCol w:w="2615"/>
                        <w:gridCol w:w="4070"/>
                      </w:tblGrid>
                      <w:tr>
                        <w:trPr/>
                        <w:tc>
                          <w:tcPr>
                            <w:tcW w:w="2615"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4070" w:type="dxa"/>
                            <w:tcBorders/>
                            <w:shd w:fill="DCEBF4" w:val="clear"/>
                            <w:vAlign w:val="center"/>
                          </w:tcPr>
                          <w:p>
                            <w:pPr>
                              <w:pStyle w:val="TableContents"/>
                              <w:bidi w:val="0"/>
                              <w:spacing w:before="0" w:after="283"/>
                              <w:jc w:val="left"/>
                              <w:rPr>
                                <w:sz w:val="16"/>
                              </w:rPr>
                            </w:pPr>
                            <w:r>
                              <w:rPr>
                                <w:sz w:val="16"/>
                              </w:rPr>
                              <w:t>September 6, 2028</w:t>
                            </w:r>
                          </w:p>
                        </w:tc>
                      </w:tr>
                      <w:tr>
                        <w:trPr/>
                        <w:tc>
                          <w:tcPr>
                            <w:tcW w:w="2615"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CUSIP / ISIN:</w:t>
                            </w:r>
                          </w:p>
                        </w:tc>
                        <w:tc>
                          <w:tcPr>
                            <w:tcW w:w="4070" w:type="dxa"/>
                            <w:tcBorders/>
                            <w:vAlign w:val="center"/>
                          </w:tcPr>
                          <w:p>
                            <w:pPr>
                              <w:pStyle w:val="TableContents"/>
                              <w:bidi w:val="0"/>
                              <w:spacing w:before="0" w:after="283"/>
                              <w:jc w:val="left"/>
                              <w:rPr>
                                <w:sz w:val="16"/>
                              </w:rPr>
                            </w:pPr>
                            <w:r>
                              <w:rPr>
                                <w:sz w:val="16"/>
                              </w:rPr>
                              <w:t>46661K2Q0 / US46661K2Q03</w:t>
                            </w:r>
                          </w:p>
                        </w:tc>
                      </w:tr>
                      <w:tr>
                        <w:trPr/>
                        <w:tc>
                          <w:tcPr>
                            <w:tcW w:w="2615"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Preliminary pricing supplement: </w:t>
                            </w:r>
                          </w:p>
                        </w:tc>
                        <w:tc>
                          <w:tcPr>
                            <w:tcW w:w="4070" w:type="dxa"/>
                            <w:tcBorders/>
                            <w:shd w:fill="DCEBF4" w:val="clear"/>
                            <w:vAlign w:val="center"/>
                          </w:tcPr>
                          <w:p>
                            <w:pPr>
                              <w:pStyle w:val="TableContents"/>
                              <w:bidi w:val="0"/>
                              <w:spacing w:before="0" w:after="283"/>
                              <w:jc w:val="left"/>
                              <w:rPr/>
                            </w:pPr>
                            <w:hyperlink r:id="rId4">
                              <w:r>
                                <w:rPr>
                                  <w:rStyle w:val="InternetLink"/>
                                  <w:sz w:val="16"/>
                                </w:rPr>
                                <w:t>http://www.sec.gov/Archives/edgar/data/</w:t>
                                <w:br/>
                                <w:t>19617/000121390026083530/ea0299960-01_424b2.htm</w:t>
                              </w:r>
                            </w:hyperlink>
                          </w:p>
                        </w:tc>
                      </w:tr>
                    </w:tbl>
                    <w:p>
                      <w:pPr>
                        <w:pStyle w:val="TextBody"/>
                        <w:bidi w:val="0"/>
                        <w:spacing w:before="20" w:after="0"/>
                        <w:ind w:left="130"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spacing w:before="20" w:after="0"/>
                        <w:ind w:left="13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Trigger PLUS on the pricing date will be provided in the pricing supplement and will not be less than $930.00 per $1,000 stated principal amount Trigger PLUS. For information about the estimated value of the Trigger PLUS, which likely will be lower than the price you paid for the Trigger PLUS, please see the hyperlink above.</w:t>
                      </w:r>
                    </w:p>
                    <w:p>
                      <w:pPr>
                        <w:pStyle w:val="TextBody"/>
                        <w:bidi w:val="0"/>
                        <w:spacing w:before="20" w:after="20"/>
                        <w:ind w:left="13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Trigger PLUS is subject to the credit risk of JPMorgan Financial, as issuer of the Trigger PLUS, and the credit risk of JPMorgan Chase &amp; Co., as guarantor of the Trigger PLUS.</w:t>
                      </w:r>
                    </w:p>
                    <w:tbl>
                      <w:tblPr>
                        <w:tblW w:w="6105" w:type="dxa"/>
                        <w:jc w:val="center"/>
                        <w:tblInd w:w="0" w:type="dxa"/>
                        <w:tblLayout w:type="fixed"/>
                        <w:tblCellMar>
                          <w:top w:w="0" w:type="dxa"/>
                          <w:left w:w="0" w:type="dxa"/>
                          <w:bottom w:w="0" w:type="dxa"/>
                          <w:right w:w="0" w:type="dxa"/>
                        </w:tblCellMar>
                      </w:tblPr>
                      <w:tblGrid>
                        <w:gridCol w:w="6105"/>
                      </w:tblGrid>
                      <w:tr>
                        <w:trPr/>
                        <w:tc>
                          <w:tcPr>
                            <w:tcW w:w="6105" w:type="dxa"/>
                            <w:tcBorders/>
                            <w:shd w:fill="DCEBF4" w:val="clear"/>
                            <w:vAlign w:val="center"/>
                          </w:tcPr>
                          <w:p>
                            <w:pPr>
                              <w:pStyle w:val="TableContents"/>
                              <w:bidi w:val="0"/>
                              <w:spacing w:before="0" w:after="283"/>
                              <w:jc w:val="center"/>
                              <w:rPr>
                                <w:rFonts w:ascii="Arial;Helvetica;Sans-Serif" w:hAnsi="Arial;Helvetica;Sans-Serif"/>
                                <w:b/>
                                <w:color w:val="296DC1"/>
                                <w:sz w:val="16"/>
                              </w:rPr>
                            </w:pPr>
                            <w:r>
                              <w:rPr>
                                <w:rFonts w:ascii="Arial;Helvetica;Sans-Serif" w:hAnsi="Arial;Helvetica;Sans-Serif"/>
                                <w:b/>
                                <w:color w:val="296DC1"/>
                                <w:sz w:val="16"/>
                              </w:rPr>
                              <w:t>Auto-Callable Dual Directional Trigger PLUS Payoff Diagram</w:t>
                            </w:r>
                          </w:p>
                        </w:tc>
                      </w:tr>
                      <w:tr>
                        <w:trPr/>
                        <w:tc>
                          <w:tcPr>
                            <w:tcW w:w="6105" w:type="dxa"/>
                            <w:tcBorders/>
                            <w:vAlign w:val="center"/>
                          </w:tcPr>
                          <w:p>
                            <w:pPr>
                              <w:pStyle w:val="TableContents"/>
                              <w:bidi w:val="0"/>
                              <w:spacing w:before="0" w:after="283"/>
                              <w:jc w:val="center"/>
                              <w:rPr/>
                            </w:pPr>
                            <w:r>
                              <w:rPr/>
                              <w:drawing>
                                <wp:inline distT="0" distB="0" distL="0" distR="0">
                                  <wp:extent cx="3857625" cy="25241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5"/>
                                          <a:stretch>
                                            <a:fillRect/>
                                          </a:stretch>
                                        </pic:blipFill>
                                        <pic:spPr bwMode="auto">
                                          <a:xfrm>
                                            <a:off x="0" y="0"/>
                                            <a:ext cx="3857625" cy="2524125"/>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tbl>
                      <w:tblPr>
                        <w:tblW w:w="4120" w:type="dxa"/>
                        <w:jc w:val="center"/>
                        <w:tblInd w:w="0" w:type="dxa"/>
                        <w:tblLayout w:type="fixed"/>
                        <w:tblCellMar>
                          <w:top w:w="0" w:type="dxa"/>
                          <w:left w:w="0" w:type="dxa"/>
                          <w:bottom w:w="0" w:type="dxa"/>
                          <w:right w:w="0" w:type="dxa"/>
                        </w:tblCellMar>
                      </w:tblPr>
                      <w:tblGrid>
                        <w:gridCol w:w="2060"/>
                        <w:gridCol w:w="2060"/>
                      </w:tblGrid>
                      <w:tr>
                        <w:trPr/>
                        <w:tc>
                          <w:tcPr>
                            <w:tcW w:w="2060" w:type="dxa"/>
                            <w:tcBorders/>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Change in Underlying Stock</w:t>
                            </w:r>
                          </w:p>
                        </w:tc>
                        <w:tc>
                          <w:tcPr>
                            <w:tcW w:w="2060" w:type="dxa"/>
                            <w:tcBorders/>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Return on the Trigger PLUS</w:t>
                            </w:r>
                          </w:p>
                        </w:tc>
                      </w:tr>
                    </w:tbl>
                    <w:tbl>
                      <w:tblPr>
                        <w:tblW w:w="1480" w:type="dxa"/>
                        <w:jc w:val="center"/>
                        <w:tblInd w:w="0" w:type="dxa"/>
                        <w:tblLayout w:type="fixed"/>
                        <w:tblCellMar>
                          <w:top w:w="0" w:type="dxa"/>
                          <w:left w:w="0" w:type="dxa"/>
                          <w:bottom w:w="0" w:type="dxa"/>
                          <w:right w:w="0" w:type="dxa"/>
                        </w:tblCellMar>
                      </w:tblPr>
                      <w:tblGrid>
                        <w:gridCol w:w="740"/>
                        <w:gridCol w:w="740"/>
                      </w:tblGrid>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75.00%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45.00%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7.50%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-35.00%</w:t>
                            </w:r>
                          </w:p>
                        </w:tc>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35.00%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-35.01%</w:t>
                            </w:r>
                          </w:p>
                        </w:tc>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-35.01%</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r>
                    </w:tbl>
                    <w:p>
                      <w:pPr>
                        <w:pStyle w:val="TextBody"/>
                        <w:bidi w:val="0"/>
                        <w:spacing w:before="0" w:after="283"/>
                        <w:jc w:val="left"/>
                        <w:rPr/>
                      </w:pPr>
                      <w:r>
                        <w:rPr/>
                      </w:r>
                    </w:p>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2-Year ORCL Auto-Callable Dual Directional Trigger PLUS</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Underlying Stock</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underlying stock, including historical performance information, see the accompanying preliminary pricing supplement.</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Trigger PLUS Generally</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The Trigger PLUS do not pay interest or, if the Trigger PLUS have not been automatically redeemed prior to maturity, guarantee the return of any principal and your investment in the Trigger PLUS may result in a loss.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If the Trigger PLUS are automatically redeemed prior to maturity, the appreciation potential of the Trigger PLUS is limited to the early redemption payment.</w:t>
            </w:r>
          </w:p>
        </w:tc>
      </w:tr>
    </w:tbl>
    <w:tbl>
      <w:tblPr>
        <w:tblW w:w="5000" w:type="pct"/>
        <w:jc w:val="left"/>
        <w:tblInd w:w="0" w:type="dxa"/>
        <w:tblLayout w:type="fixed"/>
        <w:tblCellMar>
          <w:top w:w="0" w:type="dxa"/>
          <w:left w:w="0" w:type="dxa"/>
          <w:bottom w:w="0" w:type="dxa"/>
          <w:right w:w="0" w:type="dxa"/>
        </w:tblCellMar>
      </w:tblPr>
      <w:tblGrid>
        <w:gridCol w:w="213"/>
        <w:gridCol w:w="701"/>
        <w:gridCol w:w="9291"/>
      </w:tblGrid>
      <w:tr>
        <w:trPr/>
        <w:tc>
          <w:tcPr>
            <w:tcW w:w="21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291" w:type="dxa"/>
            <w:tcBorders/>
            <w:vAlign w:val="center"/>
          </w:tcPr>
          <w:p>
            <w:pPr>
              <w:pStyle w:val="TableContents"/>
              <w:bidi w:val="0"/>
              <w:spacing w:before="0" w:after="283"/>
              <w:jc w:val="left"/>
              <w:rPr>
                <w:sz w:val="18"/>
              </w:rPr>
            </w:pPr>
            <w:r>
              <w:rPr>
                <w:sz w:val="18"/>
              </w:rPr>
              <w:t xml:space="preserve">Early redemption risk.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If the Trigger PLUS have not been automatically redeemed prior to maturity, your maximum downside gain on the Trigger PLUS is limited by the trigger level.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The Trigger PLUS are subject to the credit risks of JPMorgan Financial and JPMorgan Chase &amp; Co., and any actual or anticipated changes to our or JPMorgan Chase &amp; Co.’s credit ratings or credit spreads may adversely affect the market value of the Trigger PLUS. </w:t>
            </w:r>
          </w:p>
        </w:tc>
      </w:tr>
    </w:tbl>
    <w:tbl>
      <w:tblPr>
        <w:tblW w:w="5000" w:type="pct"/>
        <w:jc w:val="left"/>
        <w:tblInd w:w="0" w:type="dxa"/>
        <w:tblLayout w:type="fixed"/>
        <w:tblCellMar>
          <w:top w:w="0" w:type="dxa"/>
          <w:left w:w="0" w:type="dxa"/>
          <w:bottom w:w="0" w:type="dxa"/>
          <w:right w:w="0" w:type="dxa"/>
        </w:tblCellMar>
      </w:tblPr>
      <w:tblGrid>
        <w:gridCol w:w="54"/>
        <w:gridCol w:w="179"/>
        <w:gridCol w:w="9972"/>
      </w:tblGrid>
      <w:tr>
        <w:trPr/>
        <w:tc>
          <w:tcPr>
            <w:tcW w:w="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2" w:type="dxa"/>
            <w:tcBorders/>
            <w:vAlign w:val="center"/>
          </w:tcPr>
          <w:p>
            <w:pPr>
              <w:pStyle w:val="TableContents"/>
              <w:bidi w:val="0"/>
              <w:spacing w:before="0" w:after="283"/>
              <w:jc w:val="left"/>
              <w:rPr>
                <w:sz w:val="18"/>
              </w:rPr>
            </w:pPr>
            <w:r>
              <w:rPr>
                <w:sz w:val="18"/>
              </w:rPr>
              <w:t xml:space="preserve">As a finance subsidiary, JPMorgan Financial has no independent activities and has limited assets. </w:t>
            </w:r>
          </w:p>
        </w:tc>
      </w:tr>
    </w:tbl>
    <w:tbl>
      <w:tblPr>
        <w:tblW w:w="5000" w:type="pct"/>
        <w:jc w:val="left"/>
        <w:tblInd w:w="0" w:type="dxa"/>
        <w:tblLayout w:type="fixed"/>
        <w:tblCellMar>
          <w:top w:w="0" w:type="dxa"/>
          <w:left w:w="0" w:type="dxa"/>
          <w:bottom w:w="0" w:type="dxa"/>
          <w:right w:w="0" w:type="dxa"/>
        </w:tblCellMar>
      </w:tblPr>
      <w:tblGrid>
        <w:gridCol w:w="68"/>
        <w:gridCol w:w="228"/>
        <w:gridCol w:w="9909"/>
      </w:tblGrid>
      <w:tr>
        <w:trPr/>
        <w:tc>
          <w:tcPr>
            <w:tcW w:w="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09" w:type="dxa"/>
            <w:tcBorders/>
            <w:vAlign w:val="center"/>
          </w:tcPr>
          <w:p>
            <w:pPr>
              <w:pStyle w:val="TableContents"/>
              <w:bidi w:val="0"/>
              <w:spacing w:before="0" w:after="283"/>
              <w:jc w:val="left"/>
              <w:rPr>
                <w:sz w:val="18"/>
              </w:rPr>
            </w:pPr>
            <w:r>
              <w:rPr>
                <w:sz w:val="18"/>
              </w:rPr>
              <w:t>The benefit provided by the trigger level may terminate on the valuation date.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We may accelerate your Trigger PLUS in our sole discretion and the calculation agent may adjust their final payment in good faith and in a commercially reasonable manner if an acceleration event occurs.</w:t>
            </w:r>
          </w:p>
        </w:tc>
      </w:tr>
    </w:tbl>
    <w:tbl>
      <w:tblPr>
        <w:tblW w:w="5000" w:type="pct"/>
        <w:jc w:val="left"/>
        <w:tblInd w:w="0" w:type="dxa"/>
        <w:tblLayout w:type="fixed"/>
        <w:tblCellMar>
          <w:top w:w="0" w:type="dxa"/>
          <w:left w:w="0" w:type="dxa"/>
          <w:bottom w:w="0" w:type="dxa"/>
          <w:right w:w="0" w:type="dxa"/>
        </w:tblCellMar>
      </w:tblPr>
      <w:tblGrid>
        <w:gridCol w:w="145"/>
        <w:gridCol w:w="480"/>
        <w:gridCol w:w="9580"/>
      </w:tblGrid>
      <w:tr>
        <w:trPr/>
        <w:tc>
          <w:tcPr>
            <w:tcW w:w="14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80" w:type="dxa"/>
            <w:tcBorders/>
            <w:vAlign w:val="center"/>
          </w:tcPr>
          <w:p>
            <w:pPr>
              <w:pStyle w:val="TableContents"/>
              <w:bidi w:val="0"/>
              <w:spacing w:before="0" w:after="283"/>
              <w:jc w:val="left"/>
              <w:rPr>
                <w:sz w:val="18"/>
              </w:rPr>
            </w:pPr>
            <w:r>
              <w:rPr>
                <w:sz w:val="18"/>
              </w:rPr>
              <w:t xml:space="preserve">Secondary trading may be limited. </w:t>
            </w:r>
          </w:p>
        </w:tc>
      </w:tr>
    </w:tbl>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0" w:type="dxa"/>
            <w:tcBorders/>
            <w:vAlign w:val="center"/>
          </w:tcPr>
          <w:p>
            <w:pPr>
              <w:pStyle w:val="TableContents"/>
              <w:bidi w:val="0"/>
              <w:spacing w:before="0" w:after="283"/>
              <w:jc w:val="left"/>
              <w:rPr>
                <w:sz w:val="18"/>
              </w:rPr>
            </w:pPr>
            <w:r>
              <w:rPr>
                <w:sz w:val="18"/>
              </w:rPr>
              <w:t xml:space="preserve">The final terms and </w:t>
            </w:r>
            <w:r>
              <w:rPr>
                <w:rFonts w:ascii="Arial;Helvetica;Sans-Serif" w:hAnsi="Arial;Helvetica;Sans-Serif"/>
                <w:b w:val="false"/>
                <w:sz w:val="18"/>
              </w:rPr>
              <w:t xml:space="preserve">estimated </w:t>
            </w:r>
            <w:r>
              <w:rPr>
                <w:sz w:val="18"/>
              </w:rPr>
              <w:t xml:space="preserve">valuation of the Trigger PLUS will be provided in the pricing supplement. </w:t>
            </w:r>
          </w:p>
        </w:tc>
      </w:tr>
    </w:tbl>
    <w:tbl>
      <w:tblPr>
        <w:tblW w:w="5000" w:type="pct"/>
        <w:jc w:val="left"/>
        <w:tblInd w:w="0" w:type="dxa"/>
        <w:tblLayout w:type="fixed"/>
        <w:tblCellMar>
          <w:top w:w="0" w:type="dxa"/>
          <w:left w:w="0" w:type="dxa"/>
          <w:bottom w:w="0" w:type="dxa"/>
          <w:right w:w="0" w:type="dxa"/>
        </w:tblCellMar>
      </w:tblPr>
      <w:tblGrid>
        <w:gridCol w:w="70"/>
        <w:gridCol w:w="232"/>
        <w:gridCol w:w="9903"/>
      </w:tblGrid>
      <w:tr>
        <w:trPr/>
        <w:tc>
          <w:tcPr>
            <w:tcW w:w="7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03" w:type="dxa"/>
            <w:tcBorders/>
            <w:vAlign w:val="center"/>
          </w:tcPr>
          <w:p>
            <w:pPr>
              <w:pStyle w:val="TableContents"/>
              <w:bidi w:val="0"/>
              <w:spacing w:before="0" w:after="283"/>
              <w:jc w:val="left"/>
              <w:rPr>
                <w:sz w:val="18"/>
              </w:rPr>
            </w:pPr>
            <w:r>
              <w:rPr>
                <w:sz w:val="18"/>
              </w:rPr>
              <w:t xml:space="preserve">The tax consequences of an investment in the Trigger PLUS are uncertain. </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Economic interests of the issuer, the guarantor, the calculation agent, the agent of the offering of the Trigger PLUS and other affiliates of the issuer may be different from those of investors.</w:t>
            </w:r>
          </w:p>
        </w:tc>
      </w:tr>
    </w:tbl>
    <w:tbl>
      <w:tblPr>
        <w:tblW w:w="5000" w:type="pct"/>
        <w:jc w:val="left"/>
        <w:tblInd w:w="0" w:type="dxa"/>
        <w:tblLayout w:type="fixed"/>
        <w:tblCellMar>
          <w:top w:w="0" w:type="dxa"/>
          <w:left w:w="0" w:type="dxa"/>
          <w:bottom w:w="0" w:type="dxa"/>
          <w:right w:w="0" w:type="dxa"/>
        </w:tblCellMar>
      </w:tblPr>
      <w:tblGrid>
        <w:gridCol w:w="46"/>
        <w:gridCol w:w="154"/>
        <w:gridCol w:w="10005"/>
      </w:tblGrid>
      <w:tr>
        <w:trPr/>
        <w:tc>
          <w:tcPr>
            <w:tcW w:w="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5"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Trigger PLUS.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Trigger PLUS</w:t>
      </w:r>
    </w:p>
    <w:tbl>
      <w:tblPr>
        <w:tblW w:w="5000" w:type="pct"/>
        <w:jc w:val="left"/>
        <w:tblInd w:w="0" w:type="dxa"/>
        <w:tblLayout w:type="fixed"/>
        <w:tblCellMar>
          <w:top w:w="0" w:type="dxa"/>
          <w:left w:w="0" w:type="dxa"/>
          <w:bottom w:w="0" w:type="dxa"/>
          <w:right w:w="0" w:type="dxa"/>
        </w:tblCellMar>
      </w:tblPr>
      <w:tblGrid>
        <w:gridCol w:w="44"/>
        <w:gridCol w:w="145"/>
        <w:gridCol w:w="10016"/>
      </w:tblGrid>
      <w:tr>
        <w:trPr/>
        <w:tc>
          <w:tcPr>
            <w:tcW w:w="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16" w:type="dxa"/>
            <w:tcBorders/>
            <w:vAlign w:val="center"/>
          </w:tcPr>
          <w:p>
            <w:pPr>
              <w:pStyle w:val="TableContents"/>
              <w:bidi w:val="0"/>
              <w:spacing w:before="0" w:after="283"/>
              <w:jc w:val="left"/>
              <w:rPr>
                <w:sz w:val="18"/>
              </w:rPr>
            </w:pPr>
            <w:r>
              <w:rPr>
                <w:sz w:val="18"/>
              </w:rPr>
              <w:t>The estimated value of the Trigger PLUS will be lower than the original issue price (price to public) of the Trigger PLUS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40"/>
        <w:gridCol w:w="131"/>
        <w:gridCol w:w="10034"/>
      </w:tblGrid>
      <w:tr>
        <w:trPr/>
        <w:tc>
          <w:tcPr>
            <w:tcW w:w="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34" w:type="dxa"/>
            <w:tcBorders/>
            <w:vAlign w:val="center"/>
          </w:tcPr>
          <w:p>
            <w:pPr>
              <w:pStyle w:val="TableContents"/>
              <w:bidi w:val="0"/>
              <w:spacing w:before="0" w:after="283"/>
              <w:jc w:val="left"/>
              <w:rPr>
                <w:sz w:val="18"/>
              </w:rPr>
            </w:pPr>
            <w:r>
              <w:rPr>
                <w:sz w:val="18"/>
              </w:rPr>
              <w:t>The estimated value of the Trigger PLUS does not represent future values of the Trigger PLUS and may differ from others’ estimates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51"/>
        <w:gridCol w:w="171"/>
        <w:gridCol w:w="9983"/>
      </w:tblGrid>
      <w:tr>
        <w:trPr/>
        <w:tc>
          <w:tcPr>
            <w:tcW w:w="5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83" w:type="dxa"/>
            <w:tcBorders/>
            <w:vAlign w:val="center"/>
          </w:tcPr>
          <w:p>
            <w:pPr>
              <w:pStyle w:val="TableContents"/>
              <w:bidi w:val="0"/>
              <w:spacing w:before="0" w:after="283"/>
              <w:jc w:val="left"/>
              <w:rPr/>
            </w:pPr>
            <w:r>
              <w:rPr>
                <w:rFonts w:ascii="Arial;Helvetica;Sans-Serif" w:hAnsi="Arial;Helvetica;Sans-Serif"/>
                <w:b w:val="false"/>
                <w:sz w:val="18"/>
              </w:rPr>
              <w:t xml:space="preserve">The estimated value of the </w:t>
            </w:r>
            <w:r>
              <w:rPr>
                <w:sz w:val="18"/>
              </w:rPr>
              <w:t xml:space="preserve">Trigger PLUS </w:t>
            </w:r>
            <w:r>
              <w:rPr>
                <w:rFonts w:ascii="Arial;Helvetica;Sans-Serif" w:hAnsi="Arial;Helvetica;Sans-Serif"/>
                <w:b w:val="false"/>
                <w:sz w:val="18"/>
              </w:rPr>
              <w:t>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pPr>
            <w:r>
              <w:rPr>
                <w:rFonts w:ascii="Arial;Helvetica;Sans-Serif" w:hAnsi="Arial;Helvetica;Sans-Serif"/>
                <w:b w:val="false"/>
                <w:sz w:val="18"/>
              </w:rPr>
              <w:t xml:space="preserve">The value of the </w:t>
            </w:r>
            <w:r>
              <w:rPr>
                <w:sz w:val="18"/>
              </w:rPr>
              <w:t xml:space="preserve">Trigger PLUS </w:t>
            </w:r>
            <w:r>
              <w:rPr>
                <w:rFonts w:ascii="Arial;Helvetica;Sans-Serif" w:hAnsi="Arial;Helvetica;Sans-Serif"/>
                <w:b w:val="false"/>
                <w:sz w:val="18"/>
              </w:rPr>
              <w:t xml:space="preserve">as published by J.P. Morgan Securities LLC (and which may be reflected on customer account statements) may be higher than the then-current estimated value of the </w:t>
            </w:r>
            <w:r>
              <w:rPr>
                <w:sz w:val="18"/>
              </w:rPr>
              <w:t xml:space="preserve">Trigger PLUS </w:t>
            </w:r>
            <w:r>
              <w:rPr>
                <w:rFonts w:ascii="Arial;Helvetica;Sans-Serif" w:hAnsi="Arial;Helvetica;Sans-Serif"/>
                <w:b w:val="false"/>
                <w:sz w:val="18"/>
              </w:rPr>
              <w:t>for a limited time period.</w:t>
            </w:r>
          </w:p>
        </w:tc>
      </w:tr>
    </w:tbl>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9" w:type="dxa"/>
            <w:tcBorders/>
            <w:vAlign w:val="center"/>
          </w:tcPr>
          <w:p>
            <w:pPr>
              <w:pStyle w:val="TableContents"/>
              <w:bidi w:val="0"/>
              <w:spacing w:before="0" w:after="283"/>
              <w:jc w:val="left"/>
              <w:rPr>
                <w:sz w:val="18"/>
              </w:rPr>
            </w:pPr>
            <w:r>
              <w:rPr>
                <w:sz w:val="18"/>
              </w:rPr>
              <w:t>Secondary market prices of the Trigger PLUS will likely be lower than the original issue price of the Trigger PLUS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6"/>
        <w:gridCol w:w="153"/>
        <w:gridCol w:w="10006"/>
      </w:tblGrid>
      <w:tr>
        <w:trPr/>
        <w:tc>
          <w:tcPr>
            <w:tcW w:w="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6" w:type="dxa"/>
            <w:tcBorders/>
            <w:vAlign w:val="center"/>
          </w:tcPr>
          <w:p>
            <w:pPr>
              <w:pStyle w:val="TableContents"/>
              <w:bidi w:val="0"/>
              <w:spacing w:before="0" w:after="283"/>
              <w:jc w:val="left"/>
              <w:rPr/>
            </w:pPr>
            <w:r>
              <w:rPr>
                <w:rFonts w:ascii="Arial;Helvetica;Sans-Serif" w:hAnsi="Arial;Helvetica;Sans-Serif"/>
                <w:b w:val="false"/>
                <w:sz w:val="18"/>
              </w:rPr>
              <w:t xml:space="preserve">Secondary market prices of the </w:t>
            </w:r>
            <w:r>
              <w:rPr>
                <w:sz w:val="18"/>
              </w:rPr>
              <w:t xml:space="preserve">Trigger PLUS </w:t>
            </w:r>
            <w:r>
              <w:rPr>
                <w:rFonts w:ascii="Arial;Helvetica;Sans-Serif" w:hAnsi="Arial;Helvetica;Sans-Serif"/>
                <w:b w:val="false"/>
                <w:sz w:val="18"/>
              </w:rPr>
              <w:t>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Stock</w:t>
      </w:r>
    </w:p>
    <w:tbl>
      <w:tblPr>
        <w:tblW w:w="5000" w:type="pct"/>
        <w:jc w:val="left"/>
        <w:tblInd w:w="0" w:type="dxa"/>
        <w:tblLayout w:type="fixed"/>
        <w:tblCellMar>
          <w:top w:w="0" w:type="dxa"/>
          <w:left w:w="0" w:type="dxa"/>
          <w:bottom w:w="0" w:type="dxa"/>
          <w:right w:w="0" w:type="dxa"/>
        </w:tblCellMar>
      </w:tblPr>
      <w:tblGrid>
        <w:gridCol w:w="63"/>
        <w:gridCol w:w="207"/>
        <w:gridCol w:w="9935"/>
      </w:tblGrid>
      <w:tr>
        <w:trPr/>
        <w:tc>
          <w:tcPr>
            <w:tcW w:w="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35" w:type="dxa"/>
            <w:tcBorders/>
            <w:vAlign w:val="center"/>
          </w:tcPr>
          <w:p>
            <w:pPr>
              <w:pStyle w:val="TableContents"/>
              <w:bidi w:val="0"/>
              <w:spacing w:before="0" w:after="283"/>
              <w:jc w:val="left"/>
              <w:rPr>
                <w:sz w:val="18"/>
              </w:rPr>
            </w:pPr>
            <w:r>
              <w:rPr>
                <w:sz w:val="18"/>
              </w:rPr>
              <w:t>Investing in the Trigger PLUS is not equivalent to investing in the underlying stock.</w:t>
            </w:r>
          </w:p>
        </w:tc>
      </w:tr>
    </w:tbl>
    <w:tbl>
      <w:tblPr>
        <w:tblW w:w="5000" w:type="pct"/>
        <w:jc w:val="left"/>
        <w:tblInd w:w="0" w:type="dxa"/>
        <w:tblLayout w:type="fixed"/>
        <w:tblCellMar>
          <w:top w:w="0" w:type="dxa"/>
          <w:left w:w="0" w:type="dxa"/>
          <w:bottom w:w="0" w:type="dxa"/>
          <w:right w:w="0" w:type="dxa"/>
        </w:tblCellMar>
      </w:tblPr>
      <w:tblGrid>
        <w:gridCol w:w="129"/>
        <w:gridCol w:w="424"/>
        <w:gridCol w:w="9652"/>
      </w:tblGrid>
      <w:tr>
        <w:trPr/>
        <w:tc>
          <w:tcPr>
            <w:tcW w:w="12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652" w:type="dxa"/>
            <w:tcBorders/>
            <w:vAlign w:val="center"/>
          </w:tcPr>
          <w:p>
            <w:pPr>
              <w:pStyle w:val="TableContents"/>
              <w:bidi w:val="0"/>
              <w:spacing w:before="0" w:after="283"/>
              <w:jc w:val="left"/>
              <w:rPr>
                <w:sz w:val="18"/>
              </w:rPr>
            </w:pPr>
            <w:r>
              <w:rPr>
                <w:sz w:val="18"/>
              </w:rPr>
              <w:t xml:space="preserve">No affiliation with Oracle Corporation. </w:t>
            </w:r>
          </w:p>
        </w:tc>
      </w:tr>
    </w:tbl>
    <w:tbl>
      <w:tblPr>
        <w:tblW w:w="5000" w:type="pct"/>
        <w:jc w:val="left"/>
        <w:tblInd w:w="0" w:type="dxa"/>
        <w:tblLayout w:type="fixed"/>
        <w:tblCellMar>
          <w:top w:w="0" w:type="dxa"/>
          <w:left w:w="0" w:type="dxa"/>
          <w:bottom w:w="0" w:type="dxa"/>
          <w:right w:w="0" w:type="dxa"/>
        </w:tblCellMar>
      </w:tblPr>
      <w:tblGrid>
        <w:gridCol w:w="54"/>
        <w:gridCol w:w="178"/>
        <w:gridCol w:w="9973"/>
      </w:tblGrid>
      <w:tr>
        <w:trPr/>
        <w:tc>
          <w:tcPr>
            <w:tcW w:w="5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3" w:type="dxa"/>
            <w:tcBorders/>
            <w:vAlign w:val="center"/>
          </w:tcPr>
          <w:p>
            <w:pPr>
              <w:pStyle w:val="TableContents"/>
              <w:bidi w:val="0"/>
              <w:spacing w:before="0" w:after="283"/>
              <w:jc w:val="left"/>
              <w:rPr>
                <w:sz w:val="18"/>
              </w:rPr>
            </w:pPr>
            <w:r>
              <w:rPr>
                <w:sz w:val="18"/>
              </w:rPr>
              <w:t>We may engage in business with or involving Oracle Corporation without regard to your interests.</w:t>
            </w:r>
          </w:p>
        </w:tc>
      </w:tr>
    </w:tbl>
    <w:tbl>
      <w:tblPr>
        <w:tblW w:w="6408" w:type="dxa"/>
        <w:jc w:val="left"/>
        <w:tblInd w:w="0" w:type="dxa"/>
        <w:tblLayout w:type="fixed"/>
        <w:tblCellMar>
          <w:top w:w="0" w:type="dxa"/>
          <w:left w:w="0" w:type="dxa"/>
          <w:bottom w:w="0" w:type="dxa"/>
          <w:right w:w="0" w:type="dxa"/>
        </w:tblCellMar>
      </w:tblPr>
      <w:tblGrid>
        <w:gridCol w:w="38"/>
        <w:gridCol w:w="125"/>
        <w:gridCol w:w="624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6245" w:type="dxa"/>
            <w:tcBorders/>
            <w:vAlign w:val="center"/>
          </w:tcPr>
          <w:p>
            <w:pPr>
              <w:pStyle w:val="TableContents"/>
              <w:bidi w:val="0"/>
              <w:spacing w:before="0" w:after="283"/>
              <w:jc w:val="both"/>
              <w:rPr>
                <w:sz w:val="18"/>
              </w:rPr>
            </w:pPr>
            <w:r>
              <w:rPr>
                <w:sz w:val="18"/>
              </w:rPr>
              <w:t>The anti-dilution protection for the underlying stock is limited and may be discretionary.</w:t>
            </w:r>
          </w:p>
        </w:tc>
      </w:tr>
    </w:tbl>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spacing w:before="0" w:after="12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Trigger PLUS — Tax considerations” concerning the U.S. federal income tax consequences of an investment in the Trigger PLUS, and you should consult your tax adviser.</w:t>
      </w:r>
    </w:p>
    <w:p>
      <w:pPr>
        <w:pStyle w:val="TextBody"/>
        <w:bidi w:val="0"/>
        <w:spacing w:before="0" w:after="120"/>
        <w:ind w:left="0" w:right="0" w:hanging="0"/>
        <w:jc w:val="left"/>
        <w:rPr>
          <w:caps w:val="false"/>
          <w:smallCaps w:val="false"/>
        </w:rPr>
      </w:pPr>
      <w:r>
        <w:rPr>
          <w:caps w:val="false"/>
          <w:smallCaps w:val="false"/>
        </w:rPr>
        <w:t> </w:t>
      </w:r>
    </w:p>
    <w:p>
      <w:pPr>
        <w:pStyle w:val="TextBody"/>
        <w:pBdr>
          <w:top w:val="single" w:sz="4" w:space="6" w:color="000000"/>
        </w:pBdr>
        <w:bidi w:val="0"/>
        <w:spacing w:before="12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0"/>
        <w:jc w:val="center"/>
        <w:rPr/>
      </w:pPr>
      <w:r>
        <w:rPr/>
        <w:t> </w:t>
      </w:r>
    </w:p>
    <w:p>
      <w:pPr>
        <w:pStyle w:val="TextBody"/>
        <w:bidi w:val="0"/>
        <w:spacing w:before="0" w:after="200"/>
        <w:ind w:left="36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Symbol">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083530/ea0299960-01_424b2.htm" TargetMode="External"/><Relationship Id="rId3" Type="http://schemas.openxmlformats.org/officeDocument/2006/relationships/image" Target="media/image1.jpeg"/><Relationship Id="rId4" Type="http://schemas.openxmlformats.org/officeDocument/2006/relationships/hyperlink" Target="http://www.sec.gov/Archives/edgar/data/19617/000121390026083530/ea0299960-01_424b2.htm" TargetMode="Externa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1662</Words>
  <Characters>8857</Characters>
  <CharactersWithSpaces>10412</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