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299202-01_fwp.htm"/>
      <w:bookmarkStart w:id="1" w:name="ksea0299202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July 24,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NKY/SPX/MID Contingent Income Callable Securities</w:t>
      </w:r>
    </w:p>
    <w:p>
      <w:pPr>
        <w:pStyle w:val="TextBody"/>
        <w:bidi w:val="0"/>
        <w:spacing w:before="0" w:after="0"/>
        <w:ind w:left="108"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728662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728662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83"/>
                              <w:gridCol w:w="8922"/>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8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22"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22" w:type="dxa"/>
                                  <w:tcBorders/>
                                  <w:shd w:fill="DCEBF4" w:val="clear"/>
                                  <w:vAlign w:val="center"/>
                                </w:tcPr>
                                <w:p>
                                  <w:pPr>
                                    <w:pStyle w:val="TableContents"/>
                                    <w:bidi w:val="0"/>
                                    <w:spacing w:before="0" w:after="283"/>
                                    <w:jc w:val="left"/>
                                    <w:rPr>
                                      <w:sz w:val="15"/>
                                    </w:rPr>
                                  </w:pPr>
                                  <w:r>
                                    <w:rPr>
                                      <w:sz w:val="15"/>
                                    </w:rPr>
                                    <w:t>JPMorgan Chase &amp; Co.</w:t>
                                  </w:r>
                                </w:p>
                              </w:tc>
                            </w:tr>
                            <w:tr>
                              <w:trPr/>
                              <w:tc>
                                <w:tcPr>
                                  <w:tcW w:w="128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22" w:type="dxa"/>
                                  <w:tcBorders/>
                                  <w:vAlign w:val="center"/>
                                </w:tcPr>
                                <w:p>
                                  <w:pPr>
                                    <w:pStyle w:val="TableContents"/>
                                    <w:bidi w:val="0"/>
                                    <w:spacing w:before="0" w:after="283"/>
                                    <w:jc w:val="left"/>
                                    <w:rPr>
                                      <w:sz w:val="15"/>
                                    </w:rPr>
                                  </w:pPr>
                                  <w:r>
                                    <w:rPr>
                                      <w:sz w:val="15"/>
                                    </w:rPr>
                                    <w:t>Nikkei 225 Index (Bloomberg ticker: NKY Index) (the “NKY Index”), S&amp;P 500</w:t>
                                  </w:r>
                                  <w:r>
                                    <w:rPr>
                                      <w:position w:val="5"/>
                                      <w:sz w:val="12"/>
                                      <w:sz w:val="15"/>
                                    </w:rPr>
                                    <w:t>®</w:t>
                                  </w:r>
                                  <w:r>
                                    <w:rPr>
                                      <w:sz w:val="15"/>
                                    </w:rPr>
                                    <w:t xml:space="preserve"> Index (Bloomberg ticker: SPX Index) (the “SPX Index”) and S&amp;P MidCap 400</w:t>
                                  </w:r>
                                  <w:r>
                                    <w:rPr>
                                      <w:position w:val="5"/>
                                      <w:sz w:val="12"/>
                                      <w:sz w:val="15"/>
                                    </w:rPr>
                                    <w:t>®</w:t>
                                  </w:r>
                                  <w:r>
                                    <w:rPr>
                                      <w:sz w:val="15"/>
                                    </w:rPr>
                                    <w:t xml:space="preserve"> Index (Bloomberg ticker: MID Index) (the “MID Index”) (each an “underlying index”)</w:t>
                                  </w:r>
                                </w:p>
                              </w:tc>
                            </w:tr>
                            <w:tr>
                              <w:trP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22"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final contingent payment date)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8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22"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with respect to the related determination date.</w:t>
                                  </w:r>
                                </w:p>
                              </w:tc>
                            </w:tr>
                            <w:tr>
                              <w:trP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22" w:type="dxa"/>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If, on any determination date, the closing level of each underlying index is greater than or equal to its downside threshold level, we will pay a contingent quarterly payment of at least $34.375 (at least 3.4375% of the stated principal amount) per security on the related contingent payment date. The actual contingent quarterly payment will be provided in the pricing supplement.</w:t>
                                  </w:r>
                                </w:p>
                                <w:p>
                                  <w:pPr>
                                    <w:pStyle w:val="TableContents"/>
                                    <w:bidi w:val="0"/>
                                    <w:spacing w:before="20" w:after="20"/>
                                    <w:ind w:left="144" w:right="20" w:hanging="144"/>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If, on any determination date,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no contingent quarterly payment will be payable with respect to that determination date.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most or all of the determination dates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1035"/>
                              <w:gridCol w:w="3170"/>
                              <w:gridCol w:w="6000"/>
                            </w:tblGrid>
                            <w:tr>
                              <w:trPr/>
                              <w:tc>
                                <w:tcPr>
                                  <w:tcW w:w="1035" w:type="dxa"/>
                                  <w:tcBorders/>
                                  <w:vAlign w:val="center"/>
                                </w:tcPr>
                                <w:p>
                                  <w:pPr>
                                    <w:pStyle w:val="TableContents"/>
                                    <w:bidi w:val="0"/>
                                    <w:spacing w:before="0" w:after="283"/>
                                    <w:ind w:left="0" w:right="0" w:hanging="147"/>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Payment at maturity:</w:t>
                                  </w:r>
                                </w:p>
                              </w:tc>
                              <w:tc>
                                <w:tcPr>
                                  <w:tcW w:w="3170"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000"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xml:space="preserve"> (ii) the contingent quarterly payment with respect to the final determination date.</w:t>
                                  </w:r>
                                </w:p>
                              </w:tc>
                            </w:tr>
                            <w:tr>
                              <w:trPr/>
                              <w:tc>
                                <w:tcPr>
                                  <w:tcW w:w="1035" w:type="dxa"/>
                                  <w:tcBorders/>
                                  <w:vAlign w:val="center"/>
                                </w:tcPr>
                                <w:p>
                                  <w:pPr>
                                    <w:pStyle w:val="TableContents"/>
                                    <w:bidi w:val="0"/>
                                    <w:spacing w:before="0" w:after="283"/>
                                    <w:ind w:left="0" w:right="0" w:hanging="147"/>
                                    <w:jc w:val="left"/>
                                    <w:rPr>
                                      <w:caps w:val="false"/>
                                      <w:smallCaps w:val="false"/>
                                      <w:color w:val="296DC1"/>
                                    </w:rPr>
                                  </w:pPr>
                                  <w:r>
                                    <w:rPr>
                                      <w:caps w:val="false"/>
                                      <w:smallCaps w:val="false"/>
                                      <w:color w:val="296DC1"/>
                                    </w:rPr>
                                    <w:t> </w:t>
                                  </w:r>
                                </w:p>
                              </w:tc>
                              <w:tc>
                                <w:tcPr>
                                  <w:tcW w:w="3170"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any underlying index</w:t>
                                  </w:r>
                                  <w:r>
                                    <w:rPr>
                                      <w:sz w:val="15"/>
                                    </w:rPr>
                                    <w:t xml:space="preserve"> is </w:t>
                                  </w:r>
                                  <w:r>
                                    <w:rPr>
                                      <w:b/>
                                      <w:sz w:val="15"/>
                                    </w:rPr>
                                    <w:t>less than</w:t>
                                  </w:r>
                                  <w:r>
                                    <w:rPr>
                                      <w:sz w:val="15"/>
                                    </w:rPr>
                                    <w:t xml:space="preserve"> its downside threshold level:</w:t>
                                  </w:r>
                                </w:p>
                              </w:tc>
                              <w:tc>
                                <w:tcPr>
                                  <w:tcW w:w="6000"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75% of the stated principal amount of the securities and could be zero.</w:t>
                                  </w:r>
                                </w:p>
                              </w:tc>
                            </w:tr>
                          </w:tbl>
                          <w:tbl>
                            <w:tblPr>
                              <w:tblW w:w="8620" w:type="dxa"/>
                              <w:jc w:val="left"/>
                              <w:tblInd w:w="0" w:type="dxa"/>
                              <w:tblLayout w:type="fixed"/>
                              <w:tblCellMar>
                                <w:top w:w="0" w:type="dxa"/>
                                <w:left w:w="0" w:type="dxa"/>
                                <w:bottom w:w="0" w:type="dxa"/>
                                <w:right w:w="0" w:type="dxa"/>
                              </w:tblCellMar>
                            </w:tblPr>
                            <w:tblGrid>
                              <w:gridCol w:w="3020"/>
                              <w:gridCol w:w="5600"/>
                            </w:tblGrid>
                            <w:tr>
                              <w:trPr/>
                              <w:tc>
                                <w:tcPr>
                                  <w:tcW w:w="3020"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Downside threshold level:</w:t>
                                  </w:r>
                                </w:p>
                              </w:tc>
                              <w:tc>
                                <w:tcPr>
                                  <w:tcW w:w="5600" w:type="dxa"/>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rPr/>
                              <w:tc>
                                <w:tcPr>
                                  <w:tcW w:w="302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Initial index value:</w:t>
                                  </w:r>
                                </w:p>
                              </w:tc>
                              <w:tc>
                                <w:tcPr>
                                  <w:tcW w:w="5600" w:type="dxa"/>
                                  <w:tcBorders/>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Final index value:</w:t>
                                  </w:r>
                                </w:p>
                              </w:tc>
                              <w:tc>
                                <w:tcPr>
                                  <w:tcW w:w="5600" w:type="dxa"/>
                                  <w:tcBorders/>
                                  <w:shd w:fill="DCEBF4" w:val="clear"/>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302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Worst performing underlying index:</w:t>
                                  </w:r>
                                </w:p>
                              </w:tc>
                              <w:tc>
                                <w:tcPr>
                                  <w:tcW w:w="5600" w:type="dxa"/>
                                  <w:tcBorders/>
                                  <w:vAlign w:val="center"/>
                                </w:tcPr>
                                <w:p>
                                  <w:pPr>
                                    <w:pStyle w:val="TableContents"/>
                                    <w:bidi w:val="0"/>
                                    <w:spacing w:before="0" w:after="283"/>
                                    <w:jc w:val="left"/>
                                    <w:rPr>
                                      <w:sz w:val="15"/>
                                    </w:rPr>
                                  </w:pPr>
                                  <w:r>
                                    <w:rPr>
                                      <w:sz w:val="15"/>
                                    </w:rPr>
                                    <w:t>The underlying index with the worst index performance factor</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Index performance factor:</w:t>
                                  </w:r>
                                </w:p>
                              </w:tc>
                              <w:tc>
                                <w:tcPr>
                                  <w:tcW w:w="5600" w:type="dxa"/>
                                  <w:tcBorders/>
                                  <w:shd w:fill="DCEBF4" w:val="clear"/>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r>
                              <w:trPr/>
                              <w:tc>
                                <w:tcPr>
                                  <w:tcW w:w="302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5600" w:type="dxa"/>
                                  <w:tcBorders/>
                                  <w:vAlign w:val="center"/>
                                </w:tcPr>
                                <w:p>
                                  <w:pPr>
                                    <w:pStyle w:val="TableContents"/>
                                    <w:bidi w:val="0"/>
                                    <w:spacing w:before="0" w:after="283"/>
                                    <w:jc w:val="left"/>
                                    <w:rPr>
                                      <w:sz w:val="15"/>
                                    </w:rPr>
                                  </w:pPr>
                                  <w:r>
                                    <w:rPr>
                                      <w:sz w:val="15"/>
                                    </w:rPr>
                                    <w:t>$1,000 per security</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5600" w:type="dxa"/>
                                  <w:tcBorders/>
                                  <w:shd w:fill="DCEBF4" w:val="clear"/>
                                  <w:vAlign w:val="center"/>
                                </w:tcPr>
                                <w:p>
                                  <w:pPr>
                                    <w:pStyle w:val="TableContents"/>
                                    <w:bidi w:val="0"/>
                                    <w:spacing w:before="0" w:after="283"/>
                                    <w:jc w:val="left"/>
                                    <w:rPr>
                                      <w:sz w:val="15"/>
                                    </w:rPr>
                                  </w:pPr>
                                  <w:r>
                                    <w:rPr>
                                      <w:sz w:val="15"/>
                                    </w:rPr>
                                    <w:t>$1,000 per security</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5600" w:type="dxa"/>
                                  <w:tcBorders/>
                                  <w:vAlign w:val="center"/>
                                </w:tcPr>
                                <w:p>
                                  <w:pPr>
                                    <w:pStyle w:val="TableContents"/>
                                    <w:bidi w:val="0"/>
                                    <w:spacing w:before="0" w:after="283"/>
                                    <w:jc w:val="left"/>
                                    <w:rPr>
                                      <w:sz w:val="15"/>
                                    </w:rPr>
                                  </w:pPr>
                                  <w:r>
                                    <w:rPr>
                                      <w:sz w:val="15"/>
                                    </w:rPr>
                                    <w:t>Expected to be July 31, 2026</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5600" w:type="dxa"/>
                                  <w:tcBorders/>
                                  <w:shd w:fill="DCEBF4" w:val="clear"/>
                                  <w:vAlign w:val="center"/>
                                </w:tcPr>
                                <w:p>
                                  <w:pPr>
                                    <w:pStyle w:val="TableContents"/>
                                    <w:bidi w:val="0"/>
                                    <w:spacing w:before="0" w:after="283"/>
                                    <w:jc w:val="left"/>
                                    <w:rPr>
                                      <w:sz w:val="15"/>
                                    </w:rPr>
                                  </w:pPr>
                                  <w:r>
                                    <w:rPr>
                                      <w:sz w:val="15"/>
                                    </w:rPr>
                                    <w:t>3 business days after the pricing date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73.7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83"/>
                        <w:gridCol w:w="8922"/>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8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22"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22" w:type="dxa"/>
                            <w:tcBorders/>
                            <w:shd w:fill="DCEBF4" w:val="clear"/>
                            <w:vAlign w:val="center"/>
                          </w:tcPr>
                          <w:p>
                            <w:pPr>
                              <w:pStyle w:val="TableContents"/>
                              <w:bidi w:val="0"/>
                              <w:spacing w:before="0" w:after="283"/>
                              <w:jc w:val="left"/>
                              <w:rPr>
                                <w:sz w:val="15"/>
                              </w:rPr>
                            </w:pPr>
                            <w:r>
                              <w:rPr>
                                <w:sz w:val="15"/>
                              </w:rPr>
                              <w:t>JPMorgan Chase &amp; Co.</w:t>
                            </w:r>
                          </w:p>
                        </w:tc>
                      </w:tr>
                      <w:tr>
                        <w:trPr/>
                        <w:tc>
                          <w:tcPr>
                            <w:tcW w:w="128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22" w:type="dxa"/>
                            <w:tcBorders/>
                            <w:vAlign w:val="center"/>
                          </w:tcPr>
                          <w:p>
                            <w:pPr>
                              <w:pStyle w:val="TableContents"/>
                              <w:bidi w:val="0"/>
                              <w:spacing w:before="0" w:after="283"/>
                              <w:jc w:val="left"/>
                              <w:rPr>
                                <w:sz w:val="15"/>
                              </w:rPr>
                            </w:pPr>
                            <w:r>
                              <w:rPr>
                                <w:sz w:val="15"/>
                              </w:rPr>
                              <w:t>Nikkei 225 Index (Bloomberg ticker: NKY Index) (the “NKY Index”), S&amp;P 500</w:t>
                            </w:r>
                            <w:r>
                              <w:rPr>
                                <w:position w:val="5"/>
                                <w:sz w:val="12"/>
                                <w:sz w:val="15"/>
                              </w:rPr>
                              <w:t>®</w:t>
                            </w:r>
                            <w:r>
                              <w:rPr>
                                <w:sz w:val="15"/>
                              </w:rPr>
                              <w:t xml:space="preserve"> Index (Bloomberg ticker: SPX Index) (the “SPX Index”) and S&amp;P MidCap 400</w:t>
                            </w:r>
                            <w:r>
                              <w:rPr>
                                <w:position w:val="5"/>
                                <w:sz w:val="12"/>
                                <w:sz w:val="15"/>
                              </w:rPr>
                              <w:t>®</w:t>
                            </w:r>
                            <w:r>
                              <w:rPr>
                                <w:sz w:val="15"/>
                              </w:rPr>
                              <w:t xml:space="preserve"> Index (Bloomberg ticker: MID Index) (the “MID Index”) (each an “underlying index”)</w:t>
                            </w:r>
                          </w:p>
                        </w:tc>
                      </w:tr>
                      <w:tr>
                        <w:trP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22"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final contingent payment date)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8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22"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with respect to the related determination date.</w:t>
                            </w:r>
                          </w:p>
                        </w:tc>
                      </w:tr>
                      <w:tr>
                        <w:trP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22" w:type="dxa"/>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If, on any determination date, the closing level of each underlying index is greater than or equal to its downside threshold level, we will pay a contingent quarterly payment of at least $34.375 (at least 3.4375% of the stated principal amount) per security on the related contingent payment date. The actual contingent quarterly payment will be provided in the pricing supplement.</w:t>
                            </w:r>
                          </w:p>
                          <w:p>
                            <w:pPr>
                              <w:pStyle w:val="TableContents"/>
                              <w:bidi w:val="0"/>
                              <w:spacing w:before="20" w:after="20"/>
                              <w:ind w:left="144" w:right="20" w:hanging="144"/>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If, on any determination date,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no contingent quarterly payment will be payable with respect to that determination date.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most or all of the determination dates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1035"/>
                        <w:gridCol w:w="3170"/>
                        <w:gridCol w:w="6000"/>
                      </w:tblGrid>
                      <w:tr>
                        <w:trPr/>
                        <w:tc>
                          <w:tcPr>
                            <w:tcW w:w="1035" w:type="dxa"/>
                            <w:tcBorders/>
                            <w:vAlign w:val="center"/>
                          </w:tcPr>
                          <w:p>
                            <w:pPr>
                              <w:pStyle w:val="TableContents"/>
                              <w:bidi w:val="0"/>
                              <w:spacing w:before="0" w:after="283"/>
                              <w:ind w:left="0" w:right="0" w:hanging="147"/>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Payment at maturity:</w:t>
                            </w:r>
                          </w:p>
                        </w:tc>
                        <w:tc>
                          <w:tcPr>
                            <w:tcW w:w="3170"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000"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xml:space="preserve"> (ii) the contingent quarterly payment with respect to the final determination date.</w:t>
                            </w:r>
                          </w:p>
                        </w:tc>
                      </w:tr>
                      <w:tr>
                        <w:trPr/>
                        <w:tc>
                          <w:tcPr>
                            <w:tcW w:w="1035" w:type="dxa"/>
                            <w:tcBorders/>
                            <w:vAlign w:val="center"/>
                          </w:tcPr>
                          <w:p>
                            <w:pPr>
                              <w:pStyle w:val="TableContents"/>
                              <w:bidi w:val="0"/>
                              <w:spacing w:before="0" w:after="283"/>
                              <w:ind w:left="0" w:right="0" w:hanging="147"/>
                              <w:jc w:val="left"/>
                              <w:rPr>
                                <w:caps w:val="false"/>
                                <w:smallCaps w:val="false"/>
                                <w:color w:val="296DC1"/>
                              </w:rPr>
                            </w:pPr>
                            <w:r>
                              <w:rPr>
                                <w:caps w:val="false"/>
                                <w:smallCaps w:val="false"/>
                                <w:color w:val="296DC1"/>
                              </w:rPr>
                              <w:t> </w:t>
                            </w:r>
                          </w:p>
                        </w:tc>
                        <w:tc>
                          <w:tcPr>
                            <w:tcW w:w="3170"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any underlying index</w:t>
                            </w:r>
                            <w:r>
                              <w:rPr>
                                <w:sz w:val="15"/>
                              </w:rPr>
                              <w:t xml:space="preserve"> is </w:t>
                            </w:r>
                            <w:r>
                              <w:rPr>
                                <w:b/>
                                <w:sz w:val="15"/>
                              </w:rPr>
                              <w:t>less than</w:t>
                            </w:r>
                            <w:r>
                              <w:rPr>
                                <w:sz w:val="15"/>
                              </w:rPr>
                              <w:t xml:space="preserve"> its downside threshold level:</w:t>
                            </w:r>
                          </w:p>
                        </w:tc>
                        <w:tc>
                          <w:tcPr>
                            <w:tcW w:w="6000"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75% of the stated principal amount of the securities and could be zero.</w:t>
                            </w:r>
                          </w:p>
                        </w:tc>
                      </w:tr>
                    </w:tbl>
                    <w:tbl>
                      <w:tblPr>
                        <w:tblW w:w="8620" w:type="dxa"/>
                        <w:jc w:val="left"/>
                        <w:tblInd w:w="0" w:type="dxa"/>
                        <w:tblLayout w:type="fixed"/>
                        <w:tblCellMar>
                          <w:top w:w="0" w:type="dxa"/>
                          <w:left w:w="0" w:type="dxa"/>
                          <w:bottom w:w="0" w:type="dxa"/>
                          <w:right w:w="0" w:type="dxa"/>
                        </w:tblCellMar>
                      </w:tblPr>
                      <w:tblGrid>
                        <w:gridCol w:w="3020"/>
                        <w:gridCol w:w="5600"/>
                      </w:tblGrid>
                      <w:tr>
                        <w:trPr/>
                        <w:tc>
                          <w:tcPr>
                            <w:tcW w:w="3020"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Downside threshold level:</w:t>
                            </w:r>
                          </w:p>
                        </w:tc>
                        <w:tc>
                          <w:tcPr>
                            <w:tcW w:w="5600" w:type="dxa"/>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rPr/>
                        <w:tc>
                          <w:tcPr>
                            <w:tcW w:w="302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Initial index value:</w:t>
                            </w:r>
                          </w:p>
                        </w:tc>
                        <w:tc>
                          <w:tcPr>
                            <w:tcW w:w="5600" w:type="dxa"/>
                            <w:tcBorders/>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Final index value:</w:t>
                            </w:r>
                          </w:p>
                        </w:tc>
                        <w:tc>
                          <w:tcPr>
                            <w:tcW w:w="5600" w:type="dxa"/>
                            <w:tcBorders/>
                            <w:shd w:fill="DCEBF4" w:val="clear"/>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302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Worst performing underlying index:</w:t>
                            </w:r>
                          </w:p>
                        </w:tc>
                        <w:tc>
                          <w:tcPr>
                            <w:tcW w:w="5600" w:type="dxa"/>
                            <w:tcBorders/>
                            <w:vAlign w:val="center"/>
                          </w:tcPr>
                          <w:p>
                            <w:pPr>
                              <w:pStyle w:val="TableContents"/>
                              <w:bidi w:val="0"/>
                              <w:spacing w:before="0" w:after="283"/>
                              <w:jc w:val="left"/>
                              <w:rPr>
                                <w:sz w:val="15"/>
                              </w:rPr>
                            </w:pPr>
                            <w:r>
                              <w:rPr>
                                <w:sz w:val="15"/>
                              </w:rPr>
                              <w:t>The underlying index with the worst index performance factor</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Index performance factor:</w:t>
                            </w:r>
                          </w:p>
                        </w:tc>
                        <w:tc>
                          <w:tcPr>
                            <w:tcW w:w="5600" w:type="dxa"/>
                            <w:tcBorders/>
                            <w:shd w:fill="DCEBF4" w:val="clear"/>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r>
                        <w:trPr/>
                        <w:tc>
                          <w:tcPr>
                            <w:tcW w:w="302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5600" w:type="dxa"/>
                            <w:tcBorders/>
                            <w:vAlign w:val="center"/>
                          </w:tcPr>
                          <w:p>
                            <w:pPr>
                              <w:pStyle w:val="TableContents"/>
                              <w:bidi w:val="0"/>
                              <w:spacing w:before="0" w:after="283"/>
                              <w:jc w:val="left"/>
                              <w:rPr>
                                <w:sz w:val="15"/>
                              </w:rPr>
                            </w:pPr>
                            <w:r>
                              <w:rPr>
                                <w:sz w:val="15"/>
                              </w:rPr>
                              <w:t>$1,000 per security</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5600" w:type="dxa"/>
                            <w:tcBorders/>
                            <w:shd w:fill="DCEBF4" w:val="clear"/>
                            <w:vAlign w:val="center"/>
                          </w:tcPr>
                          <w:p>
                            <w:pPr>
                              <w:pStyle w:val="TableContents"/>
                              <w:bidi w:val="0"/>
                              <w:spacing w:before="0" w:after="283"/>
                              <w:jc w:val="left"/>
                              <w:rPr>
                                <w:sz w:val="15"/>
                              </w:rPr>
                            </w:pPr>
                            <w:r>
                              <w:rPr>
                                <w:sz w:val="15"/>
                              </w:rPr>
                              <w:t>$1,000 per security</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5600" w:type="dxa"/>
                            <w:tcBorders/>
                            <w:vAlign w:val="center"/>
                          </w:tcPr>
                          <w:p>
                            <w:pPr>
                              <w:pStyle w:val="TableContents"/>
                              <w:bidi w:val="0"/>
                              <w:spacing w:before="0" w:after="283"/>
                              <w:jc w:val="left"/>
                              <w:rPr>
                                <w:sz w:val="15"/>
                              </w:rPr>
                            </w:pPr>
                            <w:r>
                              <w:rPr>
                                <w:sz w:val="15"/>
                              </w:rPr>
                              <w:t>Expected to be July 31, 2026</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5600" w:type="dxa"/>
                            <w:tcBorders/>
                            <w:shd w:fill="DCEBF4" w:val="clear"/>
                            <w:vAlign w:val="center"/>
                          </w:tcPr>
                          <w:p>
                            <w:pPr>
                              <w:pStyle w:val="TableContents"/>
                              <w:bidi w:val="0"/>
                              <w:spacing w:before="0" w:after="283"/>
                              <w:jc w:val="left"/>
                              <w:rPr>
                                <w:sz w:val="15"/>
                              </w:rPr>
                            </w:pPr>
                            <w:r>
                              <w:rPr>
                                <w:sz w:val="15"/>
                              </w:rPr>
                              <w:t>3 business days after the pricing date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03986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03986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272"/>
                              <w:gridCol w:w="7933"/>
                            </w:tblGrid>
                            <w:tr>
                              <w:trPr/>
                              <w:tc>
                                <w:tcPr>
                                  <w:tcW w:w="227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933" w:type="dxa"/>
                                  <w:tcBorders/>
                                  <w:shd w:fill="DCEBF4" w:val="clear"/>
                                  <w:vAlign w:val="center"/>
                                </w:tcPr>
                                <w:p>
                                  <w:pPr>
                                    <w:pStyle w:val="TableContents"/>
                                    <w:bidi w:val="0"/>
                                    <w:spacing w:before="0" w:after="283"/>
                                    <w:jc w:val="left"/>
                                    <w:rPr>
                                      <w:sz w:val="15"/>
                                    </w:rPr>
                                  </w:pPr>
                                  <w:r>
                                    <w:rPr>
                                      <w:sz w:val="15"/>
                                    </w:rPr>
                                    <w:t>November 2, 2026, February 1, 2027, April 30, 2027, August 2, 2027, November 1, 2027, January 31, 2028, May 1, 2028 and July 31, 2028</w:t>
                                  </w:r>
                                </w:p>
                              </w:tc>
                            </w:tr>
                            <w:tr>
                              <w:trPr/>
                              <w:tc>
                                <w:tcPr>
                                  <w:tcW w:w="227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933" w:type="dxa"/>
                                  <w:tcBorders/>
                                  <w:vAlign w:val="center"/>
                                </w:tcPr>
                                <w:p>
                                  <w:pPr>
                                    <w:pStyle w:val="TableContents"/>
                                    <w:bidi w:val="0"/>
                                    <w:spacing w:before="0" w:after="283"/>
                                    <w:jc w:val="left"/>
                                    <w:rPr>
                                      <w:sz w:val="15"/>
                                    </w:rPr>
                                  </w:pPr>
                                  <w:r>
                                    <w:rPr>
                                      <w:sz w:val="15"/>
                                    </w:rPr>
                                    <w:t>November 6, 2026, February 4, 2027, May 10, 2027, August 5, 2027, November 5, 2027, February 3, 2028, May 9, 2028 and the maturity date</w:t>
                                  </w:r>
                                </w:p>
                              </w:tc>
                            </w:tr>
                            <w:tr>
                              <w:trPr/>
                              <w:tc>
                                <w:tcPr>
                                  <w:tcW w:w="227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933" w:type="dxa"/>
                                  <w:tcBorders/>
                                  <w:shd w:fill="DCEBF4" w:val="clear"/>
                                  <w:vAlign w:val="center"/>
                                </w:tcPr>
                                <w:p>
                                  <w:pPr>
                                    <w:pStyle w:val="TableContents"/>
                                    <w:bidi w:val="0"/>
                                    <w:spacing w:before="0" w:after="283"/>
                                    <w:jc w:val="left"/>
                                    <w:rPr>
                                      <w:sz w:val="15"/>
                                    </w:rPr>
                                  </w:pPr>
                                  <w:r>
                                    <w:rPr>
                                      <w:sz w:val="15"/>
                                    </w:rPr>
                                    <w:t>August 3, 2028</w:t>
                                  </w:r>
                                </w:p>
                              </w:tc>
                            </w:tr>
                            <w:tr>
                              <w:trPr/>
                              <w:tc>
                                <w:tcPr>
                                  <w:tcW w:w="2272" w:type="dxa"/>
                                  <w:tcBorders/>
                                  <w:vAlign w:val="center"/>
                                </w:tcPr>
                                <w:p>
                                  <w:pPr>
                                    <w:pStyle w:val="TableContents"/>
                                    <w:bidi w:val="0"/>
                                    <w:spacing w:before="0" w:after="283"/>
                                    <w:jc w:val="left"/>
                                    <w:rPr>
                                      <w:b/>
                                      <w:color w:val="296DC1"/>
                                      <w:sz w:val="16"/>
                                    </w:rPr>
                                  </w:pPr>
                                  <w:r>
                                    <w:rPr>
                                      <w:b/>
                                      <w:color w:val="296DC1"/>
                                      <w:sz w:val="16"/>
                                    </w:rPr>
                                    <w:t>CUSIP / ISIN:</w:t>
                                  </w:r>
                                </w:p>
                              </w:tc>
                              <w:tc>
                                <w:tcPr>
                                  <w:tcW w:w="7933" w:type="dxa"/>
                                  <w:tcBorders/>
                                  <w:vAlign w:val="center"/>
                                </w:tcPr>
                                <w:p>
                                  <w:pPr>
                                    <w:pStyle w:val="TableContents"/>
                                    <w:bidi w:val="0"/>
                                    <w:spacing w:before="0" w:after="283"/>
                                    <w:jc w:val="left"/>
                                    <w:rPr>
                                      <w:sz w:val="15"/>
                                    </w:rPr>
                                  </w:pPr>
                                  <w:r>
                                    <w:rPr>
                                      <w:sz w:val="15"/>
                                    </w:rPr>
                                    <w:t>46661KWG9 / US46661KWG92</w:t>
                                  </w:r>
                                </w:p>
                              </w:tc>
                            </w:tr>
                            <w:tr>
                              <w:trPr/>
                              <w:tc>
                                <w:tcPr>
                                  <w:tcW w:w="2272"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933" w:type="dxa"/>
                                  <w:tcBorders/>
                                  <w:shd w:fill="DCEBF4" w:val="clear"/>
                                  <w:vAlign w:val="center"/>
                                </w:tcPr>
                                <w:p>
                                  <w:pPr>
                                    <w:pStyle w:val="TableContents"/>
                                    <w:bidi w:val="0"/>
                                    <w:spacing w:before="0" w:after="283"/>
                                    <w:jc w:val="left"/>
                                    <w:rPr/>
                                  </w:pPr>
                                  <w:hyperlink r:id="rId2">
                                    <w:r>
                                      <w:rPr>
                                        <w:rStyle w:val="InternetLink"/>
                                        <w:sz w:val="15"/>
                                      </w:rPr>
                                      <w:t>http://www.sec.gov/Archives/edgar/data/19617/000121390026081203/</w:t>
                                      <w:br/>
                                      <w:t>ea0299128-01_424b2.htm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6025" w:type="dxa"/>
                              <w:jc w:val="center"/>
                              <w:tblInd w:w="0" w:type="dxa"/>
                              <w:tblLayout w:type="fixed"/>
                              <w:tblCellMar>
                                <w:top w:w="0" w:type="dxa"/>
                                <w:left w:w="0" w:type="dxa"/>
                                <w:bottom w:w="0" w:type="dxa"/>
                                <w:right w:w="0" w:type="dxa"/>
                              </w:tblCellMar>
                            </w:tblPr>
                            <w:tblGrid>
                              <w:gridCol w:w="3200"/>
                              <w:gridCol w:w="2825"/>
                            </w:tblGrid>
                            <w:tr>
                              <w:trPr/>
                              <w:tc>
                                <w:tcPr>
                                  <w:tcW w:w="602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20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w:t>
                                    <w:br/>
                                    <w:t>Index</w:t>
                                  </w:r>
                                </w:p>
                              </w:tc>
                              <w:tc>
                                <w:tcPr>
                                  <w:tcW w:w="282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w:t>
                                    <w:br/>
                                    <w:t>contingent quarterly payment</w:t>
                                    <w:br/>
                                    <w:t>payable at maturity)</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-25.00%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-25.01%</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$749.90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11.8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2272"/>
                        <w:gridCol w:w="7933"/>
                      </w:tblGrid>
                      <w:tr>
                        <w:trPr/>
                        <w:tc>
                          <w:tcPr>
                            <w:tcW w:w="227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933" w:type="dxa"/>
                            <w:tcBorders/>
                            <w:shd w:fill="DCEBF4" w:val="clear"/>
                            <w:vAlign w:val="center"/>
                          </w:tcPr>
                          <w:p>
                            <w:pPr>
                              <w:pStyle w:val="TableContents"/>
                              <w:bidi w:val="0"/>
                              <w:spacing w:before="0" w:after="283"/>
                              <w:jc w:val="left"/>
                              <w:rPr>
                                <w:sz w:val="15"/>
                              </w:rPr>
                            </w:pPr>
                            <w:r>
                              <w:rPr>
                                <w:sz w:val="15"/>
                              </w:rPr>
                              <w:t>November 2, 2026, February 1, 2027, April 30, 2027, August 2, 2027, November 1, 2027, January 31, 2028, May 1, 2028 and July 31, 2028</w:t>
                            </w:r>
                          </w:p>
                        </w:tc>
                      </w:tr>
                      <w:tr>
                        <w:trPr/>
                        <w:tc>
                          <w:tcPr>
                            <w:tcW w:w="227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933" w:type="dxa"/>
                            <w:tcBorders/>
                            <w:vAlign w:val="center"/>
                          </w:tcPr>
                          <w:p>
                            <w:pPr>
                              <w:pStyle w:val="TableContents"/>
                              <w:bidi w:val="0"/>
                              <w:spacing w:before="0" w:after="283"/>
                              <w:jc w:val="left"/>
                              <w:rPr>
                                <w:sz w:val="15"/>
                              </w:rPr>
                            </w:pPr>
                            <w:r>
                              <w:rPr>
                                <w:sz w:val="15"/>
                              </w:rPr>
                              <w:t>November 6, 2026, February 4, 2027, May 10, 2027, August 5, 2027, November 5, 2027, February 3, 2028, May 9, 2028 and the maturity date</w:t>
                            </w:r>
                          </w:p>
                        </w:tc>
                      </w:tr>
                      <w:tr>
                        <w:trPr/>
                        <w:tc>
                          <w:tcPr>
                            <w:tcW w:w="227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933" w:type="dxa"/>
                            <w:tcBorders/>
                            <w:shd w:fill="DCEBF4" w:val="clear"/>
                            <w:vAlign w:val="center"/>
                          </w:tcPr>
                          <w:p>
                            <w:pPr>
                              <w:pStyle w:val="TableContents"/>
                              <w:bidi w:val="0"/>
                              <w:spacing w:before="0" w:after="283"/>
                              <w:jc w:val="left"/>
                              <w:rPr>
                                <w:sz w:val="15"/>
                              </w:rPr>
                            </w:pPr>
                            <w:r>
                              <w:rPr>
                                <w:sz w:val="15"/>
                              </w:rPr>
                              <w:t>August 3, 2028</w:t>
                            </w:r>
                          </w:p>
                        </w:tc>
                      </w:tr>
                      <w:tr>
                        <w:trPr/>
                        <w:tc>
                          <w:tcPr>
                            <w:tcW w:w="2272" w:type="dxa"/>
                            <w:tcBorders/>
                            <w:vAlign w:val="center"/>
                          </w:tcPr>
                          <w:p>
                            <w:pPr>
                              <w:pStyle w:val="TableContents"/>
                              <w:bidi w:val="0"/>
                              <w:spacing w:before="0" w:after="283"/>
                              <w:jc w:val="left"/>
                              <w:rPr>
                                <w:b/>
                                <w:color w:val="296DC1"/>
                                <w:sz w:val="16"/>
                              </w:rPr>
                            </w:pPr>
                            <w:r>
                              <w:rPr>
                                <w:b/>
                                <w:color w:val="296DC1"/>
                                <w:sz w:val="16"/>
                              </w:rPr>
                              <w:t>CUSIP / ISIN:</w:t>
                            </w:r>
                          </w:p>
                        </w:tc>
                        <w:tc>
                          <w:tcPr>
                            <w:tcW w:w="7933" w:type="dxa"/>
                            <w:tcBorders/>
                            <w:vAlign w:val="center"/>
                          </w:tcPr>
                          <w:p>
                            <w:pPr>
                              <w:pStyle w:val="TableContents"/>
                              <w:bidi w:val="0"/>
                              <w:spacing w:before="0" w:after="283"/>
                              <w:jc w:val="left"/>
                              <w:rPr>
                                <w:sz w:val="15"/>
                              </w:rPr>
                            </w:pPr>
                            <w:r>
                              <w:rPr>
                                <w:sz w:val="15"/>
                              </w:rPr>
                              <w:t>46661KWG9 / US46661KWG92</w:t>
                            </w:r>
                          </w:p>
                        </w:tc>
                      </w:tr>
                      <w:tr>
                        <w:trPr/>
                        <w:tc>
                          <w:tcPr>
                            <w:tcW w:w="2272"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933" w:type="dxa"/>
                            <w:tcBorders/>
                            <w:shd w:fill="DCEBF4" w:val="clear"/>
                            <w:vAlign w:val="center"/>
                          </w:tcPr>
                          <w:p>
                            <w:pPr>
                              <w:pStyle w:val="TableContents"/>
                              <w:bidi w:val="0"/>
                              <w:spacing w:before="0" w:after="283"/>
                              <w:jc w:val="left"/>
                              <w:rPr/>
                            </w:pPr>
                            <w:hyperlink r:id="rId3">
                              <w:r>
                                <w:rPr>
                                  <w:rStyle w:val="InternetLink"/>
                                  <w:sz w:val="15"/>
                                </w:rPr>
                                <w:t>http://www.sec.gov/Archives/edgar/data/19617/000121390026081203/</w:t>
                                <w:br/>
                                <w:t>ea0299128-01_424b2.htm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6025" w:type="dxa"/>
                        <w:jc w:val="center"/>
                        <w:tblInd w:w="0" w:type="dxa"/>
                        <w:tblLayout w:type="fixed"/>
                        <w:tblCellMar>
                          <w:top w:w="0" w:type="dxa"/>
                          <w:left w:w="0" w:type="dxa"/>
                          <w:bottom w:w="0" w:type="dxa"/>
                          <w:right w:w="0" w:type="dxa"/>
                        </w:tblCellMar>
                      </w:tblPr>
                      <w:tblGrid>
                        <w:gridCol w:w="3200"/>
                        <w:gridCol w:w="2825"/>
                      </w:tblGrid>
                      <w:tr>
                        <w:trPr/>
                        <w:tc>
                          <w:tcPr>
                            <w:tcW w:w="602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20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w:t>
                              <w:br/>
                              <w:t>Index</w:t>
                            </w:r>
                          </w:p>
                        </w:tc>
                        <w:tc>
                          <w:tcPr>
                            <w:tcW w:w="282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w:t>
                              <w:br/>
                              <w:t>contingent quarterly payment</w:t>
                              <w:br/>
                              <w:t>payable at maturity)</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-25.00%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-25.01%</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$749.90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NKY/SPX/MID Contingent Income Callable Securities</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indices, including historical performance information, see the accompanying preliminary pricing supplement.</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You will not receive any contingent quarterly payment for any quarterly period if the closing level of any underlying index on the relevant determination date is less than its downside threshold level.</w:t>
            </w:r>
          </w:p>
        </w:tc>
      </w:tr>
    </w:tbl>
    <w:tbl>
      <w:tblPr>
        <w:tblW w:w="5000" w:type="pct"/>
        <w:jc w:val="left"/>
        <w:tblInd w:w="0" w:type="dxa"/>
        <w:tblLayout w:type="fixed"/>
        <w:tblCellMar>
          <w:top w:w="0" w:type="dxa"/>
          <w:left w:w="0" w:type="dxa"/>
          <w:bottom w:w="0" w:type="dxa"/>
          <w:right w:w="0" w:type="dxa"/>
        </w:tblCellMar>
      </w:tblPr>
      <w:tblGrid>
        <w:gridCol w:w="40"/>
        <w:gridCol w:w="134"/>
        <w:gridCol w:w="10031"/>
      </w:tblGrid>
      <w:tr>
        <w:trPr/>
        <w:tc>
          <w:tcPr>
            <w:tcW w:w="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31" w:type="dxa"/>
            <w:tcBorders/>
            <w:vAlign w:val="center"/>
          </w:tcPr>
          <w:p>
            <w:pPr>
              <w:pStyle w:val="TableContents"/>
              <w:bidi w:val="0"/>
              <w:spacing w:before="0" w:after="283"/>
              <w:jc w:val="left"/>
              <w:rPr>
                <w:sz w:val="18"/>
              </w:rPr>
            </w:pPr>
            <w:r>
              <w:rPr>
                <w:sz w:val="18"/>
              </w:rPr>
              <w:t>The contingent quarterly payment is based solely on the closing levels of the underlying indices on the specified determination dates.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are exposed to the price risk of all three underlying indices, with respect to all the contingent quarterly payments, if any, and the payment at maturity, if any.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37"/>
        <w:gridCol w:w="9896"/>
      </w:tblGrid>
      <w:tr>
        <w:trPr/>
        <w:tc>
          <w:tcPr>
            <w:tcW w:w="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6" w:type="dxa"/>
            <w:tcBorders/>
            <w:vAlign w:val="center"/>
          </w:tcPr>
          <w:p>
            <w:pPr>
              <w:pStyle w:val="TableContents"/>
              <w:bidi w:val="0"/>
              <w:spacing w:before="0" w:after="283"/>
              <w:jc w:val="left"/>
              <w:rPr>
                <w:sz w:val="18"/>
              </w:rPr>
            </w:pPr>
            <w:r>
              <w:rPr>
                <w:sz w:val="18"/>
              </w:rPr>
              <w:t>Investors will not participate in any appreciation of any underlying index.</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0" w:type="dxa"/>
            <w:tcBorders/>
            <w:vAlign w:val="center"/>
          </w:tcPr>
          <w:p>
            <w:pPr>
              <w:pStyle w:val="TableContents"/>
              <w:bidi w:val="0"/>
              <w:spacing w:before="0" w:after="283"/>
              <w:jc w:val="left"/>
              <w:rPr/>
            </w:pPr>
            <w:r>
              <w:rPr>
                <w:sz w:val="18"/>
              </w:rPr>
              <w:t>The estimated value of the securities does not represent future values of the securities and may differ from others’ estimates</w:t>
            </w:r>
            <w:r>
              <w:rPr/>
              <w:t>.</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5" w:type="dxa"/>
            <w:tcBorders/>
            <w:vAlign w:val="center"/>
          </w:tcPr>
          <w:p>
            <w:pPr>
              <w:pStyle w:val="TableContents"/>
              <w:bidi w:val="0"/>
              <w:spacing w:before="0" w:after="283"/>
              <w:jc w:val="left"/>
              <w:rPr>
                <w:sz w:val="18"/>
              </w:rPr>
            </w:pPr>
            <w:r>
              <w:rPr>
                <w:sz w:val="18"/>
              </w:rPr>
              <w:t>JPMorgan Chase &amp; Co. is currently one of the companies that make up the SPX Index.</w:t>
            </w:r>
          </w:p>
        </w:tc>
      </w:tr>
    </w:tbl>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21" w:type="dxa"/>
            <w:tcBorders/>
            <w:vAlign w:val="center"/>
          </w:tcPr>
          <w:p>
            <w:pPr>
              <w:pStyle w:val="TableContents"/>
              <w:bidi w:val="0"/>
              <w:spacing w:before="0" w:after="283"/>
              <w:jc w:val="left"/>
              <w:rPr>
                <w:sz w:val="18"/>
              </w:rPr>
            </w:pPr>
            <w:r>
              <w:rPr>
                <w:sz w:val="18"/>
              </w:rPr>
              <w:t>Investing in the securities is not equivalent to investing in any underlying index.</w:t>
            </w:r>
          </w:p>
        </w:tc>
      </w:tr>
    </w:tbl>
    <w:tbl>
      <w:tblPr>
        <w:tblW w:w="5000" w:type="pct"/>
        <w:jc w:val="left"/>
        <w:tblInd w:w="0" w:type="dxa"/>
        <w:tblLayout w:type="fixed"/>
        <w:tblCellMar>
          <w:top w:w="0" w:type="dxa"/>
          <w:left w:w="0" w:type="dxa"/>
          <w:bottom w:w="0" w:type="dxa"/>
          <w:right w:w="0" w:type="dxa"/>
        </w:tblCellMar>
      </w:tblPr>
      <w:tblGrid>
        <w:gridCol w:w="61"/>
        <w:gridCol w:w="203"/>
        <w:gridCol w:w="9941"/>
      </w:tblGrid>
      <w:tr>
        <w:trPr/>
        <w:tc>
          <w:tcPr>
            <w:tcW w:w="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1" w:type="dxa"/>
            <w:tcBorders/>
            <w:vAlign w:val="center"/>
          </w:tcPr>
          <w:p>
            <w:pPr>
              <w:pStyle w:val="TableContents"/>
              <w:bidi w:val="0"/>
              <w:spacing w:before="0" w:after="283"/>
              <w:jc w:val="left"/>
              <w:rPr>
                <w:sz w:val="18"/>
              </w:rPr>
            </w:pPr>
            <w:r>
              <w:rPr>
                <w:sz w:val="18"/>
              </w:rPr>
              <w:t>Adjustments to any underlying index could adversely affect the value of the securities.</w:t>
            </w:r>
          </w:p>
        </w:tc>
      </w:tr>
    </w:tbl>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8" w:type="dxa"/>
            <w:tcBorders/>
            <w:vAlign w:val="center"/>
          </w:tcPr>
          <w:p>
            <w:pPr>
              <w:pStyle w:val="TableContents"/>
              <w:bidi w:val="0"/>
              <w:spacing w:before="0" w:after="283"/>
              <w:jc w:val="left"/>
              <w:rPr>
                <w:sz w:val="18"/>
              </w:rPr>
            </w:pPr>
            <w:r>
              <w:rPr>
                <w:sz w:val="18"/>
              </w:rPr>
              <w:t>The securities are subject to risks associated with securities issued by non-U.S. companies with respect to the NKY Index.</w:t>
            </w:r>
          </w:p>
        </w:tc>
      </w:tr>
    </w:tbl>
    <w:tbl>
      <w:tblPr>
        <w:tblW w:w="5000" w:type="pct"/>
        <w:jc w:val="left"/>
        <w:tblInd w:w="0" w:type="dxa"/>
        <w:tblLayout w:type="fixed"/>
        <w:tblCellMar>
          <w:top w:w="0" w:type="dxa"/>
          <w:left w:w="0" w:type="dxa"/>
          <w:bottom w:w="0" w:type="dxa"/>
          <w:right w:w="0" w:type="dxa"/>
        </w:tblCellMar>
      </w:tblPr>
      <w:tblGrid>
        <w:gridCol w:w="48"/>
        <w:gridCol w:w="158"/>
        <w:gridCol w:w="9999"/>
      </w:tblGrid>
      <w:tr>
        <w:trPr/>
        <w:tc>
          <w:tcPr>
            <w:tcW w:w="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9" w:type="dxa"/>
            <w:tcBorders/>
            <w:vAlign w:val="center"/>
          </w:tcPr>
          <w:p>
            <w:pPr>
              <w:pStyle w:val="TableContents"/>
              <w:bidi w:val="0"/>
              <w:spacing w:before="0" w:after="283"/>
              <w:jc w:val="left"/>
              <w:rPr>
                <w:sz w:val="18"/>
              </w:rPr>
            </w:pPr>
            <w:r>
              <w:rPr>
                <w:sz w:val="18"/>
              </w:rPr>
              <w:t>The securities are not directly exposed to fluctuations in foreign exchange rates with respect to the NKY Index.</w:t>
            </w:r>
          </w:p>
        </w:tc>
      </w:tr>
    </w:tbl>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4" w:type="dxa"/>
            <w:tcBorders/>
            <w:vAlign w:val="center"/>
          </w:tcPr>
          <w:p>
            <w:pPr>
              <w:pStyle w:val="TableContents"/>
              <w:bidi w:val="0"/>
              <w:spacing w:before="0" w:after="283"/>
              <w:jc w:val="left"/>
              <w:rPr>
                <w:sz w:val="18"/>
              </w:rPr>
            </w:pPr>
            <w:r>
              <w:rPr>
                <w:sz w:val="18"/>
              </w:rPr>
              <w:t xml:space="preserve">An investment in the securities is subject to risks associated with mid-size capitalization stocks with respect to the MID Index. </w:t>
            </w:r>
          </w:p>
        </w:tc>
      </w:tr>
    </w:tbl>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2" w:type="dxa"/>
            <w:tcBorders/>
            <w:vAlign w:val="center"/>
          </w:tcPr>
          <w:p>
            <w:pPr>
              <w:pStyle w:val="TableContents"/>
              <w:bidi w:val="0"/>
              <w:spacing w:before="0" w:after="283"/>
              <w:jc w:val="left"/>
              <w:rPr>
                <w:sz w:val="18"/>
              </w:rPr>
            </w:pPr>
            <w:r>
              <w:rPr>
                <w:sz w:val="18"/>
              </w:rPr>
              <w:t xml:space="preserve">Governmental legislative and regulatory actions, including sanctions, could adversely affect your investment in the securities. </w:t>
            </w:r>
          </w:p>
        </w:tc>
      </w:tr>
    </w:tbl>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0"/>
        <w:ind w:left="360" w:right="0" w:hanging="0"/>
        <w:jc w:val="left"/>
        <w:rPr>
          <w:caps w:val="false"/>
          <w:smallCaps w:val="false"/>
        </w:rPr>
      </w:pPr>
      <w:r>
        <w:rPr>
          <w:caps w:val="false"/>
          <w:smallCaps w:val="false"/>
        </w:rPr>
        <w:t> </w:t>
      </w:r>
    </w:p>
    <w:p>
      <w:pPr>
        <w:pStyle w:val="TextBody"/>
        <w:pBdr>
          <w:top w:val="single" w:sz="4" w:space="1" w:color="000000"/>
        </w:pBdr>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81203/ea0299128-01_424b2.htm" TargetMode="External"/><Relationship Id="rId3" Type="http://schemas.openxmlformats.org/officeDocument/2006/relationships/hyperlink" Target="http://www.sec.gov/Archives/edgar/data/19617/000121390026081203/ea0299128-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1712</Words>
  <Characters>9409</Characters>
  <CharactersWithSpaces>10987</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