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8-K</w:t>
      </w:r>
    </w:p>
    <w:p>
      <w:pPr>
        <w:spacing w:after="0" w:line="173" w:lineRule="exact"/>
        <w:rPr>
          <w:sz w:val="24"/>
          <w:szCs w:val="24"/>
          <w:color w:val="auto"/>
        </w:rPr>
      </w:pPr>
    </w:p>
    <w:p>
      <w:pPr>
        <w:ind w:left="1320"/>
        <w:spacing w:after="0"/>
        <w:rPr>
          <w:sz w:val="20"/>
          <w:szCs w:val="20"/>
          <w:color w:val="auto"/>
        </w:rPr>
      </w:pPr>
      <w:r>
        <w:rPr>
          <w:rFonts w:ascii="Courier New" w:cs="Courier New" w:eastAsia="Courier New" w:hAnsi="Courier New"/>
          <w:sz w:val="14"/>
          <w:szCs w:val="14"/>
          <w:color w:val="auto"/>
        </w:rPr>
        <w:t>CURRENT REPORT PURSUANT TO SECTION 13 OR 15 (d) OF</w:t>
      </w:r>
    </w:p>
    <w:p>
      <w:pPr>
        <w:spacing w:after="0" w:line="3"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THE SECURITIES EXCHANGE ACT OF 1934</w:t>
      </w:r>
    </w:p>
    <w:p>
      <w:pPr>
        <w:sectPr>
          <w:pgSz w:w="11900" w:h="16838" w:orient="portrait"/>
          <w:cols w:equalWidth="0" w:num="1">
            <w:col w:w="10239"/>
          </w:cols>
          <w:pgMar w:left="220" w:top="225" w:right="1440" w:bottom="1440" w:gutter="0" w:footer="0" w:header="0"/>
        </w:sect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DATE OF THE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JANUARY 21, 1998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1-5805</w:t>
      </w:r>
    </w:p>
    <w:p>
      <w:pPr>
        <w:spacing w:after="0" w:line="200" w:lineRule="exact"/>
        <w:rPr>
          <w:sz w:val="24"/>
          <w:szCs w:val="24"/>
          <w:color w:val="auto"/>
        </w:rPr>
      </w:pPr>
    </w:p>
    <w:p>
      <w:pPr>
        <w:sectPr>
          <w:pgSz w:w="11900" w:h="16838" w:orient="portrait"/>
          <w:cols w:equalWidth="0" w:num="3">
            <w:col w:w="1680" w:space="160"/>
            <w:col w:w="1920" w:space="720"/>
            <w:col w:w="5759"/>
          </w:cols>
          <w:pgMar w:left="220" w:top="225" w:right="1440" w:bottom="1440" w:gutter="0" w:footer="0" w:header="0"/>
          <w:type w:val="continuous"/>
        </w:sectPr>
      </w:pPr>
    </w:p>
    <w:p>
      <w:pPr>
        <w:spacing w:after="0" w:line="308"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CHASE MANHATTAN CORPORATION</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25" w:right="1440" w:bottom="144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13-2624428</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4" w:lineRule="exact"/>
        <w:rPr>
          <w:sz w:val="24"/>
          <w:szCs w:val="24"/>
          <w:color w:val="auto"/>
        </w:rPr>
      </w:pPr>
    </w:p>
    <w:p>
      <w:pPr>
        <w:sectPr>
          <w:pgSz w:w="11900" w:h="16838" w:orient="portrait"/>
          <w:cols w:equalWidth="0" w:num="2">
            <w:col w:w="4620" w:space="720"/>
            <w:col w:w="4899"/>
          </w:cols>
          <w:pgMar w:left="220" w:top="225" w:right="1440" w:bottom="1440" w:gutter="0" w:footer="0" w:header="0"/>
          <w:type w:val="continuous"/>
        </w:sectPr>
      </w:pPr>
    </w:p>
    <w:p>
      <w:pPr>
        <w:spacing w:after="0" w:line="30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270 PARK AVENUE, NEW YORK, NY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10017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5140" w:space="720"/>
            <w:col w:w="4379"/>
          </w:cols>
          <w:pgMar w:left="220" w:top="225" w:right="1440" w:bottom="1440" w:gutter="0" w:footer="0" w:header="0"/>
          <w:type w:val="continuous"/>
        </w:sectPr>
      </w:pPr>
    </w:p>
    <w:p>
      <w:pPr>
        <w:spacing w:after="0" w:line="314"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REGISTRANT'S TELEPHONE NUMBER, INCLUDING AREA CODE (212) 270-6000</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ITEM 5. OTHER EVENTS</w:t>
      </w:r>
    </w:p>
    <w:p>
      <w:pPr>
        <w:spacing w:after="0" w:line="342" w:lineRule="exact"/>
        <w:rPr>
          <w:sz w:val="20"/>
          <w:szCs w:val="20"/>
          <w:color w:val="auto"/>
        </w:rPr>
      </w:pPr>
    </w:p>
    <w:p>
      <w:pPr>
        <w:jc w:val="both"/>
        <w:ind w:right="3319" w:firstLine="787"/>
        <w:spacing w:after="0" w:line="256" w:lineRule="auto"/>
        <w:rPr>
          <w:sz w:val="20"/>
          <w:szCs w:val="20"/>
          <w:color w:val="auto"/>
        </w:rPr>
      </w:pPr>
      <w:r>
        <w:rPr>
          <w:rFonts w:ascii="Courier New" w:cs="Courier New" w:eastAsia="Courier New" w:hAnsi="Courier New"/>
          <w:sz w:val="14"/>
          <w:szCs w:val="14"/>
          <w:color w:val="auto"/>
        </w:rPr>
        <w:t>The Chase Manhattan Corporation ("Chase") reported on January 20, 1998 diluted operating earnings per share of $8.35 for 1997, compared with $7.27 in 1996. Operating earnings for the year increased 9% to $3.85 billion from $3.52 billion in 1996. Net income, which includes merger-related restructuring costs and special items, rose to $3.71 billion in 1997 from $2.46 billion in 1996.</w:t>
      </w:r>
    </w:p>
    <w:p>
      <w:pPr>
        <w:spacing w:after="0" w:line="16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Diluted operating earnings per share in the fourth quarter of 1997 were $1.89, compared with $1.88 in the comparable 1996 quarter. Operating earnings in the fourth quarter were $850 million, 6% lower than in the comparable 1996 quarter, primarily due to lower trading results. Net income in the fourth quarter was $874 million, 5% higher than in the comparable 1996 quarter.</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connection with reporting its 1997 full year and fourth quarter results, management disclosed its estimates of Chase's cross-border exposures to certain Asian countries as of December 31, 1997. Management also announced new financial performance goals for Chase for over the next several years, as follows: (1) an average return on common equity of 18% or higher; (2) growth in operating revenues accelerating to 10% per annum, and (3) growth in operating earnings per share in the double digits.</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 copy of the Chase's earnings press release is attached as an exhibit hereto. Also attached as an exhibit hereto is the information relating to Chase's estimates of its cross-border exposures. This Current Report on Form 8-K contains statements that are forward-looking within the meaning of the Private Securities Litigation Reform Act of 1995. Such statements are subject to risks and uncertainties and Chase's actual results may differ materially from those set forth in such forward-looking statements. Factors that would affect the prospects of Chase's business are discussed in its Annual Report to Stockholders on Form 10-K for the year ended December 31, 1996.</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Statements, Pro Forma Financial Information and Exhibits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exhibits are filed with this Report:</w:t>
      </w:r>
    </w:p>
    <w:p>
      <w:pPr>
        <w:spacing w:after="0" w:line="33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Exhibit Number</w:t>
            </w:r>
          </w:p>
        </w:tc>
        <w:tc>
          <w:tcPr>
            <w:tcW w:w="4500" w:type="dxa"/>
            <w:vAlign w:val="bottom"/>
          </w:tcPr>
          <w:p>
            <w:pPr>
              <w:ind w:left="220"/>
              <w:spacing w:after="0"/>
              <w:rPr>
                <w:sz w:val="20"/>
                <w:szCs w:val="20"/>
                <w:color w:val="auto"/>
              </w:rPr>
            </w:pPr>
            <w:r>
              <w:rPr>
                <w:rFonts w:ascii="Courier New" w:cs="Courier New" w:eastAsia="Courier New" w:hAnsi="Courier New"/>
                <w:sz w:val="15"/>
                <w:szCs w:val="15"/>
                <w:color w:val="auto"/>
              </w:rPr>
              <w:t>Description</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4500" w:type="dxa"/>
            <w:vAlign w:val="bottom"/>
          </w:tcPr>
          <w:p>
            <w:pPr>
              <w:ind w:left="220"/>
              <w:spacing w:after="0"/>
              <w:rPr>
                <w:sz w:val="20"/>
                <w:szCs w:val="20"/>
                <w:color w:val="auto"/>
              </w:rPr>
            </w:pPr>
            <w:r>
              <w:rPr>
                <w:rFonts w:ascii="Courier New" w:cs="Courier New" w:eastAsia="Courier New" w:hAnsi="Courier New"/>
                <w:sz w:val="15"/>
                <w:szCs w:val="15"/>
                <w:color w:val="auto"/>
              </w:rPr>
              <w:t>Press Release - 1997 Fourth Quarter Earnings.</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99.2</w:t>
            </w:r>
          </w:p>
        </w:tc>
        <w:tc>
          <w:tcPr>
            <w:tcW w:w="45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Information Relating to Estimates of Cross-Border</w:t>
            </w:r>
          </w:p>
        </w:tc>
      </w:tr>
      <w:tr>
        <w:trPr>
          <w:trHeight w:val="168"/>
        </w:trPr>
        <w:tc>
          <w:tcPr>
            <w:tcW w:w="1460" w:type="dxa"/>
            <w:vAlign w:val="bottom"/>
          </w:tcPr>
          <w:p>
            <w:pPr>
              <w:spacing w:after="0"/>
              <w:rPr>
                <w:sz w:val="14"/>
                <w:szCs w:val="14"/>
                <w:color w:val="auto"/>
              </w:rPr>
            </w:pPr>
          </w:p>
        </w:tc>
        <w:tc>
          <w:tcPr>
            <w:tcW w:w="45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Exposures</w:t>
            </w:r>
          </w:p>
        </w:tc>
      </w:tr>
    </w:tbl>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ind w:left="316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THE CHASE MANHATTAN CORPORATION</w:t>
      </w:r>
    </w:p>
    <w:p>
      <w:pPr>
        <w:ind w:left="4740"/>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right"/>
        <w:ind w:right="1280"/>
        <w:spacing w:after="0"/>
        <w:rPr>
          <w:sz w:val="20"/>
          <w:szCs w:val="20"/>
          <w:color w:val="auto"/>
        </w:rPr>
      </w:pPr>
      <w:r>
        <w:rPr>
          <w:rFonts w:ascii="Courier New" w:cs="Courier New" w:eastAsia="Courier New" w:hAnsi="Courier New"/>
          <w:sz w:val="14"/>
          <w:szCs w:val="14"/>
          <w:color w:val="auto"/>
        </w:rPr>
        <w:t>Dated January 21, 1998</w:t>
      </w:r>
    </w:p>
    <w:p>
      <w:pPr>
        <w:spacing w:after="0" w:line="3" w:lineRule="exact"/>
        <w:rPr>
          <w:sz w:val="20"/>
          <w:szCs w:val="20"/>
          <w:color w:val="auto"/>
        </w:rPr>
      </w:pPr>
    </w:p>
    <w:p>
      <w:pPr>
        <w:jc w:val="right"/>
        <w:ind w:right="1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JOSEPH L. SCLAFANI</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Joseph L. Sclafani</w:t>
      </w:r>
    </w:p>
    <w:p>
      <w:pPr>
        <w:ind w:left="260"/>
        <w:spacing w:after="0" w:line="237" w:lineRule="auto"/>
        <w:rPr>
          <w:sz w:val="20"/>
          <w:szCs w:val="20"/>
          <w:color w:val="auto"/>
        </w:rPr>
      </w:pPr>
      <w:r>
        <w:rPr>
          <w:rFonts w:ascii="Courier New" w:cs="Courier New" w:eastAsia="Courier New" w:hAnsi="Courier New"/>
          <w:sz w:val="15"/>
          <w:szCs w:val="15"/>
          <w:color w:val="auto"/>
        </w:rPr>
        <w:t>Controller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[Principal Accounting Officer]</w:t>
      </w:r>
    </w:p>
    <w:p>
      <w:pPr>
        <w:sectPr>
          <w:pgSz w:w="11900" w:h="16838" w:orient="portrait"/>
          <w:cols w:equalWidth="0" w:num="2">
            <w:col w:w="3220" w:space="720"/>
            <w:col w:w="6299"/>
          </w:cols>
          <w:pgMar w:left="220" w:top="281"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146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4</w:t>
            </w:r>
          </w:p>
        </w:tc>
        <w:tc>
          <w:tcPr>
            <w:tcW w:w="42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4200" w:type="dxa"/>
            <w:vAlign w:val="bottom"/>
          </w:tcPr>
          <w:p>
            <w:pPr>
              <w:ind w:left="1520"/>
              <w:spacing w:after="0" w:line="168" w:lineRule="exact"/>
              <w:rPr>
                <w:sz w:val="20"/>
                <w:szCs w:val="20"/>
                <w:color w:val="auto"/>
              </w:rPr>
            </w:pPr>
            <w:r>
              <w:rPr>
                <w:rFonts w:ascii="Courier New" w:cs="Courier New" w:eastAsia="Courier New" w:hAnsi="Courier New"/>
                <w:sz w:val="15"/>
                <w:szCs w:val="15"/>
                <w:color w:val="auto"/>
              </w:rPr>
              <w:t>EXHIBIT INDEX</w:t>
            </w:r>
          </w:p>
        </w:tc>
        <w:tc>
          <w:tcPr>
            <w:tcW w:w="144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Page at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Number</w:t>
            </w:r>
          </w:p>
        </w:tc>
        <w:tc>
          <w:tcPr>
            <w:tcW w:w="42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Description</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Which Located</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99.1</w:t>
            </w:r>
          </w:p>
        </w:tc>
        <w:tc>
          <w:tcPr>
            <w:tcW w:w="42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Press Release - 1997 Fourth Quarter Earnings.</w:t>
            </w: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99.2</w:t>
            </w:r>
          </w:p>
        </w:tc>
        <w:tc>
          <w:tcPr>
            <w:tcW w:w="56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Information Relating to Estimates of Cross-Border   22</w:t>
            </w:r>
          </w:p>
        </w:tc>
      </w:tr>
      <w:tr>
        <w:trPr>
          <w:trHeight w:val="168"/>
        </w:trPr>
        <w:tc>
          <w:tcPr>
            <w:tcW w:w="1460" w:type="dxa"/>
            <w:vAlign w:val="bottom"/>
          </w:tcPr>
          <w:p>
            <w:pPr>
              <w:spacing w:after="0"/>
              <w:rPr>
                <w:sz w:val="14"/>
                <w:szCs w:val="14"/>
                <w:color w:val="auto"/>
              </w:rPr>
            </w:pPr>
          </w:p>
        </w:tc>
        <w:tc>
          <w:tcPr>
            <w:tcW w:w="42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Exposures</w:t>
            </w:r>
          </w:p>
        </w:tc>
        <w:tc>
          <w:tcPr>
            <w:tcW w:w="144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EXHIBIT 99.1</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[CHASE LETTERHEAD]</w:t>
      </w:r>
    </w:p>
    <w:p>
      <w:pPr>
        <w:sectPr>
          <w:pgSz w:w="11900" w:h="16838" w:orient="portrait"/>
          <w:cols w:equalWidth="0" w:num="1">
            <w:col w:w="10239"/>
          </w:cols>
          <w:pgMar w:left="220" w:top="13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 Park Avenue</w:t>
      </w:r>
    </w:p>
    <w:p>
      <w:pPr>
        <w:spacing w:after="0" w:line="237" w:lineRule="auto"/>
        <w:rPr>
          <w:sz w:val="20"/>
          <w:szCs w:val="20"/>
          <w:color w:val="auto"/>
        </w:rPr>
      </w:pPr>
      <w:r>
        <w:rPr>
          <w:rFonts w:ascii="Courier New" w:cs="Courier New" w:eastAsia="Courier New" w:hAnsi="Courier New"/>
          <w:sz w:val="15"/>
          <w:szCs w:val="15"/>
          <w:color w:val="auto"/>
        </w:rPr>
        <w:t>New York, NY 10017-2070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 RELEASE</w:t>
      </w:r>
    </w:p>
    <w:p>
      <w:pPr>
        <w:spacing w:after="0" w:line="171" w:lineRule="exact"/>
        <w:rPr>
          <w:sz w:val="20"/>
          <w:szCs w:val="20"/>
          <w:color w:val="auto"/>
        </w:rPr>
      </w:pPr>
    </w:p>
    <w:p>
      <w:pPr>
        <w:sectPr>
          <w:pgSz w:w="11900" w:h="16838" w:orient="portrait"/>
          <w:cols w:equalWidth="0" w:num="2">
            <w:col w:w="3660" w:space="720"/>
            <w:col w:w="5859"/>
          </w:cols>
          <w:pgMar w:left="220" w:top="1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Investor Contact: John Borden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212-270-7318</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Press Contacts: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Kathleen Baum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212-270-5089</w:t>
      </w:r>
    </w:p>
    <w:p>
      <w:pPr>
        <w:spacing w:after="0" w:line="237" w:lineRule="auto"/>
        <w:rPr>
          <w:sz w:val="20"/>
          <w:szCs w:val="20"/>
          <w:color w:val="auto"/>
        </w:rPr>
      </w:pPr>
      <w:r>
        <w:rPr>
          <w:rFonts w:ascii="Courier New" w:cs="Courier New" w:eastAsia="Courier New" w:hAnsi="Courier New"/>
          <w:sz w:val="15"/>
          <w:szCs w:val="15"/>
          <w:color w:val="auto"/>
        </w:rPr>
        <w:t>John Stefans</w:t>
      </w:r>
    </w:p>
    <w:p>
      <w:pPr>
        <w:spacing w:after="0" w:line="238" w:lineRule="auto"/>
        <w:rPr>
          <w:sz w:val="20"/>
          <w:szCs w:val="20"/>
          <w:color w:val="auto"/>
        </w:rPr>
      </w:pPr>
      <w:r>
        <w:rPr>
          <w:rFonts w:ascii="Courier New" w:cs="Courier New" w:eastAsia="Courier New" w:hAnsi="Courier New"/>
          <w:sz w:val="15"/>
          <w:szCs w:val="15"/>
          <w:color w:val="auto"/>
        </w:rPr>
        <w:t>212-270-7438</w:t>
      </w:r>
    </w:p>
    <w:p>
      <w:pPr>
        <w:spacing w:after="0" w:line="167" w:lineRule="exact"/>
        <w:rPr>
          <w:sz w:val="20"/>
          <w:szCs w:val="20"/>
          <w:color w:val="auto"/>
        </w:rPr>
      </w:pPr>
    </w:p>
    <w:p>
      <w:pPr>
        <w:sectPr>
          <w:pgSz w:w="11900" w:h="16838" w:orient="portrait"/>
          <w:cols w:equalWidth="0" w:num="3">
            <w:col w:w="3660" w:space="720"/>
            <w:col w:w="1320" w:space="160"/>
            <w:col w:w="4379"/>
          </w:cols>
          <w:pgMar w:left="220" w:top="135" w:right="1440" w:bottom="1440" w:gutter="0" w:footer="0" w:header="0"/>
          <w:type w:val="continuous"/>
        </w:sectPr>
      </w:pPr>
    </w:p>
    <w:p>
      <w:pPr>
        <w:ind w:left="980"/>
        <w:spacing w:after="0"/>
        <w:rPr>
          <w:sz w:val="20"/>
          <w:szCs w:val="20"/>
          <w:color w:val="auto"/>
        </w:rPr>
      </w:pPr>
      <w:r>
        <w:rPr>
          <w:rFonts w:ascii="Courier New" w:cs="Courier New" w:eastAsia="Courier New" w:hAnsi="Courier New"/>
          <w:sz w:val="15"/>
          <w:szCs w:val="15"/>
          <w:color w:val="auto"/>
        </w:rPr>
        <w:t>CHASE OPERATING EARNINGS PER SHARE RISE 15 PERCENT IN 1997</w:t>
      </w:r>
    </w:p>
    <w:p>
      <w:pPr>
        <w:spacing w:after="0" w:line="173"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New York, January 20, 1998 -- The Chase Manhattan Corporation (NYSE:CMB) today reported diluted operating earnings per share of $8.35 for 1997, compared with $7.27 in 1996. Operating earnings for the year increased nine percent to $3.85 billion from $3.52 billion in 1996. Net income, which includes merger-related restructuring costs and special items, rose to $3.71 billion in 1997 from $2.46 billion in 1996.</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1997 FINANCIAL HIGHLIGHTS</w:t>
      </w:r>
    </w:p>
    <w:p>
      <w:pPr>
        <w:spacing w:after="0" w:line="173" w:lineRule="exact"/>
        <w:rPr>
          <w:sz w:val="20"/>
          <w:szCs w:val="20"/>
          <w:color w:val="auto"/>
        </w:rPr>
      </w:pPr>
    </w:p>
    <w:p>
      <w:pPr>
        <w:ind w:left="880" w:hanging="433"/>
        <w:spacing w:after="0"/>
        <w:tabs>
          <w:tab w:leader="none" w:pos="8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earnings per share increased 15 percent for the full year.</w:t>
      </w:r>
    </w:p>
    <w:p>
      <w:pPr>
        <w:spacing w:after="0" w:line="177" w:lineRule="exact"/>
        <w:rPr>
          <w:rFonts w:ascii="Courier New" w:cs="Courier New" w:eastAsia="Courier New" w:hAnsi="Courier New"/>
          <w:sz w:val="14"/>
          <w:szCs w:val="14"/>
          <w:color w:val="auto"/>
        </w:rPr>
      </w:pPr>
    </w:p>
    <w:p>
      <w:pPr>
        <w:ind w:left="880" w:right="3399" w:hanging="433"/>
        <w:spacing w:after="0" w:line="234"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common stockholders' equity rose to 19.5 percent from 18.4 percent.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managed revenues increased eight percent to $17.67 billion.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efficiency ratio improved to 55 percent from 57 percent.</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"It was another great year for Chase, underscoring the strength of our balanced mix of businesses," said Walter V. Shipley, chairman and chief executive officer. "Despite difficult market conditions in the fourth quarter, revenue growth continued to accelerate, with eight of Chase's eleven businesses growing at double-digit levels."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financial summary</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Diluted operating earnings per share in the fourth quarter of 1997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$1.89, compared with $1.88 in the same 1996 quarter. Operating earnings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$850 million, six percent lower than in the same 1996 quarter, primarily due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lower trading results. Net income was $874 million, five percent higher than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same 1996 quarter.</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39"/>
          </w:cols>
          <w:pgMar w:left="220" w:top="135"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2</w:t>
      </w:r>
    </w:p>
    <w:p>
      <w:pPr>
        <w:ind w:left="3420"/>
        <w:spacing w:after="0" w:line="237" w:lineRule="auto"/>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Return on common stockholders' equity was 16.5 percent in the fourth quarter of 1997 compared with 18.1 percent in the same 1996 quarter. Total managed revenues rose five percent to $4.29 billion, from $4.10 billion in the same 1996 quarter. The efficiency ratio was 57 percent in the the fourth quarter of 1997 and 56 percent in the prior year quarter.</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LINE-OF-BUSINESS RESULTS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Results have been restated to reflect the corporation's new organizational structure. Chase's Global Services businesses are now reported as Chase Technology Solutions. Middle Market Banking and Chase Bank of Texas, formerly Texas Commerce Bank, are now included in Global Banking although consumer- and global services-related results for Chase Bank of Texas are reported as part of those businesses.</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Global Banking</w:t>
      </w:r>
    </w:p>
    <w:p>
      <w:pPr>
        <w:spacing w:after="0" w:line="173"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Net income from Global Banking in 1997 rose 11 percent to $2.47 billion. Return on common equity was 22 percent. For the full year, Global Banking revenues grew six percent.</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Net income from Chase's global markets businesses rose 18 percent in 1997 to $955 million. Revenues rose 11 percent for the full year, reflecting higher treasury results and trading revenues. Total trading revenues for the corporation rose four percent to $2.04 billion for the full year. Fourth quarter total trading revenues were $127 million, as losses in emerging markets securities offset strong foreign exchange revenues.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Net income from global investment banking and corporate lending was $741 million in 1997. Investment banking activity accelerated throughout the year, producing record corporate finance and loan syndication fees for the corporation. These fees rose 20 percent to $1.14 billion for the full year and by 68 percent in the fourth quarter. Results for 1997 reflect significant market share gains in high yield and investment grade underwriting, and in mergers and acquisitions advisory activities. Revenues from corporate lending declined nine percent to $1.47 billion.</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Net income from Chase Capital Partners rose three percent to $409</w:t>
      </w:r>
    </w:p>
    <w:p>
      <w:pPr>
        <w:spacing w:after="0" w:line="237" w:lineRule="auto"/>
        <w:rPr>
          <w:sz w:val="20"/>
          <w:szCs w:val="20"/>
          <w:color w:val="auto"/>
        </w:rPr>
      </w:pPr>
      <w:r>
        <w:rPr>
          <w:rFonts w:ascii="Courier New" w:cs="Courier New" w:eastAsia="Courier New" w:hAnsi="Courier New"/>
          <w:sz w:val="15"/>
          <w:szCs w:val="15"/>
          <w:color w:val="auto"/>
        </w:rPr>
        <w:t>million in 1997. Equity-related investment revenues for the corporation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$806 million in 1997, including revenues of $220 million in the fourth quarter,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28 percent increase over the prior year.</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Net income for Chase Bank of Texas increased by eight percent to $291 million in 1997, with both fee-based business and loan and deposit volumes rising. Revenues rose by eight percent for the full year and by 10 percent in the fourth quarter.</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3</w:t>
      </w:r>
    </w:p>
    <w:p>
      <w:pPr>
        <w:ind w:left="3420"/>
        <w:spacing w:after="0" w:line="237" w:lineRule="auto"/>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Net income from middle market banking was $211 million in 1997, an 11 percent increase over the previous year, reflecting higher deposit volume, increased corporate finance activity and productivity gains.</w:t>
      </w:r>
    </w:p>
    <w:p>
      <w:pPr>
        <w:spacing w:after="0" w:line="174"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Net income from global asset management and private banking rose 24 percent to $143 million in 1997. Revenues for the full year rose by 11 percent, driven by growth in assets under management as well as increased investment advisory activities. In the fourth quarter, revenues rose 14 percent.</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Chase Technology Solutions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As announced in December 1997, in order to establish a fully integrated transaction processing platform, Chase has combined its global services businesses, information technology and operations and electronic commerce initiatives into a new group called Chase Technology Solutions.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Net income for global services within Chase Technology Solutions rose 37 percent to $395 million in 1997, reflecting an 11 percent rise in revenues as well as productivity gains. Return on common equity for the year was 37 percent. In the fourth quarter, net income rose 46 percent, with revenues rising 17 percent. Expenses related to information technology and operations and electronic commerce initiatives have been allocated to the businesses they support.</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National Consumer Services</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Net income from National Consumer Services rose nine percent to $1.04 billion in 1997. Return on common equity was 21 percent. Revenues increased 10 percent for the full year and 12 percent in the fourth quarter. Fourth quarter net income rose 23 percent.</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Net income from credit cards was $325 million in 1997, a six percent decline from the prior year reflecting higher charge-offs and marketing investments. Credit card revenues increased 15 percent to $3.35 billion in 1997, reflecting growth throughout the year in both co-branded offerings and core products. Net income was $104 million in the fourth quarter, 37 percent higher than the year-ago period. Average managed domestic receivables increased 20 percent to $29.38 billion in the 1997 fourth quarter and include Chase's acquisition of substantially all of The Bank of New York's credit card portfolio, which closed on November 24, 1997. The credit card charge-off rate continued to decline from second and third quarter 1997 levels.</w:t>
      </w:r>
    </w:p>
    <w:p>
      <w:pPr>
        <w:spacing w:after="0" w:line="179"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Net income from mortgage banking was $180 million in 1997, a 70 percent increase from the prior year, reflecting higher revenues and productivity gains from re-engineering initiatives. For the full year, revenues rose 14 percent to $741 million. Fourth quarter 1997 revenues rose 10 percent to $175 million.</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4</w:t>
      </w:r>
    </w:p>
    <w:p>
      <w:pPr>
        <w:ind w:left="3420"/>
        <w:spacing w:after="0" w:line="237" w:lineRule="auto"/>
        <w:rPr>
          <w:sz w:val="20"/>
          <w:szCs w:val="20"/>
          <w:color w:val="auto"/>
        </w:rPr>
      </w:pPr>
      <w:r>
        <w:rPr>
          <w:rFonts w:ascii="Courier New" w:cs="Courier New" w:eastAsia="Courier New" w:hAnsi="Courier New"/>
          <w:sz w:val="15"/>
          <w:szCs w:val="15"/>
          <w:color w:val="auto"/>
        </w:rPr>
        <w:t>4</w:t>
      </w:r>
    </w:p>
    <w:p>
      <w:pPr>
        <w:spacing w:after="0" w:line="342"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Net income from national consumer finance was $123 million, a 10 percent decline from the prior year, reflecting the impact of the joint venture formed with Sallie Mae in the fourth quarter of 1996, which is accounted for on an equity basis. Revenues increased eight percent to $649 million in 1997. Revenues in the fourth quarter grew by 11 percent.</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Net income from payments and investments was $395 million in 1997, a 13 percent increase from 1996, reflecting higher deposit volumes, increased investment sales and greater Chase banking card usage. Results for the year also reflect ongoing productivity initiatives. Revenues rose three percent for the full year and five percent in the fourth quarter.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Total noninterest operating expenses were $9.73 billion in 1997, a five percent increase from 1996, and reflected $635 million of incremental merger savings, offset by higher investment spending and increased incentives related to higher revenues. In the fourth quarter of 1997, total noninterest operating expenses rose seven percent to $2.47 billion, reflecting $115 million in incremental merger savings.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Quality</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provision for credit losses in 1997 was $804 million, compared with $897 million in 1996. The provision for credit losses was $205 million in 1997 fourth quarter, compared with $182 million in fourth quarter of 1996.</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Total managed consumer net charge-offs for the full year were $1.783 billion, of which $807 million related to assets retained on the balance sheet, compared with $1.362 billion, of which $824 million related to assets retained on the balance sheet, in 1996. In the fourth quarter of 1997, total managed consumer net charge-offs were $472 million, of which $212 million were related to assets retained on the balance sheet.</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Managed domestic credit card net charge-offs for the full year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5.66 percent of average managed receivables, compared with 4.87 percent in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Managed domestic credit card net charge-offs in the fourth quarter were 5.45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 average managed receivables, compared with 5.11 percent in the same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quarter.</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Total domestic commercial net recoveries were $15 million in 1997, compared with net charge-offs of $100 million in 1996. In the fourth quarter of 1997, total domestic commercial net recoveries were $24 million compared with net recoveries of $22 million in the same 1996 quarter.</w:t>
      </w:r>
    </w:p>
    <w:p>
      <w:pPr>
        <w:spacing w:after="0" w:line="175" w:lineRule="exact"/>
        <w:rPr>
          <w:sz w:val="20"/>
          <w:szCs w:val="20"/>
          <w:color w:val="auto"/>
        </w:rPr>
      </w:pPr>
    </w:p>
    <w:p>
      <w:pPr>
        <w:jc w:val="both"/>
        <w:ind w:right="3839" w:firstLine="787"/>
        <w:spacing w:after="0" w:line="235" w:lineRule="auto"/>
        <w:rPr>
          <w:sz w:val="20"/>
          <w:szCs w:val="20"/>
          <w:color w:val="auto"/>
        </w:rPr>
      </w:pPr>
      <w:r>
        <w:rPr>
          <w:rFonts w:ascii="Courier New" w:cs="Courier New" w:eastAsia="Courier New" w:hAnsi="Courier New"/>
          <w:sz w:val="15"/>
          <w:szCs w:val="15"/>
          <w:color w:val="auto"/>
        </w:rPr>
        <w:t>Nonperforming assets, at December 31, 1997 were $1.018 billion, compared with $1.036 billion on September 30, 1997 and $ 1.151 billion on December 31, 1996.</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5</w:t>
      </w:r>
    </w:p>
    <w:p>
      <w:pPr>
        <w:ind w:left="3420"/>
        <w:spacing w:after="0" w:line="237" w:lineRule="auto"/>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Information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Fourth quarter 1997 operating revenues and earnings exclude a $58 million special gain ($37 million after-tax) resulting from the sale of Chase's remaining 20 percent stake in CIT.</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Merger-related restructuring costs of $192 million for the full year and $20 million for the 1997 fourth quarter are also excluded from operating earnings.</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At December 31, 1997, Chase's estimated Tier 1 and total risk-based capital ratios were 7.9 percent and 11.7 percent, respectively, and its leverage ratio was 6.0 percent.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CHASE'S NEWS RELEASES AND QUARTERLY FINANCIAL RESULTS ARE AVAILABLE ON THE INTERNET AT WWW.CHASE.COM.</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6</w:t>
      </w:r>
    </w:p>
    <w:p>
      <w:pPr>
        <w:jc w:val="center"/>
        <w:ind w:right="332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THE CHASE MANHATTAN CORPORATION AND SUBSIDIARIES</w:t>
      </w:r>
    </w:p>
    <w:p>
      <w:pPr>
        <w:jc w:val="center"/>
        <w:ind w:right="3400"/>
        <w:spacing w:after="0" w:line="237" w:lineRule="auto"/>
        <w:rPr>
          <w:sz w:val="20"/>
          <w:szCs w:val="20"/>
          <w:color w:val="auto"/>
        </w:rPr>
      </w:pPr>
      <w:r>
        <w:rPr>
          <w:rFonts w:ascii="Courier New" w:cs="Courier New" w:eastAsia="Courier New" w:hAnsi="Courier New"/>
          <w:sz w:val="15"/>
          <w:szCs w:val="15"/>
          <w:color w:val="auto"/>
        </w:rPr>
        <w:t>FINANCIAL HIGHLIGHTS</w:t>
      </w:r>
    </w:p>
    <w:p>
      <w:pPr>
        <w:jc w:val="center"/>
        <w:ind w:right="3400"/>
        <w:spacing w:after="0" w:line="238" w:lineRule="auto"/>
        <w:rPr>
          <w:sz w:val="20"/>
          <w:szCs w:val="20"/>
          <w:color w:val="auto"/>
        </w:rPr>
      </w:pPr>
      <w:r>
        <w:rPr>
          <w:rFonts w:ascii="Courier New" w:cs="Courier New" w:eastAsia="Courier New" w:hAnsi="Courier New"/>
          <w:sz w:val="15"/>
          <w:szCs w:val="15"/>
          <w:color w:val="auto"/>
        </w:rPr>
        <w:t>(IN MILLIONS, EXCEPT PER SHARE AND RATIO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THREE MONTHS ENDED</w:t>
            </w:r>
          </w:p>
        </w:tc>
        <w:tc>
          <w:tcPr>
            <w:tcW w:w="400" w:type="dxa"/>
            <w:vAlign w:val="bottom"/>
          </w:tcPr>
          <w:p>
            <w:pPr>
              <w:spacing w:after="0"/>
              <w:rPr>
                <w:sz w:val="14"/>
                <w:szCs w:val="14"/>
                <w:color w:val="auto"/>
              </w:rPr>
            </w:pPr>
          </w:p>
        </w:tc>
        <w:tc>
          <w:tcPr>
            <w:tcW w:w="1920" w:type="dxa"/>
            <w:vAlign w:val="bottom"/>
            <w:gridSpan w:val="2"/>
          </w:tcPr>
          <w:p>
            <w:pPr>
              <w:jc w:val="right"/>
              <w:ind w:right="11"/>
              <w:spacing w:after="0"/>
              <w:rPr>
                <w:sz w:val="20"/>
                <w:szCs w:val="20"/>
                <w:color w:val="auto"/>
              </w:rPr>
            </w:pPr>
            <w:r>
              <w:rPr>
                <w:rFonts w:ascii="Courier New" w:cs="Courier New" w:eastAsia="Courier New" w:hAnsi="Courier New"/>
                <w:sz w:val="15"/>
                <w:szCs w:val="15"/>
                <w:color w:val="auto"/>
              </w:rPr>
              <w:t>FOR THE YEAR ENDED</w:t>
            </w:r>
          </w:p>
        </w:tc>
        <w:tc>
          <w:tcPr>
            <w:tcW w:w="70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40" w:type="dxa"/>
            <w:vAlign w:val="bottom"/>
            <w:gridSpan w:val="4"/>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66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c>
          <w:tcPr>
            <w:tcW w:w="1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850</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901</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3,849</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3,516</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Nonrecurring Items (After-Tax)</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Restructuring Costs (After-Tax)</w:t>
            </w:r>
          </w:p>
        </w:tc>
        <w:tc>
          <w:tcPr>
            <w:tcW w:w="1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w:t>
            </w:r>
          </w:p>
        </w:tc>
        <w:tc>
          <w:tcPr>
            <w:tcW w:w="400" w:type="dxa"/>
            <w:vAlign w:val="bottom"/>
          </w:tcPr>
          <w:p>
            <w:pPr>
              <w:spacing w:after="0"/>
              <w:rPr>
                <w:sz w:val="14"/>
                <w:szCs w:val="14"/>
                <w:color w:val="auto"/>
              </w:rPr>
            </w:pP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(121)</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(1,125)</w:t>
            </w:r>
          </w:p>
        </w:tc>
      </w:tr>
      <w:tr>
        <w:trPr>
          <w:trHeight w:val="168"/>
        </w:trPr>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874</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836</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3,708</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2,461</w:t>
            </w:r>
          </w:p>
        </w:tc>
      </w:tr>
      <w:tr>
        <w:trPr>
          <w:trHeight w:val="168"/>
        </w:trPr>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Net Income Applicable to Common Stock</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839</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781</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3,526</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2,242</w:t>
            </w:r>
          </w:p>
        </w:tc>
      </w:tr>
      <w:tr>
        <w:trPr>
          <w:trHeight w:val="168"/>
        </w:trPr>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INCOME PER COMMON SHARE:</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7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Operating Income</w:t>
            </w:r>
          </w:p>
        </w:tc>
        <w:tc>
          <w:tcPr>
            <w:tcW w:w="1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8.64</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7.55</w:t>
            </w: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1.78</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8.30</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7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Operating Income</w:t>
            </w:r>
          </w:p>
        </w:tc>
        <w:tc>
          <w:tcPr>
            <w:tcW w:w="1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1.89</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1.88</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8.35</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7.27</w:t>
            </w: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8.03</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4.94</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PER COMMON SHARE:</w:t>
            </w: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Book Value at December 31,</w:t>
            </w:r>
          </w:p>
        </w:tc>
        <w:tc>
          <w:tcPr>
            <w:tcW w:w="1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47.51</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42.58</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47.51</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42.58</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Market Value at December 31,</w:t>
            </w:r>
          </w:p>
        </w:tc>
        <w:tc>
          <w:tcPr>
            <w:tcW w:w="1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109.50</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89.38</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109.50</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89.38</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Common Stock Dividends Declared</w:t>
            </w:r>
          </w:p>
        </w:tc>
        <w:tc>
          <w:tcPr>
            <w:tcW w:w="1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0.62</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0.56</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2.48</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w:t>
            </w:r>
          </w:p>
        </w:tc>
      </w:tr>
      <w:tr>
        <w:trPr>
          <w:trHeight w:val="336"/>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COMMON SHARES OUTSTANDING:</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Basic Average Common Shares</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421.3</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438.0</w:t>
            </w:r>
          </w:p>
        </w:tc>
        <w:tc>
          <w:tcPr>
            <w:tcW w:w="400" w:type="dxa"/>
            <w:vAlign w:val="bottom"/>
          </w:tcPr>
          <w:p>
            <w:pPr>
              <w:spacing w:after="0"/>
              <w:rPr>
                <w:sz w:val="14"/>
                <w:szCs w:val="14"/>
                <w:color w:val="auto"/>
              </w:rPr>
            </w:pP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424.6</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436.8</w:t>
            </w:r>
          </w:p>
        </w:tc>
      </w:tr>
      <w:tr>
        <w:trPr>
          <w:trHeight w:val="168"/>
        </w:trPr>
        <w:tc>
          <w:tcPr>
            <w:tcW w:w="4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Average Common Shares Assuming Dilution</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432.2</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448.8</w:t>
            </w:r>
          </w:p>
        </w:tc>
        <w:tc>
          <w:tcPr>
            <w:tcW w:w="400" w:type="dxa"/>
            <w:vAlign w:val="bottom"/>
          </w:tcPr>
          <w:p>
            <w:pPr>
              <w:spacing w:after="0"/>
              <w:rPr>
                <w:sz w:val="14"/>
                <w:szCs w:val="14"/>
                <w:color w:val="auto"/>
              </w:rPr>
            </w:pP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439.2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453.4</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Shares at Period End</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421.0</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430.8</w:t>
            </w:r>
          </w:p>
        </w:tc>
        <w:tc>
          <w:tcPr>
            <w:tcW w:w="400" w:type="dxa"/>
            <w:vAlign w:val="bottom"/>
          </w:tcPr>
          <w:p>
            <w:pPr>
              <w:spacing w:after="0"/>
              <w:rPr>
                <w:sz w:val="14"/>
                <w:szCs w:val="14"/>
                <w:color w:val="auto"/>
              </w:rPr>
            </w:pP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421.0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430.8</w:t>
            </w:r>
          </w:p>
        </w:tc>
      </w:tr>
      <w:tr>
        <w:trPr>
          <w:trHeight w:val="336"/>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rPr>
              <w:t>PERFORMANCE RATIOS: (AVERAGE BALANCES) (c)</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7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Return on Assets</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0.90%</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w:t>
            </w:r>
          </w:p>
        </w:tc>
        <w:tc>
          <w:tcPr>
            <w:tcW w:w="400" w:type="dxa"/>
            <w:vAlign w:val="bottom"/>
          </w:tcPr>
          <w:p>
            <w:pPr>
              <w:spacing w:after="0"/>
              <w:rPr>
                <w:sz w:val="14"/>
                <w:szCs w:val="14"/>
                <w:color w:val="auto"/>
              </w:rPr>
            </w:pP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1.08%</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45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Return on Common Stockholders' Equity</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16.53%</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18.12%</w:t>
            </w:r>
          </w:p>
        </w:tc>
        <w:tc>
          <w:tcPr>
            <w:tcW w:w="400" w:type="dxa"/>
            <w:vAlign w:val="bottom"/>
          </w:tcPr>
          <w:p>
            <w:pPr>
              <w:spacing w:after="0"/>
              <w:rPr>
                <w:sz w:val="14"/>
                <w:szCs w:val="14"/>
                <w:color w:val="auto"/>
              </w:rPr>
            </w:pP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19.48%</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18.35%</w:t>
            </w:r>
          </w:p>
        </w:tc>
      </w:tr>
      <w:tr>
        <w:trPr>
          <w:trHeight w:val="168"/>
        </w:trPr>
        <w:tc>
          <w:tcPr>
            <w:tcW w:w="45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Return on Total Stockholders' Equity</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15.84%</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16.89%</w:t>
            </w:r>
          </w:p>
        </w:tc>
        <w:tc>
          <w:tcPr>
            <w:tcW w:w="400" w:type="dxa"/>
            <w:vAlign w:val="bottom"/>
          </w:tcPr>
          <w:p>
            <w:pPr>
              <w:spacing w:after="0"/>
              <w:rPr>
                <w:sz w:val="14"/>
                <w:szCs w:val="14"/>
                <w:color w:val="auto"/>
              </w:rPr>
            </w:pP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18.29%</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17.06%</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7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Return on Assets</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0.92%</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14"/>
                <w:szCs w:val="14"/>
                <w:color w:val="auto"/>
              </w:rPr>
            </w:pP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1.04%</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0.77%</w:t>
            </w:r>
          </w:p>
        </w:tc>
      </w:tr>
      <w:tr>
        <w:trPr>
          <w:trHeight w:val="168"/>
        </w:trPr>
        <w:tc>
          <w:tcPr>
            <w:tcW w:w="45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Return on Common Stockholders' Equity</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17.02%</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16.73%</w:t>
            </w:r>
          </w:p>
        </w:tc>
        <w:tc>
          <w:tcPr>
            <w:tcW w:w="400" w:type="dxa"/>
            <w:vAlign w:val="bottom"/>
          </w:tcPr>
          <w:p>
            <w:pPr>
              <w:spacing w:after="0"/>
              <w:rPr>
                <w:sz w:val="14"/>
                <w:szCs w:val="14"/>
                <w:color w:val="auto"/>
              </w:rPr>
            </w:pP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18.73%</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12.48%</w:t>
            </w:r>
          </w:p>
        </w:tc>
      </w:tr>
      <w:tr>
        <w:trPr>
          <w:trHeight w:val="168"/>
        </w:trPr>
        <w:tc>
          <w:tcPr>
            <w:tcW w:w="45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Return on Total Stockholders' Equity</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16.28%</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15.67%</w:t>
            </w:r>
          </w:p>
        </w:tc>
        <w:tc>
          <w:tcPr>
            <w:tcW w:w="400" w:type="dxa"/>
            <w:vAlign w:val="bottom"/>
          </w:tcPr>
          <w:p>
            <w:pPr>
              <w:spacing w:after="0"/>
              <w:rPr>
                <w:sz w:val="14"/>
                <w:szCs w:val="14"/>
                <w:color w:val="auto"/>
              </w:rPr>
            </w:pP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17.62%</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11.94%</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Efficiency Ratio</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400" w:type="dxa"/>
            <w:vAlign w:val="bottom"/>
          </w:tcPr>
          <w:p>
            <w:pPr>
              <w:spacing w:after="0"/>
              <w:rPr>
                <w:sz w:val="14"/>
                <w:szCs w:val="14"/>
                <w:color w:val="auto"/>
              </w:rPr>
            </w:pP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58%</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4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Efficiency Ratio - Excluding Securitizations  (d)</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400" w:type="dxa"/>
            <w:vAlign w:val="bottom"/>
          </w:tcPr>
          <w:p>
            <w:pPr>
              <w:spacing w:after="0"/>
              <w:rPr>
                <w:sz w:val="14"/>
                <w:szCs w:val="14"/>
                <w:color w:val="auto"/>
              </w:rPr>
            </w:pP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55%</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336"/>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CAPITAL RATIOS AT DECEMBER 31:</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Common Stockholders' Equity to Assets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5.5%</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4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Total Stockholders' Equity to Assets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Leverage</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6.0%(e)</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Risk-Based Capital:</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7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Tier 1 (4.0% required)</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7.9%(e) *</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27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Total (8.0% required)</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11.7%(e) *</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r>
      <w:tr>
        <w:trPr>
          <w:trHeight w:val="336"/>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rPr>
              <w:t>FULL-TIME EQUIVALENT EMPLOYEES AT DECEMBER 31,</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69,033</w:t>
            </w:r>
          </w:p>
        </w:tc>
        <w:tc>
          <w:tcPr>
            <w:tcW w:w="2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67,785</w:t>
            </w:r>
          </w:p>
        </w:tc>
      </w:tr>
    </w:tbl>
    <w:p>
      <w:pPr>
        <w:spacing w:after="0" w:line="335" w:lineRule="exact"/>
        <w:rPr>
          <w:sz w:val="20"/>
          <w:szCs w:val="20"/>
          <w:color w:val="auto"/>
        </w:rPr>
      </w:pPr>
    </w:p>
    <w:p>
      <w:pPr>
        <w:ind w:left="540" w:hanging="530"/>
        <w:spacing w:after="0"/>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Operating Income Reconciliation on the following page.</w:t>
      </w:r>
    </w:p>
    <w:p>
      <w:pPr>
        <w:spacing w:after="0" w:line="172" w:lineRule="exact"/>
        <w:rPr>
          <w:rFonts w:ascii="Courier New" w:cs="Courier New" w:eastAsia="Courier New" w:hAnsi="Courier New"/>
          <w:sz w:val="15"/>
          <w:szCs w:val="15"/>
          <w:color w:val="auto"/>
        </w:rPr>
      </w:pPr>
    </w:p>
    <w:p>
      <w:pPr>
        <w:ind w:left="540" w:right="3420" w:hanging="530"/>
        <w:spacing w:after="0" w:line="234"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increased its quarterly common stock dividend to $0.62 per share, from $0.56 per share, in the first quarter of 1997.</w:t>
      </w:r>
    </w:p>
    <w:p>
      <w:pPr>
        <w:spacing w:after="0" w:line="173" w:lineRule="exact"/>
        <w:rPr>
          <w:rFonts w:ascii="Courier New" w:cs="Courier New" w:eastAsia="Courier New" w:hAnsi="Courier New"/>
          <w:sz w:val="15"/>
          <w:szCs w:val="15"/>
          <w:color w:val="auto"/>
        </w:rPr>
      </w:pPr>
    </w:p>
    <w:p>
      <w:pPr>
        <w:ind w:left="540" w:right="3580" w:hanging="530"/>
        <w:spacing w:after="0" w:line="234"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ratios for three months ended December 31, 1997 and 1996 are based on annualized amounts.</w:t>
      </w:r>
    </w:p>
    <w:p>
      <w:pPr>
        <w:spacing w:after="0" w:line="173" w:lineRule="exact"/>
        <w:rPr>
          <w:rFonts w:ascii="Courier New" w:cs="Courier New" w:eastAsia="Courier New" w:hAnsi="Courier New"/>
          <w:sz w:val="15"/>
          <w:szCs w:val="15"/>
          <w:color w:val="auto"/>
        </w:rPr>
      </w:pPr>
    </w:p>
    <w:p>
      <w:pPr>
        <w:ind w:left="540" w:right="3420" w:hanging="530"/>
        <w:spacing w:after="0" w:line="234"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restructuring costs, foreclosed property expense and nonrecurring items.</w:t>
      </w:r>
    </w:p>
    <w:p>
      <w:pPr>
        <w:spacing w:after="0" w:line="173" w:lineRule="exact"/>
        <w:rPr>
          <w:rFonts w:ascii="Courier New" w:cs="Courier New" w:eastAsia="Courier New" w:hAnsi="Courier New"/>
          <w:sz w:val="15"/>
          <w:szCs w:val="15"/>
          <w:color w:val="auto"/>
        </w:rPr>
      </w:pPr>
    </w:p>
    <w:p>
      <w:pPr>
        <w:ind w:left="540" w:right="3420" w:hanging="530"/>
        <w:spacing w:after="0" w:line="255" w:lineRule="auto"/>
        <w:tabs>
          <w:tab w:leader="none" w:pos="5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third quarter of 1997, the Corporation adopted the Federal Reserve Board's new guidelines for calculating market risk-adjusted capital. The risk-based capital and leverage ratios now include the assets and off-balance sheet financial instruments of the Corporation's securities subsidiary, Chase Securities Inc., as well as the Corporation's investment in this subsidiary. Prior period ratios have not been restated.</w:t>
      </w:r>
    </w:p>
    <w:p>
      <w:pPr>
        <w:spacing w:after="0" w:line="160" w:lineRule="exact"/>
        <w:rPr>
          <w:sz w:val="20"/>
          <w:szCs w:val="20"/>
          <w:color w:val="auto"/>
        </w:rPr>
      </w:pPr>
    </w:p>
    <w:p>
      <w:pPr>
        <w:ind w:left="540" w:hanging="530"/>
        <w:spacing w:after="0"/>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w:t>
      </w:r>
    </w:p>
    <w:p>
      <w:pPr>
        <w:sectPr>
          <w:pgSz w:w="11900" w:h="16838" w:orient="portrait"/>
          <w:cols w:equalWidth="0" w:num="1">
            <w:col w:w="10420"/>
          </w:cols>
          <w:pgMar w:left="220" w:top="281" w:right="1259"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7</w:t>
      </w:r>
    </w:p>
    <w:p>
      <w:pPr>
        <w:jc w:val="center"/>
        <w:ind w:right="436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CHASE MANHATTAN CORPORATION AND SUBSIDIARIES</w:t>
      </w:r>
    </w:p>
    <w:p>
      <w:pPr>
        <w:jc w:val="center"/>
        <w:ind w:right="4360"/>
        <w:spacing w:after="0" w:line="237" w:lineRule="auto"/>
        <w:rPr>
          <w:sz w:val="20"/>
          <w:szCs w:val="20"/>
          <w:color w:val="auto"/>
        </w:rPr>
      </w:pPr>
      <w:r>
        <w:rPr>
          <w:rFonts w:ascii="Courier New" w:cs="Courier New" w:eastAsia="Courier New" w:hAnsi="Courier New"/>
          <w:sz w:val="15"/>
          <w:szCs w:val="15"/>
          <w:color w:val="auto"/>
        </w:rPr>
        <w:t>OPERATING INCOME RECONCILIATION</w:t>
      </w:r>
    </w:p>
    <w:p>
      <w:pPr>
        <w:jc w:val="center"/>
        <w:ind w:right="4360"/>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SUMMARY OF RESULTS FOR THE</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THREE MONTHS ENDED DECEMBER 31,</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78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262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9"/>
              </w:rPr>
              <w:t>-----------------------------------------</w:t>
            </w:r>
          </w:p>
        </w:tc>
        <w:tc>
          <w:tcPr>
            <w:tcW w:w="1440" w:type="dxa"/>
            <w:vAlign w:val="bottom"/>
          </w:tcPr>
          <w:p>
            <w:pPr>
              <w:spacing w:after="0"/>
              <w:rPr>
                <w:sz w:val="14"/>
                <w:szCs w:val="14"/>
                <w:color w:val="auto"/>
              </w:rPr>
            </w:pPr>
          </w:p>
        </w:tc>
        <w:tc>
          <w:tcPr>
            <w:tcW w:w="3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RESTRUCTURING</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RESTRUCTURING</w:t>
            </w:r>
          </w:p>
        </w:tc>
        <w:tc>
          <w:tcPr>
            <w:tcW w:w="9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COSTS AND</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COSTS AND</w:t>
            </w:r>
          </w:p>
        </w:tc>
        <w:tc>
          <w:tcPr>
            <w:tcW w:w="9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40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OPERATING</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NONRECURRING</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OPERATING</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NONRECURRING</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3600" w:type="dxa"/>
            <w:vAlign w:val="bottom"/>
          </w:tcPr>
          <w:p>
            <w:pPr>
              <w:spacing w:after="0"/>
              <w:rPr>
                <w:sz w:val="14"/>
                <w:szCs w:val="14"/>
                <w:color w:val="auto"/>
              </w:rPr>
            </w:pPr>
          </w:p>
        </w:tc>
        <w:tc>
          <w:tcPr>
            <w:tcW w:w="140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EARNINGS</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ITEMS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REPORTED</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EARNINGS</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ITEMS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REPORTED</w:t>
            </w:r>
          </w:p>
        </w:tc>
      </w:tr>
      <w:tr>
        <w:trPr>
          <w:trHeight w:val="168"/>
        </w:trPr>
        <w:tc>
          <w:tcPr>
            <w:tcW w:w="3600" w:type="dxa"/>
            <w:vAlign w:val="bottom"/>
          </w:tcPr>
          <w:p>
            <w:pPr>
              <w:spacing w:after="0"/>
              <w:rPr>
                <w:sz w:val="14"/>
                <w:szCs w:val="14"/>
                <w:color w:val="auto"/>
              </w:rPr>
            </w:pP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$2,079</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$2,079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$2,041</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$2,041</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Revenue</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1,947</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58(c)</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1,897</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1,897</w:t>
            </w:r>
          </w:p>
        </w:tc>
      </w:tr>
      <w:tr>
        <w:trPr>
          <w:trHeight w:val="168"/>
        </w:trPr>
        <w:tc>
          <w:tcPr>
            <w:tcW w:w="3600" w:type="dxa"/>
            <w:vAlign w:val="bottom"/>
          </w:tcPr>
          <w:p>
            <w:pPr>
              <w:spacing w:after="0"/>
              <w:rPr>
                <w:sz w:val="14"/>
                <w:szCs w:val="14"/>
                <w:color w:val="auto"/>
              </w:rPr>
            </w:pP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Revenue</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4,026</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58</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4,084</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3,938</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2,467</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2,467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2,304</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Costs (a)</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208</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208</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181</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3600" w:type="dxa"/>
            <w:vAlign w:val="bottom"/>
          </w:tcPr>
          <w:p>
            <w:pPr>
              <w:spacing w:after="0"/>
              <w:rPr>
                <w:sz w:val="14"/>
                <w:szCs w:val="14"/>
                <w:color w:val="auto"/>
              </w:rPr>
            </w:pP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Restructuring Costs</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1,351</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58</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1,409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1,453</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Costs  (b)</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3600" w:type="dxa"/>
            <w:vAlign w:val="bottom"/>
          </w:tcPr>
          <w:p>
            <w:pPr>
              <w:spacing w:after="0"/>
              <w:rPr>
                <w:sz w:val="14"/>
                <w:szCs w:val="14"/>
                <w:color w:val="auto"/>
              </w:rPr>
            </w:pP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After Restructuring Costs</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1,351</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38</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1,389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1,453</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Expense (Benefit)</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501</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552</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3600" w:type="dxa"/>
            <w:vAlign w:val="bottom"/>
          </w:tcPr>
          <w:p>
            <w:pPr>
              <w:spacing w:after="0"/>
              <w:rPr>
                <w:sz w:val="14"/>
                <w:szCs w:val="14"/>
                <w:color w:val="auto"/>
              </w:rPr>
            </w:pP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  850</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874</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901</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(65)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836</w:t>
            </w:r>
          </w:p>
        </w:tc>
      </w:tr>
      <w:tr>
        <w:trPr>
          <w:trHeight w:val="168"/>
        </w:trPr>
        <w:tc>
          <w:tcPr>
            <w:tcW w:w="3600" w:type="dxa"/>
            <w:vAlign w:val="bottom"/>
          </w:tcPr>
          <w:p>
            <w:pPr>
              <w:spacing w:after="0"/>
              <w:rPr>
                <w:sz w:val="14"/>
                <w:szCs w:val="14"/>
                <w:color w:val="auto"/>
              </w:rPr>
            </w:pP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INCOME PER COMMON SHARE:</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$ 1.93</w:t>
            </w:r>
          </w:p>
        </w:tc>
        <w:tc>
          <w:tcPr>
            <w:tcW w:w="122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$ 1.99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$ 1.93</w:t>
            </w:r>
          </w:p>
        </w:tc>
        <w:tc>
          <w:tcPr>
            <w:tcW w:w="1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$ 1.89</w:t>
            </w:r>
          </w:p>
        </w:tc>
        <w:tc>
          <w:tcPr>
            <w:tcW w:w="122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$ 1.94</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$ 1.88</w:t>
            </w:r>
          </w:p>
        </w:tc>
        <w:tc>
          <w:tcPr>
            <w:tcW w:w="1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SUMMARY OF RESULTS FOR THE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FULL YEAR ENDED DECEMBER 31,</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1996</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w w:val="71"/>
              </w:rPr>
              <w: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0" w:type="dxa"/>
            <w:vAlign w:val="bottom"/>
            <w:gridSpan w:val="6"/>
          </w:tcPr>
          <w:p>
            <w:pPr>
              <w:ind w:left="4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RESTRUCTURING</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RESTRUCTURING</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COSTS AND</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COSTS AND</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OPERATING</w:t>
            </w:r>
          </w:p>
        </w:tc>
        <w:tc>
          <w:tcPr>
            <w:tcW w:w="1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NONRECURRING</w:t>
            </w:r>
          </w:p>
        </w:tc>
        <w:tc>
          <w:tcPr>
            <w:tcW w:w="48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AS</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OPERATING</w:t>
            </w:r>
          </w:p>
        </w:tc>
        <w:tc>
          <w:tcPr>
            <w:tcW w:w="14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NONRECURRING</w:t>
            </w:r>
          </w:p>
        </w:tc>
        <w:tc>
          <w:tcPr>
            <w:tcW w:w="32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EARNINGS</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ITEMS</w:t>
            </w:r>
          </w:p>
        </w:tc>
        <w:tc>
          <w:tcPr>
            <w:tcW w:w="13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REPORTED</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EARNINGS</w:t>
            </w:r>
          </w:p>
        </w:tc>
        <w:tc>
          <w:tcPr>
            <w:tcW w:w="3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ITEMS</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REPORTED</w:t>
            </w:r>
          </w:p>
        </w:tc>
      </w:tr>
      <w:tr>
        <w:trPr>
          <w:trHeight w:val="168"/>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1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$ 8,158</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$ 8,158</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$ 8,168</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54(e)</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$ 8,222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Revenue</w:t>
            </w:r>
          </w:p>
        </w:tc>
        <w:tc>
          <w:tcPr>
            <w:tcW w:w="2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8,523</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102(c)</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8,625</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7,690</w:t>
            </w:r>
          </w:p>
        </w:tc>
        <w:tc>
          <w:tcPr>
            <w:tcW w:w="36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(60)(f)</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7,630</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Revenue</w:t>
            </w:r>
          </w:p>
        </w:tc>
        <w:tc>
          <w:tcPr>
            <w:tcW w:w="2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16,681</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102</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16,783</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15,858</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15,852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w:t>
            </w:r>
          </w:p>
        </w:tc>
        <w:tc>
          <w:tcPr>
            <w:tcW w:w="2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9,730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135(d)</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9,865</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9,306</w:t>
            </w:r>
          </w:p>
        </w:tc>
        <w:tc>
          <w:tcPr>
            <w:tcW w:w="3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40(g)</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9,346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Costs (a)</w:t>
            </w:r>
          </w:p>
        </w:tc>
        <w:tc>
          <w:tcPr>
            <w:tcW w:w="2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816</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816</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881</w:t>
            </w:r>
          </w:p>
        </w:tc>
        <w:tc>
          <w:tcPr>
            <w:tcW w:w="3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881</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Restructuring Costs</w:t>
            </w:r>
          </w:p>
        </w:tc>
        <w:tc>
          <w:tcPr>
            <w:tcW w:w="2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6,135</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(33)</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6,102</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5,671</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5,625</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Costs  (b)</w:t>
            </w:r>
          </w:p>
        </w:tc>
        <w:tc>
          <w:tcPr>
            <w:tcW w:w="2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192</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1,814</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1,814</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After Restructuring Costs</w:t>
            </w:r>
          </w:p>
        </w:tc>
        <w:tc>
          <w:tcPr>
            <w:tcW w:w="2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6,135</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(225)</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5,910</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5,671</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(1,860)</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Expense (Benefit)</w:t>
            </w:r>
          </w:p>
        </w:tc>
        <w:tc>
          <w:tcPr>
            <w:tcW w:w="2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2,286</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(84)</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2,202</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2,155</w:t>
            </w:r>
          </w:p>
        </w:tc>
        <w:tc>
          <w:tcPr>
            <w:tcW w:w="36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(805)(h)</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$ 3,849</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$(141)</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$ 3,708</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$ 3,516</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$(1,055)</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$ 2,461</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INCOME PER COMMON SHARE: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8.64</w:t>
            </w:r>
          </w:p>
        </w:tc>
        <w:tc>
          <w:tcPr>
            <w:tcW w:w="136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7.55</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8.35</w:t>
            </w:r>
          </w:p>
        </w:tc>
        <w:tc>
          <w:tcPr>
            <w:tcW w:w="136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8.03</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7.27</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4.94</w:t>
            </w:r>
          </w:p>
        </w:tc>
      </w:tr>
    </w:tbl>
    <w:p>
      <w:pPr>
        <w:spacing w:after="0" w:line="200" w:lineRule="exact"/>
        <w:rPr>
          <w:sz w:val="20"/>
          <w:szCs w:val="20"/>
          <w:color w:val="auto"/>
        </w:rPr>
      </w:pPr>
    </w:p>
    <w:p>
      <w:pPr>
        <w:spacing w:after="0" w:line="309" w:lineRule="exact"/>
        <w:rPr>
          <w:sz w:val="20"/>
          <w:szCs w:val="20"/>
          <w:color w:val="auto"/>
        </w:rPr>
      </w:pPr>
    </w:p>
    <w:p>
      <w:pPr>
        <w:ind w:left="540" w:right="5060" w:hanging="530"/>
        <w:spacing w:after="0" w:line="23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Costs include the Provision for Credit Losses and Foreclosed Property Expense.</w:t>
      </w:r>
    </w:p>
    <w:p>
      <w:pPr>
        <w:spacing w:after="0" w:line="173" w:lineRule="exact"/>
        <w:rPr>
          <w:rFonts w:ascii="Courier New" w:cs="Courier New" w:eastAsia="Courier New" w:hAnsi="Courier New"/>
          <w:sz w:val="15"/>
          <w:szCs w:val="15"/>
          <w:color w:val="auto"/>
        </w:rPr>
      </w:pPr>
    </w:p>
    <w:p>
      <w:pPr>
        <w:ind w:left="540" w:right="4460" w:hanging="530"/>
        <w:spacing w:after="0" w:line="235"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pre-tax merger-related restructuring charge of $1,650 million, which was recorded on March 31, 1996. Merger-related expenses that did not qualify for immediate recognition have been recognized as incurred under an existing accounting pronouncement.</w:t>
      </w:r>
    </w:p>
    <w:p>
      <w:pPr>
        <w:spacing w:after="0" w:line="175" w:lineRule="exact"/>
        <w:rPr>
          <w:rFonts w:ascii="Courier New" w:cs="Courier New" w:eastAsia="Courier New" w:hAnsi="Courier New"/>
          <w:sz w:val="15"/>
          <w:szCs w:val="15"/>
          <w:color w:val="auto"/>
        </w:rPr>
      </w:pPr>
    </w:p>
    <w:p>
      <w:pPr>
        <w:ind w:left="540" w:right="4540" w:hanging="530"/>
        <w:spacing w:after="0" w:line="235"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$58 million gain on the sale of the Corporation's remaining interest in CIT in the fourth quarter and $44 million gain on the sale of a partially-owned foreign investment in the first quarter.</w:t>
      </w:r>
    </w:p>
    <w:p>
      <w:pPr>
        <w:spacing w:after="0" w:line="173" w:lineRule="exact"/>
        <w:rPr>
          <w:rFonts w:ascii="Courier New" w:cs="Courier New" w:eastAsia="Courier New" w:hAnsi="Courier New"/>
          <w:sz w:val="15"/>
          <w:szCs w:val="15"/>
          <w:color w:val="auto"/>
        </w:rPr>
      </w:pPr>
    </w:p>
    <w:p>
      <w:pPr>
        <w:ind w:left="540" w:right="5060" w:hanging="530"/>
        <w:spacing w:after="0" w:line="23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incurred for the accelerated vesting of stock-based incentive awards.</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interest related to Federal and State tax audit settlements.</w:t>
      </w:r>
    </w:p>
    <w:p>
      <w:pPr>
        <w:sectPr>
          <w:pgSz w:w="11900" w:h="16838" w:orient="portrait"/>
          <w:cols w:equalWidth="0" w:num="1">
            <w:col w:w="11460"/>
          </w:cols>
          <w:pgMar w:left="220" w:top="281" w:right="219" w:bottom="0" w:gutter="0" w:footer="0" w:header="0"/>
        </w:sectPr>
      </w:pPr>
    </w:p>
    <w:bookmarkStart w:id="11" w:name="page12"/>
    <w:bookmarkEnd w:id="11"/>
    <w:p>
      <w:pPr>
        <w:ind w:left="530" w:hanging="530"/>
        <w:spacing w:after="0"/>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on sale of a building in Japan.</w:t>
      </w:r>
    </w:p>
    <w:p>
      <w:pPr>
        <w:spacing w:after="0" w:line="172"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incurred in combining the Corporation's foreign retirement plans.</w:t>
      </w:r>
    </w:p>
    <w:p>
      <w:pPr>
        <w:spacing w:after="0" w:line="177" w:lineRule="exact"/>
        <w:rPr>
          <w:rFonts w:ascii="Courier New" w:cs="Courier New" w:eastAsia="Courier New" w:hAnsi="Courier New"/>
          <w:sz w:val="14"/>
          <w:szCs w:val="14"/>
          <w:color w:val="auto"/>
        </w:rPr>
      </w:pPr>
    </w:p>
    <w:p>
      <w:pPr>
        <w:ind w:left="530" w:right="3759" w:hanging="530"/>
        <w:spacing w:after="0" w:line="234" w:lineRule="auto"/>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tax benefits related to the restructuring charge as well as aggregate tax benefits and refunds.</w:t>
      </w:r>
    </w:p>
    <w:p>
      <w:pPr>
        <w:sectPr>
          <w:pgSz w:w="11900" w:h="16838" w:orient="portrait"/>
          <w:cols w:equalWidth="0" w:num="1">
            <w:col w:w="10229"/>
          </w:cols>
          <w:pgMar w:left="230" w:top="13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8</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CHASE MANHATTAN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STATEMENT OF INCOME</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8"/>
              </w:rPr>
              <w:t>THREE MONTHS ENDED</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220" w:type="dxa"/>
            <w:vAlign w:val="bottom"/>
          </w:tcPr>
          <w:p>
            <w:pPr>
              <w:spacing w:after="0"/>
              <w:rPr>
                <w:sz w:val="14"/>
                <w:szCs w:val="14"/>
                <w:color w:val="auto"/>
              </w:rPr>
            </w:pPr>
          </w:p>
        </w:tc>
        <w:tc>
          <w:tcPr>
            <w:tcW w:w="368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rPr>
                <w:sz w:val="14"/>
                <w:szCs w:val="14"/>
                <w:color w:val="auto"/>
              </w:rPr>
            </w:pPr>
          </w:p>
        </w:tc>
        <w:tc>
          <w:tcPr>
            <w:tcW w:w="11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DEC. 31,</w:t>
            </w:r>
          </w:p>
        </w:tc>
        <w:tc>
          <w:tcPr>
            <w:tcW w:w="1740" w:type="dxa"/>
            <w:vAlign w:val="bottom"/>
            <w:gridSpan w:val="2"/>
          </w:tcPr>
          <w:p>
            <w:pPr>
              <w:ind w:left="640"/>
              <w:spacing w:after="0" w:line="168" w:lineRule="exact"/>
              <w:rPr>
                <w:sz w:val="20"/>
                <w:szCs w:val="20"/>
                <w:color w:val="auto"/>
              </w:rPr>
            </w:pPr>
            <w:r>
              <w:rPr>
                <w:rFonts w:ascii="Courier New" w:cs="Courier New" w:eastAsia="Courier New" w:hAnsi="Courier New"/>
                <w:sz w:val="15"/>
                <w:szCs w:val="15"/>
                <w:color w:val="auto"/>
              </w:rPr>
              <w:t>SEPT. 30,</w:t>
            </w: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DEC. 31,</w:t>
            </w:r>
          </w:p>
        </w:tc>
      </w:tr>
      <w:tr>
        <w:trPr>
          <w:trHeight w:val="168"/>
        </w:trPr>
        <w:tc>
          <w:tcPr>
            <w:tcW w:w="6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1997</w:t>
            </w:r>
          </w:p>
        </w:tc>
        <w:tc>
          <w:tcPr>
            <w:tcW w:w="74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1997</w:t>
            </w:r>
          </w:p>
        </w:tc>
        <w:tc>
          <w:tcPr>
            <w:tcW w:w="260" w:type="dxa"/>
            <w:vAlign w:val="bottom"/>
          </w:tcPr>
          <w:p>
            <w:pPr>
              <w:spacing w:after="0"/>
              <w:rPr>
                <w:sz w:val="14"/>
                <w:szCs w:val="14"/>
                <w:color w:val="auto"/>
              </w:rPr>
            </w:pP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$ 3,361</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$3,271</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$ 3,048</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851</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720</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767</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707</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732</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615</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 Under Resale Agreements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728</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623</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571</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149</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Interest Income</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5,803</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5,495</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5,098</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1,764</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1,714</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1,520</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and Other Borrowings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1,640</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1,451</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1,304</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320</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284</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Interest Expense</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3,724</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3,449</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3,057</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44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2,079</w:t>
            </w:r>
          </w:p>
        </w:tc>
        <w:tc>
          <w:tcPr>
            <w:tcW w:w="740" w:type="dxa"/>
            <w:vAlign w:val="bottom"/>
          </w:tcPr>
          <w:p>
            <w:pPr>
              <w:spacing w:after="0"/>
              <w:rPr>
                <w:sz w:val="24"/>
                <w:szCs w:val="2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3"/>
              </w:rPr>
              <w:t>2,046</w:t>
            </w:r>
          </w:p>
        </w:tc>
        <w:tc>
          <w:tcPr>
            <w:tcW w:w="260" w:type="dxa"/>
            <w:vAlign w:val="bottom"/>
          </w:tcPr>
          <w:p>
            <w:pPr>
              <w:spacing w:after="0"/>
              <w:rPr>
                <w:sz w:val="24"/>
                <w:szCs w:val="2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2,041</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Credit Losses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190</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AFTER PROVISION FOR CREDIT LOSSES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1,874</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1,856</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1,859</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NONINTEREST REVENUE</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Finance and Syndication Fees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369</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308</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 Custody and Investment Management Fees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338</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294</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 Revenue</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353</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304</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Charges on Deposit Accounts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for Other Financial Services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421</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411</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Revenue</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505</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Gains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58</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from Equity-Related Investments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243</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Revenue</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102</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Noninterest Revenue</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2,005</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2,363</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1,897</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NONINTEREST EXPENSE</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Salaries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1,072</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1,292</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1,070</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192</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206</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 Expense</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194</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Expense</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192</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Foreclosed Property Expense</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793</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700</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677</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Noninterest Expense Before Restructuring Charge</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2,470</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2,590</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2,303</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 and Expenses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Noninterest Expense</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2,490</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2,661</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2,407</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INCOME BEFORE INCOME TAX EXPENSE</w:t>
            </w:r>
          </w:p>
        </w:tc>
        <w:tc>
          <w:tcPr>
            <w:tcW w:w="44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1,389</w:t>
            </w:r>
          </w:p>
        </w:tc>
        <w:tc>
          <w:tcPr>
            <w:tcW w:w="740" w:type="dxa"/>
            <w:vAlign w:val="bottom"/>
          </w:tcPr>
          <w:p>
            <w:pPr>
              <w:spacing w:after="0"/>
              <w:rPr>
                <w:sz w:val="24"/>
                <w:szCs w:val="2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3"/>
              </w:rPr>
              <w:t>1,558</w:t>
            </w:r>
          </w:p>
        </w:tc>
        <w:tc>
          <w:tcPr>
            <w:tcW w:w="260" w:type="dxa"/>
            <w:vAlign w:val="bottom"/>
          </w:tcPr>
          <w:p>
            <w:pPr>
              <w:spacing w:after="0"/>
              <w:rPr>
                <w:sz w:val="24"/>
                <w:szCs w:val="2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1,349</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515</w:t>
            </w:r>
          </w:p>
        </w:tc>
        <w:tc>
          <w:tcPr>
            <w:tcW w:w="7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576</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874</w:t>
            </w:r>
          </w:p>
        </w:tc>
        <w:tc>
          <w:tcPr>
            <w:tcW w:w="74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982</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836</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INCOME APPLICABLE TO COMMON STOCK</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839</w:t>
            </w:r>
          </w:p>
        </w:tc>
        <w:tc>
          <w:tcPr>
            <w:tcW w:w="740" w:type="dxa"/>
            <w:vAlign w:val="bottom"/>
          </w:tcPr>
          <w:p>
            <w:pPr>
              <w:ind w:left="6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941</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781</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$ 2.23</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1.78</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$ 2.16</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amounts have been reclassified to conform to current presentation.</w:t>
      </w:r>
    </w:p>
    <w:p>
      <w:pPr>
        <w:sectPr>
          <w:pgSz w:w="11900" w:h="16838" w:orient="portrait"/>
          <w:cols w:equalWidth="0" w:num="1">
            <w:col w:w="10239"/>
          </w:cols>
          <w:pgMar w:left="220" w:top="281"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9</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CHASE MANHATTAN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STATEMENT OF INCOME</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FOR THE YEAR ENDED</w:t>
            </w:r>
          </w:p>
        </w:tc>
      </w:tr>
      <w:tr>
        <w:trPr>
          <w:trHeight w:val="168"/>
        </w:trPr>
        <w:tc>
          <w:tcPr>
            <w:tcW w:w="6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600" w:type="dxa"/>
            <w:vAlign w:val="bottom"/>
          </w:tcPr>
          <w:p>
            <w:pPr>
              <w:spacing w:after="0"/>
              <w:rPr>
                <w:sz w:val="14"/>
                <w:szCs w:val="14"/>
                <w:color w:val="auto"/>
              </w:rPr>
            </w:pPr>
          </w:p>
        </w:tc>
      </w:tr>
      <w:tr>
        <w:trPr>
          <w:trHeight w:val="168"/>
        </w:trPr>
        <w:tc>
          <w:tcPr>
            <w:tcW w:w="6220" w:type="dxa"/>
            <w:vAlign w:val="bottom"/>
          </w:tcPr>
          <w:p>
            <w:pPr>
              <w:spacing w:after="0"/>
              <w:rPr>
                <w:sz w:val="14"/>
                <w:szCs w:val="14"/>
                <w:color w:val="auto"/>
              </w:rPr>
            </w:pPr>
          </w:p>
        </w:tc>
        <w:tc>
          <w:tcPr>
            <w:tcW w:w="24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5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$12,826</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$ 12,359</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3,028</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2,770</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1,898</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 Under Resale Agreements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2,607</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2,135</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525</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Interest Income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21,756</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19,791</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6,561</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6,038</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and Other Borrowings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5,903</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4,630</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1,134</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901</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Interest Expense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13,598</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11,569</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44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8,158</w:t>
            </w:r>
          </w:p>
        </w:tc>
        <w:tc>
          <w:tcPr>
            <w:tcW w:w="5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8,222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Credit Losses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804</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AFTER PROVISION FOR CREDIT LOSSES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7,354</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7,325</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NONINTEREST REVENUE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Finance and Syndication Fees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1,136</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950</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 Custody and Investment Management Fees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1,307</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1,176</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 Revenue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1,183</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1,063</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Charges on Deposit Accounts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376</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394</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for Other Financial Services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1,607</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1,529</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Revenue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1,323</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1,371</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Gains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312</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from Equity-Related Investments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806</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Revenue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575</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Noninterest Revenue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8,625</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7,630</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NONINTEREST EXPENSE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Salaries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4,598</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4,232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839</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926</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 Expense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767</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824</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Expense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792</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724</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Foreclosed Property Expense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w:t>
            </w:r>
          </w:p>
        </w:tc>
        <w:tc>
          <w:tcPr>
            <w:tcW w:w="5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2,869</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2,640</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Noninterest Expense Before Restructuring Charge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9,877</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9,330</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 and Expenses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192</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1,814</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Noninterest Expense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10,069</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11,144</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INCOME BEFORE INCOME TAX EXPENSE</w:t>
            </w:r>
          </w:p>
        </w:tc>
        <w:tc>
          <w:tcPr>
            <w:tcW w:w="44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5,910</w:t>
            </w:r>
          </w:p>
        </w:tc>
        <w:tc>
          <w:tcPr>
            <w:tcW w:w="5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3,811</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2,202</w:t>
            </w:r>
          </w:p>
        </w:tc>
        <w:tc>
          <w:tcPr>
            <w:tcW w:w="5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$ 3,708</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2,461</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INCOME APPLICABLE TO COMMON STOCK</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$ 3,526</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2,242</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6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8.30</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8.03</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4.94</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amounts have been reclassified to conform to current presentation.</w:t>
      </w:r>
    </w:p>
    <w:p>
      <w:pPr>
        <w:sectPr>
          <w:pgSz w:w="11900" w:h="16838" w:orient="portrait"/>
          <w:cols w:equalWidth="0" w:num="1">
            <w:col w:w="10239"/>
          </w:cols>
          <w:pgMar w:left="220" w:top="281"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10</w:t>
      </w:r>
    </w:p>
    <w:p>
      <w:pPr>
        <w:jc w:val="center"/>
        <w:ind w:right="366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CHASE MANHATTAN CORPORATION AND SUBSIDIARIES</w:t>
      </w:r>
    </w:p>
    <w:p>
      <w:pPr>
        <w:ind w:left="2380"/>
        <w:spacing w:after="0" w:line="237" w:lineRule="auto"/>
        <w:rPr>
          <w:sz w:val="20"/>
          <w:szCs w:val="20"/>
          <w:color w:val="auto"/>
        </w:rPr>
      </w:pPr>
      <w:r>
        <w:rPr>
          <w:rFonts w:ascii="Courier New" w:cs="Courier New" w:eastAsia="Courier New" w:hAnsi="Courier New"/>
          <w:sz w:val="15"/>
          <w:szCs w:val="15"/>
          <w:color w:val="auto"/>
        </w:rPr>
        <w:t>NONINTEREST REVENUE DETAIL</w:t>
      </w:r>
    </w:p>
    <w:p>
      <w:pPr>
        <w:ind w:left="2980"/>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8"/>
              </w:rPr>
              <w:t>FOR THE YEAR ENDED</w:t>
            </w:r>
          </w:p>
        </w:tc>
      </w:tr>
      <w:tr>
        <w:trPr>
          <w:trHeight w:val="168"/>
        </w:trPr>
        <w:tc>
          <w:tcPr>
            <w:tcW w:w="4960" w:type="dxa"/>
            <w:vAlign w:val="bottom"/>
          </w:tcPr>
          <w:p>
            <w:pPr>
              <w:spacing w:after="0"/>
              <w:rPr>
                <w:sz w:val="14"/>
                <w:szCs w:val="14"/>
                <w:color w:val="auto"/>
              </w:rPr>
            </w:pPr>
          </w:p>
        </w:tc>
        <w:tc>
          <w:tcPr>
            <w:tcW w:w="362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 31,</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SEPT. 30,</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DEC. 31,</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1997</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1996</w:t>
            </w:r>
          </w:p>
        </w:tc>
        <w:tc>
          <w:tcPr>
            <w:tcW w:w="4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1997</w:t>
            </w:r>
          </w:p>
        </w:tc>
        <w:tc>
          <w:tcPr>
            <w:tcW w:w="84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9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FEES FOR OTHER FINANCIAL SERVICES:</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in Lieu of Compensating Balances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$ 81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Commissions on Letters of Credit and Acceptances</w:t>
            </w:r>
          </w:p>
        </w:tc>
        <w:tc>
          <w:tcPr>
            <w:tcW w:w="4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78</w:t>
            </w:r>
          </w:p>
        </w:tc>
        <w:tc>
          <w:tcPr>
            <w:tcW w:w="180" w:type="dxa"/>
            <w:vAlign w:val="bottom"/>
          </w:tcPr>
          <w:p>
            <w:pPr>
              <w:spacing w:after="0"/>
              <w:rPr>
                <w:sz w:val="14"/>
                <w:szCs w:val="14"/>
                <w:color w:val="auto"/>
              </w:rPr>
            </w:pP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w:t>
            </w:r>
          </w:p>
        </w:tc>
        <w:tc>
          <w:tcPr>
            <w:tcW w:w="4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w:t>
            </w:r>
          </w:p>
        </w:tc>
        <w:tc>
          <w:tcPr>
            <w:tcW w:w="8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Servicing Fees</w:t>
            </w:r>
          </w:p>
        </w:tc>
        <w:tc>
          <w:tcPr>
            <w:tcW w:w="4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59</w:t>
            </w:r>
          </w:p>
        </w:tc>
        <w:tc>
          <w:tcPr>
            <w:tcW w:w="180" w:type="dxa"/>
            <w:vAlign w:val="bottom"/>
          </w:tcPr>
          <w:p>
            <w:pPr>
              <w:spacing w:after="0"/>
              <w:rPr>
                <w:sz w:val="14"/>
                <w:szCs w:val="14"/>
                <w:color w:val="auto"/>
              </w:rPr>
            </w:pP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w:t>
            </w:r>
          </w:p>
        </w:tc>
        <w:tc>
          <w:tcPr>
            <w:tcW w:w="4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w:t>
            </w:r>
          </w:p>
        </w:tc>
        <w:tc>
          <w:tcPr>
            <w:tcW w:w="8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Commitment Fees</w:t>
            </w:r>
          </w:p>
        </w:tc>
        <w:tc>
          <w:tcPr>
            <w:tcW w:w="4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4"/>
                <w:szCs w:val="14"/>
                <w:color w:val="auto"/>
              </w:rPr>
            </w:pP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w:t>
            </w:r>
          </w:p>
        </w:tc>
        <w:tc>
          <w:tcPr>
            <w:tcW w:w="4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c>
          <w:tcPr>
            <w:tcW w:w="8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Fees</w:t>
            </w:r>
          </w:p>
        </w:tc>
        <w:tc>
          <w:tcPr>
            <w:tcW w:w="4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163</w:t>
            </w:r>
          </w:p>
        </w:tc>
        <w:tc>
          <w:tcPr>
            <w:tcW w:w="180" w:type="dxa"/>
            <w:vAlign w:val="bottom"/>
          </w:tcPr>
          <w:p>
            <w:pPr>
              <w:spacing w:after="0"/>
              <w:rPr>
                <w:sz w:val="14"/>
                <w:szCs w:val="14"/>
                <w:color w:val="auto"/>
              </w:rPr>
            </w:pP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154</w:t>
            </w:r>
          </w:p>
        </w:tc>
        <w:tc>
          <w:tcPr>
            <w:tcW w:w="4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w:t>
            </w:r>
          </w:p>
        </w:tc>
        <w:tc>
          <w:tcPr>
            <w:tcW w:w="8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49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$ 421</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$411</w:t>
            </w:r>
          </w:p>
        </w:tc>
        <w:tc>
          <w:tcPr>
            <w:tcW w:w="10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$ 377</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$1,607</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$ 1,529</w:t>
            </w:r>
          </w:p>
        </w:tc>
      </w:tr>
      <w:tr>
        <w:trPr>
          <w:trHeight w:val="168"/>
        </w:trPr>
        <w:tc>
          <w:tcPr>
            <w:tcW w:w="49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TRADING-RELATED REVENUE: (a)</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Contracts</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$ 167</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$159</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Exchange Revenue</w:t>
            </w:r>
          </w:p>
        </w:tc>
        <w:tc>
          <w:tcPr>
            <w:tcW w:w="4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228</w:t>
            </w:r>
          </w:p>
        </w:tc>
        <w:tc>
          <w:tcPr>
            <w:tcW w:w="180" w:type="dxa"/>
            <w:vAlign w:val="bottom"/>
          </w:tcPr>
          <w:p>
            <w:pPr>
              <w:spacing w:after="0"/>
              <w:rPr>
                <w:sz w:val="14"/>
                <w:szCs w:val="14"/>
                <w:color w:val="auto"/>
              </w:rPr>
            </w:pP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w:t>
            </w:r>
          </w:p>
        </w:tc>
        <w:tc>
          <w:tcPr>
            <w:tcW w:w="4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803</w:t>
            </w:r>
          </w:p>
        </w:tc>
        <w:tc>
          <w:tcPr>
            <w:tcW w:w="8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Instruments and Other</w:t>
            </w:r>
          </w:p>
        </w:tc>
        <w:tc>
          <w:tcPr>
            <w:tcW w:w="48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(271)</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291</w:t>
            </w:r>
          </w:p>
        </w:tc>
        <w:tc>
          <w:tcPr>
            <w:tcW w:w="180" w:type="dxa"/>
            <w:vAlign w:val="bottom"/>
          </w:tcPr>
          <w:p>
            <w:pPr>
              <w:spacing w:after="0"/>
              <w:rPr>
                <w:sz w:val="14"/>
                <w:szCs w:val="14"/>
                <w:color w:val="auto"/>
              </w:rPr>
            </w:pP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266</w:t>
            </w:r>
          </w:p>
        </w:tc>
        <w:tc>
          <w:tcPr>
            <w:tcW w:w="4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w:t>
            </w:r>
          </w:p>
        </w:tc>
        <w:tc>
          <w:tcPr>
            <w:tcW w:w="8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977</w:t>
            </w:r>
          </w:p>
        </w:tc>
      </w:tr>
      <w:tr>
        <w:trPr>
          <w:trHeight w:val="168"/>
        </w:trPr>
        <w:tc>
          <w:tcPr>
            <w:tcW w:w="49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$ 127</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$678</w:t>
            </w:r>
          </w:p>
        </w:tc>
        <w:tc>
          <w:tcPr>
            <w:tcW w:w="10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$ 454</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$2,038</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$ 1,956</w:t>
            </w:r>
          </w:p>
        </w:tc>
      </w:tr>
      <w:tr>
        <w:trPr>
          <w:trHeight w:val="168"/>
        </w:trPr>
        <w:tc>
          <w:tcPr>
            <w:tcW w:w="49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OTHER REVENUE:</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Residential Mortgage Origination/Sales Activities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$ 37</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Losses on Disposition of Available-for-Sale Loans</w:t>
            </w:r>
          </w:p>
        </w:tc>
        <w:tc>
          <w:tcPr>
            <w:tcW w:w="4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(15)</w:t>
            </w:r>
          </w:p>
        </w:tc>
        <w:tc>
          <w:tcPr>
            <w:tcW w:w="4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Gains on Sales of Partially-owned Investments</w:t>
            </w:r>
          </w:p>
        </w:tc>
        <w:tc>
          <w:tcPr>
            <w:tcW w:w="4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c>
          <w:tcPr>
            <w:tcW w:w="8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a Building in Japan</w:t>
            </w:r>
          </w:p>
        </w:tc>
        <w:tc>
          <w:tcPr>
            <w:tcW w:w="4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 Revenue</w:t>
            </w:r>
          </w:p>
        </w:tc>
        <w:tc>
          <w:tcPr>
            <w:tcW w:w="4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65</w:t>
            </w:r>
          </w:p>
        </w:tc>
        <w:tc>
          <w:tcPr>
            <w:tcW w:w="180" w:type="dxa"/>
            <w:vAlign w:val="bottom"/>
          </w:tcPr>
          <w:p>
            <w:pPr>
              <w:spacing w:after="0"/>
              <w:rPr>
                <w:sz w:val="14"/>
                <w:szCs w:val="14"/>
                <w:color w:val="auto"/>
              </w:rPr>
            </w:pP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99</w:t>
            </w:r>
          </w:p>
        </w:tc>
        <w:tc>
          <w:tcPr>
            <w:tcW w:w="4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w:t>
            </w:r>
          </w:p>
        </w:tc>
        <w:tc>
          <w:tcPr>
            <w:tcW w:w="8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49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$ 163</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$102</w:t>
            </w:r>
          </w:p>
        </w:tc>
        <w:tc>
          <w:tcPr>
            <w:tcW w:w="10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$ 106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w:t>
            </w:r>
          </w:p>
        </w:tc>
      </w:tr>
      <w:tr>
        <w:trPr>
          <w:trHeight w:val="168"/>
        </w:trPr>
        <w:tc>
          <w:tcPr>
            <w:tcW w:w="49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100"/>
        <w:spacing w:after="0" w:line="261" w:lineRule="auto"/>
        <w:rPr>
          <w:sz w:val="20"/>
          <w:szCs w:val="20"/>
          <w:color w:val="auto"/>
        </w:rPr>
      </w:pPr>
      <w:r>
        <w:rPr>
          <w:rFonts w:ascii="Courier New" w:cs="Courier New" w:eastAsia="Courier New" w:hAnsi="Courier New"/>
          <w:sz w:val="14"/>
          <w:szCs w:val="14"/>
          <w:color w:val="auto"/>
        </w:rPr>
        <w:t>(a) Includes net interest income attributable to trading activities. Certain amounts have been reclassified to conform to current presentation.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CHASE MANHATTAN CORPORATION AND SUBSIDIARIES</w:t>
      </w:r>
    </w:p>
    <w:p>
      <w:pPr>
        <w:ind w:left="2380"/>
        <w:spacing w:after="0" w:line="237" w:lineRule="auto"/>
        <w:rPr>
          <w:sz w:val="20"/>
          <w:szCs w:val="20"/>
          <w:color w:val="auto"/>
        </w:rPr>
      </w:pPr>
      <w:r>
        <w:rPr>
          <w:rFonts w:ascii="Courier New" w:cs="Courier New" w:eastAsia="Courier New" w:hAnsi="Courier New"/>
          <w:sz w:val="15"/>
          <w:szCs w:val="15"/>
          <w:color w:val="auto"/>
        </w:rPr>
        <w:t>NONINTEREST EXPENSE DETAIL</w:t>
      </w:r>
    </w:p>
    <w:p>
      <w:pPr>
        <w:ind w:left="2980"/>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960" w:type="dxa"/>
            <w:vAlign w:val="bottom"/>
          </w:tcPr>
          <w:p>
            <w:pPr>
              <w:spacing w:after="0"/>
              <w:rPr>
                <w:sz w:val="14"/>
                <w:szCs w:val="14"/>
                <w:color w:val="auto"/>
              </w:rPr>
            </w:pP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FOR THE YEAR ENDED</w:t>
            </w:r>
          </w:p>
        </w:tc>
      </w:tr>
      <w:tr>
        <w:trPr>
          <w:trHeight w:val="168"/>
        </w:trPr>
        <w:tc>
          <w:tcPr>
            <w:tcW w:w="2680" w:type="dxa"/>
            <w:vAlign w:val="bottom"/>
          </w:tcPr>
          <w:p>
            <w:pPr>
              <w:spacing w:after="0"/>
              <w:rPr>
                <w:sz w:val="14"/>
                <w:szCs w:val="14"/>
                <w:color w:val="auto"/>
              </w:rPr>
            </w:pPr>
          </w:p>
        </w:tc>
        <w:tc>
          <w:tcPr>
            <w:tcW w:w="332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DEC. 31,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SEPT. 30,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DEC. 31,</w:t>
            </w:r>
          </w:p>
        </w:tc>
        <w:tc>
          <w:tcPr>
            <w:tcW w:w="1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26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6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Professional Services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$167</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$139</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575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530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Expense</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115</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90</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Telecommunications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(a)</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364</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334</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297</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1,326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1,215</w:t>
            </w:r>
          </w:p>
        </w:tc>
      </w:tr>
      <w:tr>
        <w:trPr>
          <w:trHeight w:val="168"/>
        </w:trPr>
        <w:tc>
          <w:tcPr>
            <w:tcW w:w="26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$793</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$700</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$677</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$2,869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$2,640</w:t>
            </w:r>
          </w:p>
        </w:tc>
      </w:tr>
      <w:tr>
        <w:trPr>
          <w:trHeight w:val="168"/>
        </w:trPr>
        <w:tc>
          <w:tcPr>
            <w:tcW w:w="26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540" w:right="3760" w:hanging="530"/>
        <w:spacing w:after="0" w:line="235" w:lineRule="auto"/>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minority interest related to the Series A Preferred Shares of $11 million in each quarter of 1997, and $13 million in the fourth quarter of 1996.</w:t>
      </w:r>
    </w:p>
    <w:p>
      <w:pPr>
        <w:sectPr>
          <w:pgSz w:w="11900" w:h="16838" w:orient="portrait"/>
          <w:cols w:equalWidth="0" w:num="1">
            <w:col w:w="10760"/>
          </w:cols>
          <w:pgMar w:left="220" w:top="281" w:right="919"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11</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CHASE MANHATTAN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BALANCE SHEET</w:t>
      </w:r>
    </w:p>
    <w:tbl>
      <w:tblPr>
        <w:tblLayout w:type="fixed"/>
        <w:tblInd w:w="0" w:type="dxa"/>
        <w:tblCellMar>
          <w:top w:w="0" w:type="dxa"/>
          <w:left w:w="0" w:type="dxa"/>
          <w:bottom w:w="0" w:type="dxa"/>
          <w:right w:w="0" w:type="dxa"/>
        </w:tblCellMar>
      </w:tblPr>
      <w:tr>
        <w:trPr>
          <w:trHeight w:val="169"/>
        </w:trPr>
        <w:tc>
          <w:tcPr>
            <w:tcW w:w="7100" w:type="dxa"/>
            <w:vAlign w:val="bottom"/>
          </w:tcPr>
          <w:p>
            <w:pPr>
              <w:ind w:left="2980"/>
              <w:spacing w:after="0" w:line="169" w:lineRule="exact"/>
              <w:rPr>
                <w:sz w:val="20"/>
                <w:szCs w:val="20"/>
                <w:color w:val="auto"/>
              </w:rPr>
            </w:pPr>
            <w:r>
              <w:rPr>
                <w:rFonts w:ascii="Courier New" w:cs="Courier New" w:eastAsia="Courier New" w:hAnsi="Courier New"/>
                <w:sz w:val="15"/>
                <w:szCs w:val="15"/>
                <w:color w:val="auto"/>
              </w:rPr>
              <w:t>(IN MILLIONS)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3"/>
        </w:trPr>
        <w:tc>
          <w:tcPr>
            <w:tcW w:w="7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60" w:type="dxa"/>
            <w:vAlign w:val="bottom"/>
          </w:tcPr>
          <w:p>
            <w:pPr>
              <w:spacing w:after="0"/>
              <w:rPr>
                <w:sz w:val="24"/>
                <w:szCs w:val="24"/>
                <w:color w:val="auto"/>
              </w:rPr>
            </w:pPr>
          </w:p>
        </w:tc>
      </w:tr>
      <w:tr>
        <w:trPr>
          <w:trHeight w:val="168"/>
        </w:trPr>
        <w:tc>
          <w:tcPr>
            <w:tcW w:w="7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7100" w:type="dxa"/>
            <w:vAlign w:val="bottom"/>
          </w:tcPr>
          <w:p>
            <w:pPr>
              <w:spacing w:after="0"/>
              <w:rPr>
                <w:sz w:val="14"/>
                <w:szCs w:val="14"/>
                <w:color w:val="auto"/>
              </w:rPr>
            </w:pPr>
          </w:p>
        </w:tc>
        <w:tc>
          <w:tcPr>
            <w:tcW w:w="1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Due from Banks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15,704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14,605</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2,886</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8,344</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Purchased Under Resale Agreements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30,928</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28,966</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Debt and Equity Instruments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34,641</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30,377</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Risk Management Instruments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37,752</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29,579</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Available-for-Sale</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49,755</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44,691</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Held-to-Maturity</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2,983</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3,855</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(Net of Allowance for Loan Losses of $3,624 in 1997 and $3,549 in 1996)</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164,830</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151,543</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Premises and Equipment</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3,780</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3,642</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Due from Customers on Acceptances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1,719</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2,276</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Receivable</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3,359</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3,020</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17,184</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15,201</w:t>
            </w:r>
          </w:p>
        </w:tc>
      </w:tr>
      <w:tr>
        <w:trPr>
          <w:trHeight w:val="168"/>
        </w:trPr>
        <w:tc>
          <w:tcPr>
            <w:tcW w:w="7100" w:type="dxa"/>
            <w:vAlign w:val="bottom"/>
          </w:tcPr>
          <w:p>
            <w:pPr>
              <w:spacing w:after="0"/>
              <w:rPr>
                <w:sz w:val="14"/>
                <w:szCs w:val="14"/>
                <w:color w:val="auto"/>
              </w:rPr>
            </w:pPr>
          </w:p>
        </w:tc>
        <w:tc>
          <w:tcPr>
            <w:tcW w:w="1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ASSETS</w:t>
            </w:r>
          </w:p>
        </w:tc>
        <w:tc>
          <w:tcPr>
            <w:tcW w:w="1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$ 365,521</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$ 336,099</w:t>
            </w:r>
          </w:p>
        </w:tc>
      </w:tr>
      <w:tr>
        <w:trPr>
          <w:trHeight w:val="168"/>
        </w:trPr>
        <w:tc>
          <w:tcPr>
            <w:tcW w:w="7100" w:type="dxa"/>
            <w:vAlign w:val="bottom"/>
          </w:tcPr>
          <w:p>
            <w:pPr>
              <w:spacing w:after="0"/>
              <w:rPr>
                <w:sz w:val="14"/>
                <w:szCs w:val="14"/>
                <w:color w:val="auto"/>
              </w:rPr>
            </w:pPr>
          </w:p>
        </w:tc>
        <w:tc>
          <w:tcPr>
            <w:tcW w:w="1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Domestic:</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Noninterest-Bearing</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46,603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42,726</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Interest-Bearing</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71,576</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67,186</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Noninterest-Bearing</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3,205</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4,331</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Interest-Bearing</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72,304</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66,678</w:t>
            </w:r>
          </w:p>
        </w:tc>
      </w:tr>
      <w:tr>
        <w:trPr>
          <w:trHeight w:val="168"/>
        </w:trPr>
        <w:tc>
          <w:tcPr>
            <w:tcW w:w="7100" w:type="dxa"/>
            <w:vAlign w:val="bottom"/>
          </w:tcPr>
          <w:p>
            <w:pPr>
              <w:spacing w:after="0"/>
              <w:rPr>
                <w:sz w:val="14"/>
                <w:szCs w:val="14"/>
                <w:color w:val="auto"/>
              </w:rPr>
            </w:pPr>
          </w:p>
        </w:tc>
        <w:tc>
          <w:tcPr>
            <w:tcW w:w="1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Deposits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193,688</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180,921</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Sold Under Repurchase Agreements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56,126</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53,868</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Paper</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4,744</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4,500</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Borrowed Funds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6,861</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9,231</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Acceptances Outstanding</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1,719</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2,276</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Liabilities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52,438</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38,136</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Accrued Expenses and Other Liabilities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12,526</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12,309</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13,387</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12,714</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Guaranteed Preferred Beneficial Interests in Corporation's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Junior Subordinated Deferrable Interest Debentures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1,740</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7100" w:type="dxa"/>
            <w:vAlign w:val="bottom"/>
          </w:tcPr>
          <w:p>
            <w:pPr>
              <w:spacing w:after="0"/>
              <w:rPr>
                <w:sz w:val="14"/>
                <w:szCs w:val="14"/>
                <w:color w:val="auto"/>
              </w:rPr>
            </w:pPr>
          </w:p>
        </w:tc>
        <w:tc>
          <w:tcPr>
            <w:tcW w:w="1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343,229</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314,555</w:t>
            </w:r>
          </w:p>
        </w:tc>
      </w:tr>
      <w:tr>
        <w:trPr>
          <w:trHeight w:val="168"/>
        </w:trPr>
        <w:tc>
          <w:tcPr>
            <w:tcW w:w="7100" w:type="dxa"/>
            <w:vAlign w:val="bottom"/>
          </w:tcPr>
          <w:p>
            <w:pPr>
              <w:spacing w:after="0"/>
              <w:rPr>
                <w:sz w:val="14"/>
                <w:szCs w:val="14"/>
                <w:color w:val="auto"/>
              </w:rPr>
            </w:pPr>
          </w:p>
        </w:tc>
        <w:tc>
          <w:tcPr>
            <w:tcW w:w="1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PREFERRED STOCK OF SUBSIDIARY</w:t>
            </w:r>
          </w:p>
        </w:tc>
        <w:tc>
          <w:tcPr>
            <w:tcW w:w="480" w:type="dxa"/>
            <w:vAlign w:val="bottom"/>
          </w:tcPr>
          <w:p>
            <w:pPr>
              <w:spacing w:after="0"/>
              <w:rPr>
                <w:sz w:val="24"/>
                <w:szCs w:val="24"/>
                <w:color w:val="auto"/>
              </w:rPr>
            </w:pPr>
          </w:p>
        </w:tc>
        <w:tc>
          <w:tcPr>
            <w:tcW w:w="10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550</w:t>
            </w:r>
          </w:p>
        </w:tc>
        <w:tc>
          <w:tcPr>
            <w:tcW w:w="48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550</w:t>
            </w:r>
          </w:p>
        </w:tc>
      </w:tr>
      <w:tr>
        <w:trPr>
          <w:trHeight w:val="168"/>
        </w:trPr>
        <w:tc>
          <w:tcPr>
            <w:tcW w:w="7100" w:type="dxa"/>
            <w:vAlign w:val="bottom"/>
          </w:tcPr>
          <w:p>
            <w:pPr>
              <w:spacing w:after="0"/>
              <w:rPr>
                <w:sz w:val="14"/>
                <w:szCs w:val="14"/>
                <w:color w:val="auto"/>
              </w:rPr>
            </w:pPr>
          </w:p>
        </w:tc>
        <w:tc>
          <w:tcPr>
            <w:tcW w:w="1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1,740</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2,650</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441</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441</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Surplus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10,360</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10,459</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11,103</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8,627</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Unrealized Gain (Loss) on Securities Available-for-Sale, Net of Taxes</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95</w:t>
            </w:r>
          </w:p>
        </w:tc>
        <w:tc>
          <w:tcPr>
            <w:tcW w:w="4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4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(895)</w:t>
            </w:r>
          </w:p>
        </w:tc>
      </w:tr>
      <w:tr>
        <w:trPr>
          <w:trHeight w:val="168"/>
        </w:trPr>
        <w:tc>
          <w:tcPr>
            <w:tcW w:w="7100" w:type="dxa"/>
            <w:vAlign w:val="bottom"/>
          </w:tcPr>
          <w:p>
            <w:pPr>
              <w:spacing w:after="0"/>
              <w:rPr>
                <w:sz w:val="14"/>
                <w:szCs w:val="14"/>
                <w:color w:val="auto"/>
              </w:rPr>
            </w:pPr>
          </w:p>
        </w:tc>
        <w:tc>
          <w:tcPr>
            <w:tcW w:w="1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4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21,742</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20,994</w:t>
            </w:r>
          </w:p>
        </w:tc>
      </w:tr>
      <w:tr>
        <w:trPr>
          <w:trHeight w:val="168"/>
        </w:trPr>
        <w:tc>
          <w:tcPr>
            <w:tcW w:w="7100" w:type="dxa"/>
            <w:vAlign w:val="bottom"/>
          </w:tcPr>
          <w:p>
            <w:pPr>
              <w:spacing w:after="0"/>
              <w:rPr>
                <w:sz w:val="14"/>
                <w:szCs w:val="14"/>
                <w:color w:val="auto"/>
              </w:rPr>
            </w:pPr>
          </w:p>
        </w:tc>
        <w:tc>
          <w:tcPr>
            <w:tcW w:w="1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 PREFERRED STOCK OF SUBSIDIARY</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7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STOCKHOLDERS' EQUITY</w:t>
            </w:r>
          </w:p>
        </w:tc>
        <w:tc>
          <w:tcPr>
            <w:tcW w:w="1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$ 365,521</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$ 336,099</w:t>
            </w:r>
          </w:p>
        </w:tc>
      </w:tr>
      <w:tr>
        <w:trPr>
          <w:trHeight w:val="168"/>
        </w:trPr>
        <w:tc>
          <w:tcPr>
            <w:tcW w:w="7100" w:type="dxa"/>
            <w:vAlign w:val="bottom"/>
          </w:tcPr>
          <w:p>
            <w:pPr>
              <w:spacing w:after="0"/>
              <w:rPr>
                <w:sz w:val="14"/>
                <w:szCs w:val="14"/>
                <w:color w:val="auto"/>
              </w:rPr>
            </w:pPr>
          </w:p>
        </w:tc>
        <w:tc>
          <w:tcPr>
            <w:tcW w:w="1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12</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CHASE MANHATTAN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 OF CHANGES</w:t>
      </w:r>
    </w:p>
    <w:p>
      <w:pPr>
        <w:jc w:val="center"/>
        <w:ind w:right="3139"/>
        <w:spacing w:after="0" w:line="238" w:lineRule="auto"/>
        <w:rPr>
          <w:sz w:val="20"/>
          <w:szCs w:val="20"/>
          <w:color w:val="auto"/>
        </w:rPr>
      </w:pPr>
      <w:r>
        <w:rPr>
          <w:rFonts w:ascii="Courier New" w:cs="Courier New" w:eastAsia="Courier New" w:hAnsi="Courier New"/>
          <w:sz w:val="15"/>
          <w:szCs w:val="15"/>
          <w:color w:val="auto"/>
        </w:rPr>
        <w:t>IN STOCKHOLDERS' EQUITY</w:t>
      </w:r>
    </w:p>
    <w:p>
      <w:pPr>
        <w:jc w:val="center"/>
        <w:ind w:right="3139"/>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FOR THE YEAR ENDED</w:t>
            </w:r>
          </w:p>
        </w:tc>
      </w:tr>
      <w:tr>
        <w:trPr>
          <w:trHeight w:val="168"/>
        </w:trPr>
        <w:tc>
          <w:tcPr>
            <w:tcW w:w="5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290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2,650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2,650</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Redemption of Stock</w:t>
            </w:r>
          </w:p>
        </w:tc>
        <w:tc>
          <w:tcPr>
            <w:tcW w:w="48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(910)</w:t>
            </w:r>
          </w:p>
        </w:tc>
        <w:tc>
          <w:tcPr>
            <w:tcW w:w="1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End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1,740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2,650</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441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458</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48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48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End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441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441</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CAPITAL SURPLUS:</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$ 10,459</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$ 11,075</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48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Issued for Employee Stock-Based</w:t>
            </w: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Awards and Certain Related Tax Benefits</w:t>
            </w:r>
          </w:p>
        </w:tc>
        <w:tc>
          <w:tcPr>
            <w:tcW w:w="48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(99)</w:t>
            </w:r>
          </w:p>
        </w:tc>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End of Year</w:t>
            </w: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$ 10,360</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$ 10,459</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8,627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7,997</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3,708</w:t>
            </w:r>
          </w:p>
        </w:tc>
        <w:tc>
          <w:tcPr>
            <w:tcW w:w="1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2,461</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48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w:t>
            </w:r>
          </w:p>
        </w:tc>
        <w:tc>
          <w:tcPr>
            <w:tcW w:w="48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(182)</w:t>
            </w:r>
          </w:p>
        </w:tc>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48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(1,050)</w:t>
            </w:r>
          </w:p>
        </w:tc>
        <w:tc>
          <w:tcPr>
            <w:tcW w:w="14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(1,061)(a)</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Translation Adjustment</w:t>
            </w:r>
          </w:p>
        </w:tc>
        <w:tc>
          <w:tcPr>
            <w:tcW w:w="48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End of Year</w:t>
            </w: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$ 11,103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8,627</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NET UNREALIZED GAIN (LOSS) ON SECURITIES AVAILABLE-FOR-SALE:</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 Fair Value of Securities Available-for-Sale,</w:t>
            </w: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Taxes</w:t>
            </w:r>
          </w:p>
        </w:tc>
        <w:tc>
          <w:tcPr>
            <w:tcW w:w="48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383</w:t>
            </w:r>
          </w:p>
        </w:tc>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End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COMMON STOCK IN TREASURY, AT COST:</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(895)</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 (1,107)</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48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1,010</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48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(2,169)</w:t>
            </w:r>
          </w:p>
        </w:tc>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(2,037)</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Reissuance of Treasury Stock</w:t>
            </w:r>
          </w:p>
        </w:tc>
        <w:tc>
          <w:tcPr>
            <w:tcW w:w="48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1,067</w:t>
            </w:r>
          </w:p>
        </w:tc>
        <w:tc>
          <w:tcPr>
            <w:tcW w:w="1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1,239</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End of Year</w:t>
            </w:r>
          </w:p>
        </w:tc>
        <w:tc>
          <w:tcPr>
            <w:tcW w:w="18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 (1,997)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(895)</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84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$ 21,742</w:t>
            </w:r>
          </w:p>
        </w:tc>
        <w:tc>
          <w:tcPr>
            <w:tcW w:w="1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$ 20,994</w:t>
            </w:r>
          </w:p>
        </w:tc>
      </w:tr>
      <w:tr>
        <w:trPr>
          <w:trHeight w:val="168"/>
        </w:trPr>
        <w:tc>
          <w:tcPr>
            <w:tcW w:w="5600" w:type="dxa"/>
            <w:vAlign w:val="bottom"/>
          </w:tcPr>
          <w:p>
            <w:pPr>
              <w:spacing w:after="0"/>
              <w:rPr>
                <w:sz w:val="14"/>
                <w:szCs w:val="14"/>
                <w:color w:val="auto"/>
              </w:rPr>
            </w:pPr>
          </w:p>
        </w:tc>
        <w:tc>
          <w:tcPr>
            <w:tcW w:w="18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41" w:lineRule="exact"/>
        <w:rPr>
          <w:sz w:val="20"/>
          <w:szCs w:val="20"/>
          <w:color w:val="auto"/>
        </w:rPr>
      </w:pPr>
    </w:p>
    <w:p>
      <w:pPr>
        <w:ind w:left="540" w:right="3939" w:hanging="530"/>
        <w:spacing w:after="0" w:line="261" w:lineRule="auto"/>
        <w:tabs>
          <w:tab w:leader="none" w:pos="5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fourth quarter 1995 common stock dividends of $80 million declared and paid by old Chase in the 1996 first quarter.</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13</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CHASE MANHATTAN CORPORATION AND SUBSIDIARIES</w:t>
      </w:r>
    </w:p>
    <w:p>
      <w:pPr>
        <w:ind w:left="2380"/>
        <w:spacing w:after="0" w:line="237" w:lineRule="auto"/>
        <w:rPr>
          <w:sz w:val="20"/>
          <w:szCs w:val="20"/>
          <w:color w:val="auto"/>
        </w:rPr>
      </w:pPr>
      <w:r>
        <w:rPr>
          <w:rFonts w:ascii="Courier New" w:cs="Courier New" w:eastAsia="Courier New" w:hAnsi="Courier New"/>
          <w:sz w:val="15"/>
          <w:szCs w:val="15"/>
          <w:color w:val="auto"/>
        </w:rPr>
        <w:t>CREDIT RELATED INFORMATION</w:t>
      </w:r>
    </w:p>
    <w:p>
      <w:pPr>
        <w:ind w:left="2980"/>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LOANS OUTSTANDING</w:t>
            </w:r>
          </w:p>
        </w:tc>
        <w:tc>
          <w:tcPr>
            <w:tcW w:w="192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5"/>
              </w:rPr>
              <w:t>NONPERFORMING ASSETS</w:t>
            </w:r>
          </w:p>
        </w:tc>
      </w:tr>
      <w:tr>
        <w:trPr>
          <w:trHeight w:val="168"/>
        </w:trPr>
        <w:tc>
          <w:tcPr>
            <w:tcW w:w="316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Courier New" w:cs="Courier New" w:eastAsia="Courier New" w:hAnsi="Courier New"/>
                <w:sz w:val="9"/>
                <w:szCs w:val="9"/>
                <w:color w:val="auto"/>
                <w:w w:val="77"/>
              </w:rPr>
              <w:t>--------------------</w:t>
            </w:r>
          </w:p>
        </w:tc>
        <w:tc>
          <w:tcPr>
            <w:tcW w:w="1060" w:type="dxa"/>
            <w:vAlign w:val="bottom"/>
          </w:tcPr>
          <w:p>
            <w:pPr>
              <w:spacing w:after="0"/>
              <w:rPr>
                <w:sz w:val="14"/>
                <w:szCs w:val="14"/>
                <w:color w:val="auto"/>
              </w:rPr>
            </w:pPr>
          </w:p>
        </w:tc>
        <w:tc>
          <w:tcPr>
            <w:tcW w:w="19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w:t>
            </w:r>
          </w:p>
        </w:tc>
        <w:tc>
          <w:tcPr>
            <w:tcW w:w="7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1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3160" w:type="dxa"/>
            <w:vAlign w:val="bottom"/>
          </w:tcPr>
          <w:p>
            <w:pPr>
              <w:spacing w:after="0"/>
              <w:rPr>
                <w:sz w:val="20"/>
                <w:szCs w:val="20"/>
                <w:color w:val="auto"/>
              </w:rPr>
            </w:pPr>
            <w:r>
              <w:rPr>
                <w:rFonts w:ascii="Courier New" w:cs="Courier New" w:eastAsia="Courier New" w:hAnsi="Courier New"/>
                <w:sz w:val="15"/>
                <w:szCs w:val="15"/>
                <w:color w:val="auto"/>
              </w:rPr>
              <w:t>Domestic Commercial:</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31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5,030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5,934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31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Commercial</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44,583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40,282</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259</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w:t>
            </w:r>
          </w:p>
        </w:tc>
      </w:tr>
      <w:tr>
        <w:trPr>
          <w:trHeight w:val="168"/>
        </w:trPr>
        <w:tc>
          <w:tcPr>
            <w:tcW w:w="31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1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Commercial Loans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49,613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46,216</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w:t>
            </w:r>
          </w:p>
        </w:tc>
      </w:tr>
      <w:tr>
        <w:trPr>
          <w:trHeight w:val="168"/>
        </w:trPr>
        <w:tc>
          <w:tcPr>
            <w:tcW w:w="31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Domestic Consumer:</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31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Residential Mortgage</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38,680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36,621</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340</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w:t>
            </w:r>
          </w:p>
        </w:tc>
      </w:tr>
      <w:tr>
        <w:trPr>
          <w:trHeight w:val="168"/>
        </w:trPr>
        <w:tc>
          <w:tcPr>
            <w:tcW w:w="31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Credit Card</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15,631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12,157</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1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Consumer</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21,786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20,306</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31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160" w:type="dxa"/>
            <w:vAlign w:val="bottom"/>
          </w:tcPr>
          <w:p>
            <w:pPr>
              <w:ind w:left="1060"/>
              <w:spacing w:after="0"/>
              <w:rPr>
                <w:sz w:val="20"/>
                <w:szCs w:val="20"/>
                <w:color w:val="auto"/>
              </w:rPr>
            </w:pPr>
            <w:r>
              <w:rPr>
                <w:rFonts w:ascii="Courier New" w:cs="Courier New" w:eastAsia="Courier New" w:hAnsi="Courier New"/>
                <w:sz w:val="15"/>
                <w:szCs w:val="15"/>
                <w:color w:val="auto"/>
              </w:rPr>
              <w:t>Total Consumer Loans</w:t>
            </w:r>
          </w:p>
        </w:tc>
        <w:tc>
          <w:tcPr>
            <w:tcW w:w="2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76,097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69,084</w:t>
            </w:r>
          </w:p>
        </w:tc>
        <w:tc>
          <w:tcPr>
            <w:tcW w:w="340" w:type="dxa"/>
            <w:vAlign w:val="bottom"/>
          </w:tcPr>
          <w:p>
            <w:pPr>
              <w:spacing w:after="0"/>
              <w:rPr>
                <w:sz w:val="24"/>
                <w:szCs w:val="2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378</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r>
      <w:tr>
        <w:trPr>
          <w:trHeight w:val="168"/>
        </w:trPr>
        <w:tc>
          <w:tcPr>
            <w:tcW w:w="31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Domestic Loans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125,710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115,300</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712</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42,744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39,792</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196</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31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Loans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168,454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$155,092</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908</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1,021</w:t>
            </w:r>
          </w:p>
        </w:tc>
      </w:tr>
      <w:tr>
        <w:trPr>
          <w:trHeight w:val="168"/>
        </w:trPr>
        <w:tc>
          <w:tcPr>
            <w:tcW w:w="31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160" w:type="dxa"/>
            <w:vAlign w:val="bottom"/>
          </w:tcPr>
          <w:p>
            <w:pPr>
              <w:ind w:left="360"/>
              <w:spacing w:after="0"/>
              <w:rPr>
                <w:sz w:val="20"/>
                <w:szCs w:val="20"/>
                <w:color w:val="auto"/>
              </w:rPr>
            </w:pPr>
            <w:r>
              <w:rPr>
                <w:rFonts w:ascii="Courier New" w:cs="Courier New" w:eastAsia="Courier New" w:hAnsi="Courier New"/>
                <w:sz w:val="15"/>
                <w:szCs w:val="15"/>
                <w:color w:val="auto"/>
              </w:rPr>
              <w:t>Assets Acquired as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Loan Satisfactions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Nonperforming Assets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1,018</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1,151</w:t>
            </w:r>
          </w:p>
        </w:tc>
      </w:tr>
      <w:tr>
        <w:trPr>
          <w:trHeight w:val="168"/>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1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THREE MONTHS ENDED</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YEAR ENDED</w:t>
            </w:r>
          </w:p>
        </w:tc>
      </w:tr>
      <w:tr>
        <w:trPr>
          <w:trHeight w:val="168"/>
        </w:trPr>
        <w:tc>
          <w:tcPr>
            <w:tcW w:w="570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DECEMBER 31,</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700" w:type="dxa"/>
            <w:vAlign w:val="bottom"/>
          </w:tcPr>
          <w:p>
            <w:pPr>
              <w:spacing w:after="0"/>
              <w:rPr>
                <w:sz w:val="14"/>
                <w:szCs w:val="14"/>
                <w:color w:val="auto"/>
              </w:rPr>
            </w:pP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7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00" w:type="dxa"/>
            <w:vAlign w:val="bottom"/>
          </w:tcPr>
          <w:p>
            <w:pPr>
              <w:ind w:left="360"/>
              <w:spacing w:after="0"/>
              <w:rPr>
                <w:sz w:val="20"/>
                <w:szCs w:val="20"/>
                <w:color w:val="auto"/>
              </w:rPr>
            </w:pPr>
            <w:r>
              <w:rPr>
                <w:rFonts w:ascii="Courier New" w:cs="Courier New" w:eastAsia="Courier New" w:hAnsi="Courier New"/>
                <w:sz w:val="15"/>
                <w:szCs w:val="15"/>
                <w:color w:val="auto"/>
              </w:rPr>
              <w:t>Net Charge-Offs: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Domestic Commercial:</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w:t>
            </w:r>
          </w:p>
        </w:tc>
      </w:tr>
      <w:tr>
        <w:trPr>
          <w:trHeight w:val="168"/>
        </w:trPr>
        <w:tc>
          <w:tcPr>
            <w:tcW w:w="5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Commercial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57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Commercial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7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Domestic Consumer:</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Residential Mortgage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5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Credit Card</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618</w:t>
            </w:r>
          </w:p>
        </w:tc>
      </w:tr>
      <w:tr>
        <w:trPr>
          <w:trHeight w:val="168"/>
        </w:trPr>
        <w:tc>
          <w:tcPr>
            <w:tcW w:w="5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Consumer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57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Consumer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824</w:t>
            </w:r>
          </w:p>
        </w:tc>
      </w:tr>
      <w:tr>
        <w:trPr>
          <w:trHeight w:val="168"/>
        </w:trPr>
        <w:tc>
          <w:tcPr>
            <w:tcW w:w="57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Domestic Net Charge-offs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924</w:t>
            </w:r>
          </w:p>
        </w:tc>
      </w:tr>
      <w:tr>
        <w:trPr>
          <w:trHeight w:val="168"/>
        </w:trPr>
        <w:tc>
          <w:tcPr>
            <w:tcW w:w="5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Foreign</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7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Subtotal Net Charge-offs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w:t>
            </w:r>
          </w:p>
        </w:tc>
      </w:tr>
      <w:tr>
        <w:trPr>
          <w:trHeight w:val="168"/>
        </w:trPr>
        <w:tc>
          <w:tcPr>
            <w:tcW w:w="5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Charge Related to Conforming Credit Card Charge-off Policies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57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Net Charge-offs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$ 205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$ 182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$ 804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$ 999</w:t>
            </w:r>
          </w:p>
        </w:tc>
      </w:tr>
      <w:tr>
        <w:trPr>
          <w:trHeight w:val="168"/>
        </w:trPr>
        <w:tc>
          <w:tcPr>
            <w:tcW w:w="57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14</w:t>
      </w:r>
    </w:p>
    <w:p>
      <w:pPr>
        <w:spacing w:after="0" w:line="335"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p>
      <w:pPr>
        <w:jc w:val="right"/>
        <w:ind w:right="4640"/>
        <w:spacing w:after="0"/>
        <w:rPr>
          <w:sz w:val="20"/>
          <w:szCs w:val="20"/>
          <w:color w:val="auto"/>
        </w:rPr>
      </w:pPr>
      <w:r>
        <w:rPr>
          <w:rFonts w:ascii="Courier New" w:cs="Courier New" w:eastAsia="Courier New" w:hAnsi="Courier New"/>
          <w:sz w:val="15"/>
          <w:szCs w:val="15"/>
          <w:color w:val="auto"/>
        </w:rPr>
        <w:t>THE CHASE MANHATTAN CORPORATION AND SUBSIDIARIES</w:t>
      </w:r>
    </w:p>
    <w:p>
      <w:pPr>
        <w:ind w:left="2200"/>
        <w:spacing w:after="0" w:line="237" w:lineRule="auto"/>
        <w:rPr>
          <w:sz w:val="20"/>
          <w:szCs w:val="20"/>
          <w:color w:val="auto"/>
        </w:rPr>
      </w:pPr>
      <w:r>
        <w:rPr>
          <w:rFonts w:ascii="Courier New" w:cs="Courier New" w:eastAsia="Courier New" w:hAnsi="Courier New"/>
          <w:sz w:val="15"/>
          <w:szCs w:val="15"/>
          <w:color w:val="auto"/>
        </w:rPr>
        <w:t>CREDIT CARD RELATED INFORMATION</w:t>
      </w:r>
    </w:p>
    <w:p>
      <w:pPr>
        <w:ind w:left="2280"/>
        <w:spacing w:after="0" w:line="238" w:lineRule="auto"/>
        <w:rPr>
          <w:sz w:val="20"/>
          <w:szCs w:val="20"/>
          <w:color w:val="auto"/>
        </w:rPr>
      </w:pPr>
      <w:r>
        <w:rPr>
          <w:rFonts w:ascii="Courier New" w:cs="Courier New" w:eastAsia="Courier New" w:hAnsi="Courier New"/>
          <w:sz w:val="15"/>
          <w:szCs w:val="15"/>
          <w:color w:val="auto"/>
        </w:rPr>
        <w:t>(IN MILLIONS, EXCEPT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AS OF OR FOR THE</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AS OF OR FOR THE</w:t>
            </w:r>
          </w:p>
        </w:tc>
      </w:tr>
      <w:tr>
        <w:trPr>
          <w:trHeight w:val="168"/>
        </w:trPr>
        <w:tc>
          <w:tcPr>
            <w:tcW w:w="4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6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w w:val="95"/>
              </w:rPr>
              <w:t>THREE MONTHS ENDED</w:t>
            </w:r>
          </w:p>
        </w:tc>
        <w:tc>
          <w:tcPr>
            <w:tcW w:w="44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 ENDED</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900" w:type="dxa"/>
            <w:vAlign w:val="bottom"/>
          </w:tcPr>
          <w:p>
            <w:pPr>
              <w:spacing w:after="0"/>
              <w:rPr>
                <w:sz w:val="14"/>
                <w:szCs w:val="14"/>
                <w:color w:val="auto"/>
              </w:rPr>
            </w:pPr>
          </w:p>
        </w:tc>
        <w:tc>
          <w:tcPr>
            <w:tcW w:w="2900" w:type="dxa"/>
            <w:vAlign w:val="bottom"/>
            <w:gridSpan w:val="4"/>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1997</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88"/>
              </w:rPr>
              <w:t>1997</w:t>
            </w: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900" w:type="dxa"/>
            <w:vAlign w:val="bottom"/>
          </w:tcPr>
          <w:p>
            <w:pPr>
              <w:spacing w:after="0"/>
              <w:rPr>
                <w:sz w:val="14"/>
                <w:szCs w:val="14"/>
                <w:color w:val="auto"/>
              </w:rPr>
            </w:pPr>
          </w:p>
        </w:tc>
        <w:tc>
          <w:tcPr>
            <w:tcW w:w="17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900" w:type="dxa"/>
            <w:vAlign w:val="bottom"/>
          </w:tcPr>
          <w:p>
            <w:pPr>
              <w:ind w:left="360"/>
              <w:spacing w:after="0"/>
              <w:rPr>
                <w:sz w:val="20"/>
                <w:szCs w:val="20"/>
                <w:color w:val="auto"/>
              </w:rPr>
            </w:pPr>
            <w:r>
              <w:rPr>
                <w:rFonts w:ascii="Courier New" w:cs="Courier New" w:eastAsia="Courier New" w:hAnsi="Courier New"/>
                <w:sz w:val="15"/>
                <w:szCs w:val="15"/>
                <w:color w:val="auto"/>
              </w:rPr>
              <w:t>MANAGED CREDIT CARD PORTFOLIO:</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Managed Credit Card Receivables</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29,375</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24,382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26,848</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23,709</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Past Due 90 Days &amp; Over and Accruing</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633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633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564</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 a Percentage of Average Credit Card Receivables</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2.15%</w:t>
            </w: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2.31%</w:t>
            </w:r>
          </w:p>
        </w:tc>
        <w:tc>
          <w:tcPr>
            <w:tcW w:w="4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2.36%</w:t>
            </w: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Charge-offs  (a)</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400</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1,519</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1,156</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 a Percentage of Average Credit Card Receivables</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5.45%</w:t>
            </w: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5.11%</w:t>
            </w:r>
          </w:p>
        </w:tc>
        <w:tc>
          <w:tcPr>
            <w:tcW w:w="4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5.66%</w:t>
            </w: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w:t>
            </w:r>
          </w:p>
        </w:tc>
      </w:tr>
    </w:tbl>
    <w:p>
      <w:pPr>
        <w:spacing w:after="0" w:line="173" w:lineRule="exact"/>
        <w:rPr>
          <w:sz w:val="20"/>
          <w:szCs w:val="20"/>
          <w:color w:val="auto"/>
        </w:rPr>
      </w:pPr>
    </w:p>
    <w:p>
      <w:pPr>
        <w:ind w:left="880" w:right="5420" w:hanging="520"/>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charges related to conforming credit card charge-off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ind w:left="360"/>
              <w:spacing w:after="0"/>
              <w:rPr>
                <w:sz w:val="20"/>
                <w:szCs w:val="20"/>
                <w:color w:val="auto"/>
              </w:rPr>
            </w:pPr>
            <w:r>
              <w:rPr>
                <w:rFonts w:ascii="Courier New" w:cs="Courier New" w:eastAsia="Courier New" w:hAnsi="Courier New"/>
                <w:sz w:val="15"/>
                <w:szCs w:val="15"/>
                <w:color w:val="auto"/>
              </w:rPr>
              <w:t>FAVORABLE (UNFAVORABLE) IMPACT OF CREDIT CARD</w:t>
            </w:r>
          </w:p>
        </w:tc>
        <w:tc>
          <w:tcPr>
            <w:tcW w:w="260" w:type="dxa"/>
            <w:vAlign w:val="bottom"/>
          </w:tcPr>
          <w:p>
            <w:pPr>
              <w:spacing w:after="0"/>
              <w:rPr>
                <w:sz w:val="14"/>
                <w:szCs w:val="14"/>
                <w:color w:val="auto"/>
              </w:rPr>
            </w:pPr>
          </w:p>
        </w:tc>
        <w:tc>
          <w:tcPr>
            <w:tcW w:w="23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c>
          <w:tcPr>
            <w:tcW w:w="480" w:type="dxa"/>
            <w:vAlign w:val="bottom"/>
          </w:tcPr>
          <w:p>
            <w:pPr>
              <w:spacing w:after="0"/>
              <w:rPr>
                <w:sz w:val="14"/>
                <w:szCs w:val="14"/>
                <w:color w:val="auto"/>
              </w:rPr>
            </w:pPr>
          </w:p>
        </w:tc>
        <w:tc>
          <w:tcPr>
            <w:tcW w:w="19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FOR THE YEAR ENDED</w:t>
            </w:r>
          </w:p>
        </w:tc>
      </w:tr>
      <w:tr>
        <w:trPr>
          <w:trHeight w:val="168"/>
        </w:trPr>
        <w:tc>
          <w:tcPr>
            <w:tcW w:w="4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SECURITIZATIONS ON REPORTED CONSOLIDATED</w:t>
            </w:r>
          </w:p>
        </w:tc>
        <w:tc>
          <w:tcPr>
            <w:tcW w:w="26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60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5"/>
              </w:rPr>
              <w: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STATEMENT OF INCOME LINE ITEMS:</w:t>
            </w:r>
          </w:p>
        </w:tc>
        <w:tc>
          <w:tcPr>
            <w:tcW w:w="26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1997</w:t>
            </w:r>
          </w:p>
        </w:tc>
        <w:tc>
          <w:tcPr>
            <w:tcW w:w="44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1996</w:t>
            </w:r>
          </w:p>
        </w:tc>
        <w:tc>
          <w:tcPr>
            <w:tcW w:w="48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1996</w:t>
            </w:r>
          </w:p>
        </w:tc>
      </w:tr>
      <w:tr>
        <w:trPr>
          <w:trHeight w:val="168"/>
        </w:trPr>
        <w:tc>
          <w:tcPr>
            <w:tcW w:w="4480" w:type="dxa"/>
            <w:vAlign w:val="bottom"/>
          </w:tcPr>
          <w:p>
            <w:pPr>
              <w:spacing w:after="0"/>
              <w:rPr>
                <w:sz w:val="14"/>
                <w:szCs w:val="14"/>
                <w:color w:val="auto"/>
              </w:rPr>
            </w:pP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(275)</w:t>
            </w:r>
          </w:p>
        </w:tc>
        <w:tc>
          <w:tcPr>
            <w:tcW w:w="1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$(1,253)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(914)</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Credit Losses</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263</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161</w:t>
            </w:r>
          </w:p>
        </w:tc>
        <w:tc>
          <w:tcPr>
            <w:tcW w:w="48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993</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 Revenue</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w:t>
            </w:r>
          </w:p>
        </w:tc>
        <w:tc>
          <w:tcPr>
            <w:tcW w:w="48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233</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Revenue</w:t>
            </w:r>
          </w:p>
        </w:tc>
        <w:tc>
          <w:tcPr>
            <w:tcW w:w="2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48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480" w:type="dxa"/>
            <w:vAlign w:val="bottom"/>
          </w:tcPr>
          <w:p>
            <w:pPr>
              <w:spacing w:after="0"/>
              <w:rPr>
                <w:sz w:val="14"/>
                <w:szCs w:val="14"/>
                <w:color w:val="auto"/>
              </w:rPr>
            </w:pP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 Impact of Securitizations</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amounts have been reclassified in prior periods.</w:t>
      </w:r>
    </w:p>
    <w:p>
      <w:pPr>
        <w:sectPr>
          <w:pgSz w:w="11900" w:h="16838" w:orient="portrait"/>
          <w:cols w:equalWidth="0" w:num="1">
            <w:col w:w="10240"/>
          </w:cols>
          <w:pgMar w:left="220" w:top="281" w:right="1439"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THE CHASE MANHATTAN CORPORATION AND SUBSIDIARIES</w:t>
      </w:r>
    </w:p>
    <w:p>
      <w:pPr>
        <w:jc w:val="center"/>
        <w:ind w:right="4520"/>
        <w:spacing w:after="0" w:line="237" w:lineRule="auto"/>
        <w:rPr>
          <w:sz w:val="20"/>
          <w:szCs w:val="20"/>
          <w:color w:val="auto"/>
        </w:rPr>
      </w:pPr>
      <w:r>
        <w:rPr>
          <w:rFonts w:ascii="Courier New" w:cs="Courier New" w:eastAsia="Courier New" w:hAnsi="Courier New"/>
          <w:sz w:val="15"/>
          <w:szCs w:val="15"/>
          <w:color w:val="auto"/>
        </w:rPr>
        <w:t>CONDENSED AVERAGE CONSOLIDATED BALANCE SHEET, INTEREST AND RATES</w:t>
      </w:r>
    </w:p>
    <w:p>
      <w:pPr>
        <w:jc w:val="center"/>
        <w:ind w:right="4520"/>
        <w:spacing w:after="0" w:line="238" w:lineRule="auto"/>
        <w:rPr>
          <w:sz w:val="20"/>
          <w:szCs w:val="20"/>
          <w:color w:val="auto"/>
        </w:rPr>
      </w:pPr>
      <w:r>
        <w:rPr>
          <w:rFonts w:ascii="Courier New" w:cs="Courier New" w:eastAsia="Courier New" w:hAnsi="Courier New"/>
          <w:sz w:val="15"/>
          <w:szCs w:val="15"/>
          <w:color w:val="auto"/>
        </w:rPr>
        <w:t>(TAXABLE-EQUIVALENT INTEREST AND RATES;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1260" w:type="dxa"/>
            <w:vAlign w:val="bottom"/>
          </w:tcPr>
          <w:p>
            <w:pPr>
              <w:spacing w:after="0"/>
              <w:rPr>
                <w:sz w:val="14"/>
                <w:szCs w:val="14"/>
                <w:color w:val="auto"/>
              </w:rPr>
            </w:pPr>
          </w:p>
        </w:tc>
        <w:tc>
          <w:tcPr>
            <w:tcW w:w="2540" w:type="dxa"/>
            <w:vAlign w:val="bottom"/>
            <w:gridSpan w:val="3"/>
          </w:tcPr>
          <w:p>
            <w:pPr>
              <w:ind w:left="920"/>
              <w:spacing w:after="0"/>
              <w:rPr>
                <w:sz w:val="20"/>
                <w:szCs w:val="20"/>
                <w:color w:val="auto"/>
              </w:rPr>
            </w:pPr>
            <w:r>
              <w:rPr>
                <w:rFonts w:ascii="Courier New" w:cs="Courier New" w:eastAsia="Courier New" w:hAnsi="Courier New"/>
                <w:sz w:val="15"/>
                <w:szCs w:val="15"/>
                <w:color w:val="auto"/>
                <w:w w:val="98"/>
              </w:rPr>
              <w:t>THREE MONTHS ENDED</w:t>
            </w:r>
          </w:p>
        </w:tc>
        <w:tc>
          <w:tcPr>
            <w:tcW w:w="82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DECEMBER 31, 1997</w:t>
            </w:r>
          </w:p>
        </w:tc>
        <w:tc>
          <w:tcPr>
            <w:tcW w:w="1260" w:type="dxa"/>
            <w:vAlign w:val="bottom"/>
          </w:tcPr>
          <w:p>
            <w:pPr>
              <w:spacing w:after="0"/>
              <w:rPr>
                <w:sz w:val="14"/>
                <w:szCs w:val="14"/>
                <w:color w:val="auto"/>
              </w:rPr>
            </w:pPr>
          </w:p>
        </w:tc>
        <w:tc>
          <w:tcPr>
            <w:tcW w:w="2540" w:type="dxa"/>
            <w:vAlign w:val="bottom"/>
            <w:gridSpan w:val="3"/>
          </w:tcPr>
          <w:p>
            <w:pPr>
              <w:ind w:left="920"/>
              <w:spacing w:after="0" w:line="168" w:lineRule="exact"/>
              <w:rPr>
                <w:sz w:val="20"/>
                <w:szCs w:val="20"/>
                <w:color w:val="auto"/>
              </w:rPr>
            </w:pPr>
            <w:r>
              <w:rPr>
                <w:rFonts w:ascii="Courier New" w:cs="Courier New" w:eastAsia="Courier New" w:hAnsi="Courier New"/>
                <w:sz w:val="15"/>
                <w:szCs w:val="15"/>
                <w:color w:val="auto"/>
              </w:rPr>
              <w:t>DECEMBER 31, 1996</w:t>
            </w:r>
          </w:p>
        </w:tc>
        <w:tc>
          <w:tcPr>
            <w:tcW w:w="82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AVERAGE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RATE</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AVERAGE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BALANCE</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INTEREST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(ANNUALIZED)</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BALANCE</w:t>
            </w:r>
          </w:p>
        </w:tc>
        <w:tc>
          <w:tcPr>
            <w:tcW w:w="204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w w:val="95"/>
              </w:rPr>
              <w:t>INTEREST (ANNUALIZED)</w:t>
            </w:r>
          </w:p>
        </w:tc>
      </w:tr>
      <w:tr>
        <w:trPr>
          <w:trHeight w:val="168"/>
        </w:trPr>
        <w:tc>
          <w:tcPr>
            <w:tcW w:w="414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1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 Interest-Earning Assets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82,894</w:t>
            </w:r>
          </w:p>
        </w:tc>
        <w:tc>
          <w:tcPr>
            <w:tcW w:w="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1,592</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71,724</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51,130</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47,103</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168,804</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3,362</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149,665</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3,053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8.11%</w:t>
            </w:r>
          </w:p>
        </w:tc>
      </w:tr>
      <w:tr>
        <w:trPr>
          <w:trHeight w:val="168"/>
        </w:trPr>
        <w:tc>
          <w:tcPr>
            <w:tcW w:w="414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Interest-Earning Assets</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302,828</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5,809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268,492</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5,107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Noninterest-Earning Assets</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73,628</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62,924</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Total Assets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376,456</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$ 331,416</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1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Interest-Bearing Deposits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142,326</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1,764</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$ 130,453</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Short-Term and Other Borrowings</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99,709</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82,024</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1,304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15,131</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12,901</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w:t>
            </w:r>
          </w:p>
        </w:tc>
      </w:tr>
      <w:tr>
        <w:trPr>
          <w:trHeight w:val="168"/>
        </w:trPr>
        <w:tc>
          <w:tcPr>
            <w:tcW w:w="414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Interest-Bearing Liabilities</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257,166</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3,724</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225,378</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3,057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w:t>
            </w:r>
          </w:p>
        </w:tc>
      </w:tr>
      <w:tr>
        <w:trPr>
          <w:trHeight w:val="168"/>
        </w:trPr>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Noninterest-Bearing Deposits</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44,338</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40,787</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Noninterest-Bearing Liabilities</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53,106</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43,479</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354,610</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309,644</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OF SUBSIDIARY</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550</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1,740</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2,650</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Stockholders' Equity</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19,556</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18,572</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21,296</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21,222</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9"/>
              </w:rPr>
              <w:t>Total Liabilities and Stockholders' Equity</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$ 376,456</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$ 331,416</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INTEREST RATE SPREAD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r>
        <w:trPr>
          <w:trHeight w:val="168"/>
        </w:trPr>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AND NET YIELD</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ON INTEREST-EARNING ASSETS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w:t>
            </w:r>
          </w:p>
        </w:tc>
        <w:tc>
          <w:tcPr>
            <w:tcW w:w="1320" w:type="dxa"/>
            <w:vAlign w:val="bottom"/>
          </w:tcPr>
          <w:p>
            <w:pPr>
              <w:spacing w:after="0"/>
              <w:rPr>
                <w:sz w:val="14"/>
                <w:szCs w:val="14"/>
                <w:color w:val="auto"/>
              </w:rPr>
            </w:pP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2,050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INTEREST INCOME AND NET YIELD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ON INTEREST-EARNING ASSETS -</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MANAGED BASIS  (a)</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w:t>
            </w:r>
          </w:p>
        </w:tc>
        <w:tc>
          <w:tcPr>
            <w:tcW w:w="1320" w:type="dxa"/>
            <w:vAlign w:val="bottom"/>
          </w:tcPr>
          <w:p>
            <w:pPr>
              <w:spacing w:after="0"/>
              <w:rPr>
                <w:sz w:val="14"/>
                <w:szCs w:val="14"/>
                <w:color w:val="auto"/>
              </w:rPr>
            </w:pP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2,325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FOR THE YEAR ENDED</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FOR THE YEAR ENDED</w:t>
            </w:r>
          </w:p>
        </w:tc>
        <w:tc>
          <w:tcPr>
            <w:tcW w:w="64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DECEMBER 31, 1997</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 1996</w:t>
            </w:r>
          </w:p>
        </w:tc>
        <w:tc>
          <w:tcPr>
            <w:tcW w:w="64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AVERAGE</w:t>
            </w:r>
          </w:p>
        </w:tc>
        <w:tc>
          <w:tcPr>
            <w:tcW w:w="1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BALANCE</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INTEREST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RATE</w:t>
            </w:r>
          </w:p>
        </w:tc>
        <w:tc>
          <w:tcPr>
            <w:tcW w:w="2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BALANCE</w:t>
            </w:r>
          </w:p>
        </w:tc>
        <w:tc>
          <w:tcPr>
            <w:tcW w:w="18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INTEREST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 Interest-Earning Assets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80,600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5,903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67,239</w:t>
            </w: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  4,569</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7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46,043</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3,045</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6.61%</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43,712</w:t>
            </w: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2,882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6.59%</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7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159,932</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12,833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8.02%</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149,996</w:t>
            </w: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12,373</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8.25%</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Interest-Earning Assets</w:t>
            </w:r>
          </w:p>
        </w:tc>
        <w:tc>
          <w:tcPr>
            <w:tcW w:w="7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286,575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21,781</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7.60%</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260,947</w:t>
            </w: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19,824</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Noninterest-Earning Assets</w:t>
            </w:r>
          </w:p>
        </w:tc>
        <w:tc>
          <w:tcPr>
            <w:tcW w:w="7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69,771</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60,293</w:t>
            </w:r>
          </w:p>
        </w:tc>
        <w:tc>
          <w:tcPr>
            <w:tcW w:w="1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Assets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356,346</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321,240</w:t>
            </w:r>
          </w:p>
        </w:tc>
        <w:tc>
          <w:tcPr>
            <w:tcW w:w="1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Interest-Bearing Deposits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137,095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6,561</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4.79%</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130,022</w:t>
            </w: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6,038</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Short-Term and Other Borrowings</w:t>
            </w:r>
          </w:p>
        </w:tc>
        <w:tc>
          <w:tcPr>
            <w:tcW w:w="7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91,735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5,903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6.43%</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76,549</w:t>
            </w: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4,630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7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14,315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1,134</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7.92%</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12,811</w:t>
            </w: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901</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w:t>
            </w:r>
          </w:p>
        </w:tc>
      </w:tr>
    </w:tbl>
    <w:p>
      <w:pPr>
        <w:sectPr>
          <w:pgSz w:w="11900" w:h="16838" w:orient="portrait"/>
          <w:cols w:equalWidth="0" w:num="1">
            <w:col w:w="11540"/>
          </w:cols>
          <w:pgMar w:left="220" w:top="281" w:right="1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Interest-Bearing Liabilities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243,145</w:t>
            </w:r>
          </w:p>
        </w:tc>
        <w:tc>
          <w:tcPr>
            <w:tcW w:w="30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13,598</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5.59%</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219,382</w:t>
            </w:r>
          </w:p>
        </w:tc>
        <w:tc>
          <w:tcPr>
            <w:tcW w:w="30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11,569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w:t>
            </w:r>
          </w:p>
        </w:tc>
      </w:tr>
      <w:tr>
        <w:trPr>
          <w:trHeight w:val="168"/>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Noninterest-Bearing Deposits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42,067</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39,562</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Noninterest-Bearing Liabilities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49,544</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41,523</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334,756</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300,467</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OF SUBSIDIARY</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550</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2,212</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2,650</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Stockholders' Equity</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18,828</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17,965</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21,040</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20,615</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356,346</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321,240</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INTEREST RATE SPREAD</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2.01%</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r>
      <w:tr>
        <w:trPr>
          <w:trHeight w:val="168"/>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AND NET YIELD</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ON INTEREST-EARNING ASSETS</w:t>
            </w:r>
          </w:p>
        </w:tc>
        <w:tc>
          <w:tcPr>
            <w:tcW w:w="132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8,183</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2.86%</w:t>
            </w:r>
          </w:p>
        </w:tc>
        <w:tc>
          <w:tcPr>
            <w:tcW w:w="12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8,255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3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AND NET YIELD</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ON INTEREST-EARNING ASSETS -</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MANAGED BASIS  (a)</w:t>
            </w:r>
          </w:p>
        </w:tc>
        <w:tc>
          <w:tcPr>
            <w:tcW w:w="132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9,436</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3.13%</w:t>
            </w:r>
          </w:p>
        </w:tc>
        <w:tc>
          <w:tcPr>
            <w:tcW w:w="12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9,169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w:t>
            </w:r>
          </w:p>
        </w:tc>
      </w:tr>
      <w:tr>
        <w:trPr>
          <w:trHeight w:val="168"/>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3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(a)</w:t>
        <w:tab/>
        <w:t>Excludes the impact of the</w:t>
      </w:r>
    </w:p>
    <w:p>
      <w:pPr>
        <w:ind w:left="440"/>
        <w:spacing w:after="0" w:line="237" w:lineRule="auto"/>
        <w:rPr>
          <w:sz w:val="20"/>
          <w:szCs w:val="20"/>
          <w:color w:val="auto"/>
        </w:rPr>
      </w:pPr>
      <w:r>
        <w:rPr>
          <w:rFonts w:ascii="Courier New" w:cs="Courier New" w:eastAsia="Courier New" w:hAnsi="Courier New"/>
          <w:sz w:val="15"/>
          <w:szCs w:val="15"/>
          <w:color w:val="auto"/>
        </w:rPr>
        <w:t>credit card securitizations.</w:t>
      </w:r>
    </w:p>
    <w:p>
      <w:pPr>
        <w:sectPr>
          <w:pgSz w:w="11900" w:h="16838" w:orient="portrait"/>
          <w:cols w:equalWidth="0" w:num="1">
            <w:col w:w="11540"/>
          </w:cols>
          <w:pgMar w:left="220" w:top="135" w:right="139"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16</w:t>
      </w:r>
    </w:p>
    <w:p>
      <w:pPr>
        <w:jc w:val="center"/>
        <w:ind w:right="324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THE CHASE MANHATTAN CORPORATION and Subsidiaries</w:t>
      </w:r>
    </w:p>
    <w:p>
      <w:pPr>
        <w:jc w:val="center"/>
        <w:ind w:right="3240"/>
        <w:spacing w:after="0" w:line="237" w:lineRule="auto"/>
        <w:rPr>
          <w:sz w:val="20"/>
          <w:szCs w:val="20"/>
          <w:color w:val="auto"/>
        </w:rPr>
      </w:pPr>
      <w:r>
        <w:rPr>
          <w:rFonts w:ascii="Courier New" w:cs="Courier New" w:eastAsia="Courier New" w:hAnsi="Courier New"/>
          <w:sz w:val="15"/>
          <w:szCs w:val="15"/>
          <w:color w:val="auto"/>
        </w:rPr>
        <w:t>Lines of Business Results</w:t>
      </w:r>
    </w:p>
    <w:tbl>
      <w:tblPr>
        <w:tblLayout w:type="fixed"/>
        <w:tblInd w:w="0" w:type="dxa"/>
        <w:tblCellMar>
          <w:top w:w="0" w:type="dxa"/>
          <w:left w:w="0" w:type="dxa"/>
          <w:bottom w:w="0" w:type="dxa"/>
          <w:right w:w="0" w:type="dxa"/>
        </w:tblCellMar>
      </w:tblPr>
      <w:tr>
        <w:trPr>
          <w:trHeight w:val="169"/>
        </w:trPr>
        <w:tc>
          <w:tcPr>
            <w:tcW w:w="4820" w:type="dxa"/>
            <w:vAlign w:val="bottom"/>
            <w:gridSpan w:val="6"/>
          </w:tcPr>
          <w:p>
            <w:pPr>
              <w:jc w:val="center"/>
              <w:ind w:left="2127"/>
              <w:spacing w:after="0" w:line="169" w:lineRule="exact"/>
              <w:rPr>
                <w:sz w:val="20"/>
                <w:szCs w:val="20"/>
                <w:color w:val="auto"/>
              </w:rPr>
            </w:pPr>
            <w:r>
              <w:rPr>
                <w:rFonts w:ascii="Courier New" w:cs="Courier New" w:eastAsia="Courier New" w:hAnsi="Courier New"/>
                <w:sz w:val="15"/>
                <w:szCs w:val="15"/>
                <w:color w:val="auto"/>
                <w:w w:val="97"/>
              </w:rPr>
              <w:t>(in millions, except ratios)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5"/>
          </w:tcPr>
          <w:p>
            <w:pPr>
              <w:jc w:val="right"/>
              <w:ind w:right="247"/>
              <w:spacing w:after="0"/>
              <w:rPr>
                <w:sz w:val="20"/>
                <w:szCs w:val="20"/>
                <w:color w:val="auto"/>
              </w:rPr>
            </w:pPr>
            <w:r>
              <w:rPr>
                <w:rFonts w:ascii="Courier New" w:cs="Courier New" w:eastAsia="Courier New" w:hAnsi="Courier New"/>
                <w:sz w:val="15"/>
                <w:szCs w:val="15"/>
                <w:color w:val="auto"/>
                <w:w w:val="95"/>
              </w:rPr>
              <w:t>National Consumer</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140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rPr>
              <w:t>Global Bank</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Services (a)</w:t>
            </w:r>
          </w:p>
        </w:tc>
        <w:tc>
          <w:tcPr>
            <w:tcW w:w="400" w:type="dxa"/>
            <w:vAlign w:val="bottom"/>
          </w:tcPr>
          <w:p>
            <w:pPr>
              <w:spacing w:after="0"/>
              <w:rPr>
                <w:sz w:val="14"/>
                <w:szCs w:val="14"/>
                <w:color w:val="auto"/>
              </w:rPr>
            </w:pPr>
          </w:p>
        </w:tc>
        <w:tc>
          <w:tcPr>
            <w:tcW w:w="19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Global Services (a)</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(b)</w:t>
            </w:r>
          </w:p>
        </w:tc>
      </w:tr>
      <w:tr>
        <w:trPr>
          <w:trHeight w:val="168"/>
        </w:trPr>
        <w:tc>
          <w:tcPr>
            <w:tcW w:w="26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40" w:type="dxa"/>
            <w:vAlign w:val="bottom"/>
            <w:gridSpan w:val="6"/>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December 31,</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1996</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1996</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6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Managed Revenues</w:t>
            </w:r>
          </w:p>
        </w:tc>
        <w:tc>
          <w:tcPr>
            <w:tcW w:w="44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88"/>
              </w:rPr>
              <w:t>1,799</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1,858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1,927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1,715</w:t>
            </w: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613</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  4,288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  4,097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Net Income</w:t>
            </w:r>
          </w:p>
        </w:tc>
        <w:tc>
          <w:tcPr>
            <w:tcW w:w="4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w:t>
            </w:r>
          </w:p>
        </w:tc>
        <w:tc>
          <w:tcPr>
            <w:tcW w:w="4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274</w:t>
            </w:r>
          </w:p>
        </w:tc>
        <w:tc>
          <w:tcPr>
            <w:tcW w:w="180" w:type="dxa"/>
            <w:vAlign w:val="bottom"/>
          </w:tcPr>
          <w:p>
            <w:pPr>
              <w:spacing w:after="0"/>
              <w:rPr>
                <w:sz w:val="14"/>
                <w:szCs w:val="14"/>
                <w:color w:val="auto"/>
              </w:rPr>
            </w:pPr>
          </w:p>
        </w:tc>
        <w:tc>
          <w:tcPr>
            <w:tcW w:w="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222</w:t>
            </w:r>
          </w:p>
        </w:tc>
        <w:tc>
          <w:tcPr>
            <w:tcW w:w="38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901</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Average Common Equity</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11,020</w:t>
            </w: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10,508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4,962</w:t>
            </w:r>
          </w:p>
        </w:tc>
        <w:tc>
          <w:tcPr>
            <w:tcW w:w="180" w:type="dxa"/>
            <w:vAlign w:val="bottom"/>
          </w:tcPr>
          <w:p>
            <w:pPr>
              <w:spacing w:after="0"/>
              <w:rPr>
                <w:sz w:val="24"/>
                <w:szCs w:val="2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4,485</w:t>
            </w:r>
          </w:p>
        </w:tc>
        <w:tc>
          <w:tcPr>
            <w:tcW w:w="3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987</w:t>
            </w:r>
          </w:p>
        </w:tc>
        <w:tc>
          <w:tcPr>
            <w:tcW w:w="44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19,556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18,572</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Assets</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269,030</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236,326</w:t>
            </w:r>
          </w:p>
        </w:tc>
        <w:tc>
          <w:tcPr>
            <w:tcW w:w="340" w:type="dxa"/>
            <w:vAlign w:val="bottom"/>
          </w:tcPr>
          <w:p>
            <w:pPr>
              <w:spacing w:after="0"/>
              <w:rPr>
                <w:sz w:val="14"/>
                <w:szCs w:val="14"/>
                <w:color w:val="auto"/>
              </w:rPr>
            </w:pPr>
          </w:p>
        </w:tc>
        <w:tc>
          <w:tcPr>
            <w:tcW w:w="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105,825</w:t>
            </w:r>
          </w:p>
        </w:tc>
        <w:tc>
          <w:tcPr>
            <w:tcW w:w="180" w:type="dxa"/>
            <w:vAlign w:val="bottom"/>
          </w:tcPr>
          <w:p>
            <w:pPr>
              <w:spacing w:after="0"/>
              <w:rPr>
                <w:sz w:val="14"/>
                <w:szCs w:val="14"/>
                <w:color w:val="auto"/>
              </w:rPr>
            </w:pPr>
          </w:p>
        </w:tc>
        <w:tc>
          <w:tcPr>
            <w:tcW w:w="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93,194</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12,976</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11,505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376,456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331,416</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w w:val="97"/>
              </w:rPr>
              <w:t>Return on Common Equity (ROCE)</w:t>
            </w:r>
          </w:p>
        </w:tc>
        <w:tc>
          <w:tcPr>
            <w:tcW w:w="440" w:type="dxa"/>
            <w:vAlign w:val="bottom"/>
          </w:tcPr>
          <w:p>
            <w:pPr>
              <w:spacing w:after="0"/>
              <w:rPr>
                <w:sz w:val="24"/>
                <w:szCs w:val="24"/>
                <w:color w:val="auto"/>
              </w:rPr>
            </w:pPr>
          </w:p>
        </w:tc>
        <w:tc>
          <w:tcPr>
            <w:tcW w:w="8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14.9%</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17.2%</w:t>
            </w:r>
          </w:p>
        </w:tc>
        <w:tc>
          <w:tcPr>
            <w:tcW w:w="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w:t>
            </w:r>
          </w:p>
        </w:tc>
        <w:tc>
          <w:tcPr>
            <w:tcW w:w="180" w:type="dxa"/>
            <w:vAlign w:val="bottom"/>
          </w:tcPr>
          <w:p>
            <w:pPr>
              <w:spacing w:after="0"/>
              <w:rPr>
                <w:sz w:val="24"/>
                <w:szCs w:val="24"/>
                <w:color w:val="auto"/>
              </w:rPr>
            </w:pP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18.5%</w:t>
            </w:r>
          </w:p>
        </w:tc>
        <w:tc>
          <w:tcPr>
            <w:tcW w:w="380" w:type="dxa"/>
            <w:vAlign w:val="bottom"/>
          </w:tcPr>
          <w:p>
            <w:pPr>
              <w:spacing w:after="0"/>
              <w:rPr>
                <w:sz w:val="24"/>
                <w:szCs w:val="24"/>
                <w:color w:val="auto"/>
              </w:rPr>
            </w:pPr>
          </w:p>
        </w:tc>
        <w:tc>
          <w:tcPr>
            <w:tcW w:w="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3"/>
              </w:rPr>
              <w:t>41.2%</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24.6%</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Efficiency Ratio (Managed)</w:t>
            </w:r>
          </w:p>
        </w:tc>
        <w:tc>
          <w:tcPr>
            <w:tcW w:w="440" w:type="dxa"/>
            <w:vAlign w:val="bottom"/>
          </w:tcPr>
          <w:p>
            <w:pPr>
              <w:spacing w:after="0"/>
              <w:rPr>
                <w:sz w:val="14"/>
                <w:szCs w:val="14"/>
                <w:color w:val="auto"/>
              </w:rPr>
            </w:pPr>
          </w:p>
        </w:tc>
        <w:tc>
          <w:tcPr>
            <w:tcW w:w="8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55%</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58%</w:t>
            </w:r>
          </w:p>
        </w:tc>
        <w:tc>
          <w:tcPr>
            <w:tcW w:w="380" w:type="dxa"/>
            <w:vAlign w:val="bottom"/>
          </w:tcPr>
          <w:p>
            <w:pPr>
              <w:spacing w:after="0"/>
              <w:rPr>
                <w:sz w:val="14"/>
                <w:szCs w:val="14"/>
                <w:color w:val="auto"/>
              </w:rPr>
            </w:pPr>
          </w:p>
        </w:tc>
        <w:tc>
          <w:tcPr>
            <w:tcW w:w="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74%</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505"/>
        </w:trPr>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4"/>
              </w:rPr>
              <w:t>GLOBAL BANK</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480" w:type="dxa"/>
            <w:vAlign w:val="bottom"/>
            <w:gridSpan w:val="5"/>
          </w:tcPr>
          <w:p>
            <w:pPr>
              <w:jc w:val="center"/>
              <w:ind w:left="2467"/>
              <w:spacing w:after="0" w:line="168" w:lineRule="exact"/>
              <w:rPr>
                <w:sz w:val="20"/>
                <w:szCs w:val="20"/>
                <w:color w:val="auto"/>
              </w:rPr>
            </w:pPr>
            <w:r>
              <w:rPr>
                <w:rFonts w:ascii="Courier New" w:cs="Courier New" w:eastAsia="Courier New" w:hAnsi="Courier New"/>
                <w:sz w:val="15"/>
                <w:szCs w:val="15"/>
                <w:color w:val="auto"/>
                <w:w w:val="97"/>
              </w:rPr>
              <w:t>KEY FINANCIAL MEASURES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264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6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1996</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6860" w:type="dxa"/>
            <w:vAlign w:val="bottom"/>
            <w:gridSpan w:val="15"/>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 ------------------------------------</w:t>
            </w:r>
          </w:p>
        </w:tc>
        <w:tc>
          <w:tcPr>
            <w:tcW w:w="8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Net</w:t>
            </w:r>
          </w:p>
        </w:tc>
        <w:tc>
          <w:tcPr>
            <w:tcW w:w="540" w:type="dxa"/>
            <w:vAlign w:val="bottom"/>
          </w:tcPr>
          <w:p>
            <w:pPr>
              <w:spacing w:after="0"/>
              <w:rPr>
                <w:sz w:val="14"/>
                <w:szCs w:val="14"/>
                <w:color w:val="auto"/>
              </w:rPr>
            </w:pPr>
          </w:p>
        </w:tc>
        <w:tc>
          <w:tcPr>
            <w:tcW w:w="1120" w:type="dxa"/>
            <w:vAlign w:val="bottom"/>
            <w:gridSpan w:val="3"/>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Efficiency</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Efficiency</w:t>
            </w:r>
          </w:p>
        </w:tc>
        <w:tc>
          <w:tcPr>
            <w:tcW w:w="8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3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Revenue Income</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ROCE</w:t>
            </w:r>
          </w:p>
        </w:tc>
        <w:tc>
          <w:tcPr>
            <w:tcW w:w="7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Ratio</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Revenue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Income</w:t>
            </w:r>
          </w:p>
        </w:tc>
        <w:tc>
          <w:tcPr>
            <w:tcW w:w="3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ROCE</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Ratio</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3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w:t>
            </w:r>
          </w:p>
        </w:tc>
        <w:tc>
          <w:tcPr>
            <w:tcW w:w="2280" w:type="dxa"/>
            <w:vAlign w:val="bottom"/>
            <w:gridSpan w:val="6"/>
          </w:tcPr>
          <w:p>
            <w:pPr>
              <w:ind w:left="260"/>
              <w:spacing w:after="0" w:line="168" w:lineRule="exact"/>
              <w:rPr>
                <w:sz w:val="20"/>
                <w:szCs w:val="20"/>
                <w:color w:val="auto"/>
              </w:rPr>
            </w:pPr>
            <w:r>
              <w:rPr>
                <w:rFonts w:ascii="Courier New" w:cs="Courier New" w:eastAsia="Courier New" w:hAnsi="Courier New"/>
                <w:sz w:val="15"/>
                <w:szCs w:val="15"/>
                <w:color w:val="auto"/>
                <w:w w:val="96"/>
              </w:rPr>
              <w:t>---- ---------- -------</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Corporate Finance</w:t>
            </w:r>
          </w:p>
        </w:tc>
        <w:tc>
          <w:tcPr>
            <w:tcW w:w="440" w:type="dxa"/>
            <w:vAlign w:val="bottom"/>
          </w:tcPr>
          <w:p>
            <w:pPr>
              <w:jc w:val="right"/>
              <w:ind w:right="30"/>
              <w:spacing w:after="0"/>
              <w:rPr>
                <w:sz w:val="20"/>
                <w:szCs w:val="20"/>
                <w:color w:val="auto"/>
              </w:rPr>
            </w:pPr>
            <w:r>
              <w:rPr>
                <w:rFonts w:ascii="Courier New" w:cs="Courier New" w:eastAsia="Courier New" w:hAnsi="Courier New"/>
                <w:sz w:val="15"/>
                <w:szCs w:val="15"/>
                <w:color w:val="auto"/>
                <w:w w:val="88"/>
              </w:rPr>
              <w:t>$335</w:t>
            </w:r>
          </w:p>
        </w:tc>
        <w:tc>
          <w:tcPr>
            <w:tcW w:w="420" w:type="dxa"/>
            <w:vAlign w:val="bottom"/>
          </w:tcPr>
          <w:p>
            <w:pPr>
              <w:spacing w:after="0"/>
              <w:rPr>
                <w:sz w:val="24"/>
                <w:szCs w:val="24"/>
                <w:color w:val="auto"/>
              </w:rPr>
            </w:pP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N/A</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N/A</w:t>
            </w:r>
          </w:p>
        </w:tc>
        <w:tc>
          <w:tcPr>
            <w:tcW w:w="80" w:type="dxa"/>
            <w:vAlign w:val="bottom"/>
          </w:tcPr>
          <w:p>
            <w:pPr>
              <w:spacing w:after="0"/>
              <w:rPr>
                <w:sz w:val="24"/>
                <w:szCs w:val="2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N/A</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167</w:t>
            </w:r>
          </w:p>
        </w:tc>
        <w:tc>
          <w:tcPr>
            <w:tcW w:w="40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rPr>
              <w:t>N/A</w:t>
            </w:r>
          </w:p>
        </w:tc>
        <w:tc>
          <w:tcPr>
            <w:tcW w:w="360" w:type="dxa"/>
            <w:vAlign w:val="bottom"/>
          </w:tcPr>
          <w:p>
            <w:pPr>
              <w:spacing w:after="0"/>
              <w:rPr>
                <w:sz w:val="24"/>
                <w:szCs w:val="2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N/A</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Lending</w:t>
            </w:r>
          </w:p>
        </w:tc>
        <w:tc>
          <w:tcPr>
            <w:tcW w:w="440" w:type="dxa"/>
            <w:vAlign w:val="bottom"/>
          </w:tcPr>
          <w:p>
            <w:pPr>
              <w:jc w:val="right"/>
              <w:ind w:right="30"/>
              <w:spacing w:after="0" w:line="168" w:lineRule="exact"/>
              <w:rPr>
                <w:sz w:val="20"/>
                <w:szCs w:val="20"/>
                <w:color w:val="auto"/>
              </w:rPr>
            </w:pPr>
            <w:r>
              <w:rPr>
                <w:rFonts w:ascii="Courier New" w:cs="Courier New" w:eastAsia="Courier New" w:hAnsi="Courier New"/>
                <w:sz w:val="15"/>
                <w:szCs w:val="15"/>
                <w:color w:val="auto"/>
              </w:rPr>
              <w:t>365</w:t>
            </w:r>
          </w:p>
        </w:tc>
        <w:tc>
          <w:tcPr>
            <w:tcW w:w="42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N/A</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N/A</w:t>
            </w:r>
          </w:p>
        </w:tc>
        <w:tc>
          <w:tcPr>
            <w:tcW w:w="18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402</w:t>
            </w:r>
          </w:p>
        </w:tc>
        <w:tc>
          <w:tcPr>
            <w:tcW w:w="400" w:type="dxa"/>
            <w:vAlign w:val="bottom"/>
          </w:tcPr>
          <w:p>
            <w:pPr>
              <w:spacing w:after="0"/>
              <w:rPr>
                <w:sz w:val="14"/>
                <w:szCs w:val="14"/>
                <w:color w:val="auto"/>
              </w:rPr>
            </w:pP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w:t>
            </w:r>
          </w:p>
        </w:tc>
        <w:tc>
          <w:tcPr>
            <w:tcW w:w="3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Global Investment Banking</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Corporate Lending</w:t>
            </w:r>
          </w:p>
        </w:tc>
        <w:tc>
          <w:tcPr>
            <w:tcW w:w="440" w:type="dxa"/>
            <w:vAlign w:val="bottom"/>
          </w:tcPr>
          <w:p>
            <w:pPr>
              <w:jc w:val="right"/>
              <w:ind w:right="30"/>
              <w:spacing w:after="0" w:line="168" w:lineRule="exact"/>
              <w:rPr>
                <w:sz w:val="20"/>
                <w:szCs w:val="20"/>
                <w:color w:val="auto"/>
              </w:rPr>
            </w:pPr>
            <w:r>
              <w:rPr>
                <w:rFonts w:ascii="Courier New" w:cs="Courier New" w:eastAsia="Courier New" w:hAnsi="Courier New"/>
                <w:sz w:val="15"/>
                <w:szCs w:val="15"/>
                <w:color w:val="auto"/>
                <w:w w:val="88"/>
              </w:rPr>
              <w:t>$700</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$ 226</w:t>
            </w:r>
          </w:p>
        </w:tc>
        <w:tc>
          <w:tcPr>
            <w:tcW w:w="8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22.1%</w:t>
            </w:r>
          </w:p>
        </w:tc>
        <w:tc>
          <w:tcPr>
            <w:tcW w:w="80" w:type="dxa"/>
            <w:vAlign w:val="bottom"/>
          </w:tcPr>
          <w:p>
            <w:pPr>
              <w:spacing w:after="0"/>
              <w:rPr>
                <w:sz w:val="14"/>
                <w:szCs w:val="14"/>
                <w:color w:val="auto"/>
              </w:rPr>
            </w:pP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39%</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569</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$ 157</w:t>
            </w:r>
          </w:p>
        </w:tc>
        <w:tc>
          <w:tcPr>
            <w:tcW w:w="3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15.8%</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Global Markets</w:t>
            </w:r>
          </w:p>
        </w:tc>
        <w:tc>
          <w:tcPr>
            <w:tcW w:w="440" w:type="dxa"/>
            <w:vAlign w:val="bottom"/>
          </w:tcPr>
          <w:p>
            <w:pPr>
              <w:jc w:val="right"/>
              <w:ind w:right="30"/>
              <w:spacing w:after="0" w:line="168" w:lineRule="exact"/>
              <w:rPr>
                <w:sz w:val="20"/>
                <w:szCs w:val="20"/>
                <w:color w:val="auto"/>
              </w:rPr>
            </w:pPr>
            <w:r>
              <w:rPr>
                <w:rFonts w:ascii="Courier New" w:cs="Courier New" w:eastAsia="Courier New" w:hAnsi="Courier New"/>
                <w:sz w:val="15"/>
                <w:szCs w:val="15"/>
                <w:color w:val="auto"/>
              </w:rPr>
              <w:t>370</w:t>
            </w:r>
          </w:p>
        </w:tc>
        <w:tc>
          <w:tcPr>
            <w:tcW w:w="42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8.6</w:t>
            </w:r>
          </w:p>
        </w:tc>
        <w:tc>
          <w:tcPr>
            <w:tcW w:w="80" w:type="dxa"/>
            <w:vAlign w:val="bottom"/>
          </w:tcPr>
          <w:p>
            <w:pPr>
              <w:spacing w:after="0"/>
              <w:rPr>
                <w:sz w:val="14"/>
                <w:szCs w:val="14"/>
                <w:color w:val="auto"/>
              </w:rPr>
            </w:pP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72</w:t>
            </w:r>
          </w:p>
        </w:tc>
        <w:tc>
          <w:tcPr>
            <w:tcW w:w="18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682</w:t>
            </w:r>
          </w:p>
        </w:tc>
        <w:tc>
          <w:tcPr>
            <w:tcW w:w="40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c>
          <w:tcPr>
            <w:tcW w:w="3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35.5</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Chase Capital Partners</w:t>
            </w:r>
          </w:p>
        </w:tc>
        <w:tc>
          <w:tcPr>
            <w:tcW w:w="440" w:type="dxa"/>
            <w:vAlign w:val="bottom"/>
          </w:tcPr>
          <w:p>
            <w:pPr>
              <w:jc w:val="right"/>
              <w:ind w:right="30"/>
              <w:spacing w:after="0" w:line="168" w:lineRule="exact"/>
              <w:rPr>
                <w:sz w:val="20"/>
                <w:szCs w:val="20"/>
                <w:color w:val="auto"/>
              </w:rPr>
            </w:pPr>
            <w:r>
              <w:rPr>
                <w:rFonts w:ascii="Courier New" w:cs="Courier New" w:eastAsia="Courier New" w:hAnsi="Courier New"/>
                <w:sz w:val="15"/>
                <w:szCs w:val="15"/>
                <w:color w:val="auto"/>
              </w:rPr>
              <w:t>207</w:t>
            </w:r>
          </w:p>
        </w:tc>
        <w:tc>
          <w:tcPr>
            <w:tcW w:w="42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117</w:t>
            </w:r>
          </w:p>
        </w:tc>
        <w:tc>
          <w:tcPr>
            <w:tcW w:w="8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29.8</w:t>
            </w:r>
          </w:p>
        </w:tc>
        <w:tc>
          <w:tcPr>
            <w:tcW w:w="80" w:type="dxa"/>
            <w:vAlign w:val="bottom"/>
          </w:tcPr>
          <w:p>
            <w:pPr>
              <w:spacing w:after="0"/>
              <w:rPr>
                <w:sz w:val="14"/>
                <w:szCs w:val="14"/>
                <w:color w:val="auto"/>
              </w:rPr>
            </w:pP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174</w:t>
            </w:r>
          </w:p>
        </w:tc>
        <w:tc>
          <w:tcPr>
            <w:tcW w:w="40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w:t>
            </w:r>
          </w:p>
        </w:tc>
        <w:tc>
          <w:tcPr>
            <w:tcW w:w="3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33.5</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Global Asset Management</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Private Banking</w:t>
            </w:r>
          </w:p>
        </w:tc>
        <w:tc>
          <w:tcPr>
            <w:tcW w:w="440" w:type="dxa"/>
            <w:vAlign w:val="bottom"/>
          </w:tcPr>
          <w:p>
            <w:pPr>
              <w:jc w:val="right"/>
              <w:ind w:right="30"/>
              <w:spacing w:after="0" w:line="168" w:lineRule="exact"/>
              <w:rPr>
                <w:sz w:val="20"/>
                <w:szCs w:val="20"/>
                <w:color w:val="auto"/>
              </w:rPr>
            </w:pPr>
            <w:r>
              <w:rPr>
                <w:rFonts w:ascii="Courier New" w:cs="Courier New" w:eastAsia="Courier New" w:hAnsi="Courier New"/>
                <w:sz w:val="15"/>
                <w:szCs w:val="15"/>
                <w:color w:val="auto"/>
              </w:rPr>
              <w:t>200</w:t>
            </w:r>
          </w:p>
        </w:tc>
        <w:tc>
          <w:tcPr>
            <w:tcW w:w="42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w:t>
            </w:r>
          </w:p>
        </w:tc>
        <w:tc>
          <w:tcPr>
            <w:tcW w:w="8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34.9</w:t>
            </w:r>
          </w:p>
        </w:tc>
        <w:tc>
          <w:tcPr>
            <w:tcW w:w="80" w:type="dxa"/>
            <w:vAlign w:val="bottom"/>
          </w:tcPr>
          <w:p>
            <w:pPr>
              <w:spacing w:after="0"/>
              <w:rPr>
                <w:sz w:val="14"/>
                <w:szCs w:val="14"/>
                <w:color w:val="auto"/>
              </w:rPr>
            </w:pP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69</w:t>
            </w:r>
          </w:p>
        </w:tc>
        <w:tc>
          <w:tcPr>
            <w:tcW w:w="18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175</w:t>
            </w:r>
          </w:p>
        </w:tc>
        <w:tc>
          <w:tcPr>
            <w:tcW w:w="40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21.7</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Middle Market</w:t>
            </w:r>
          </w:p>
        </w:tc>
        <w:tc>
          <w:tcPr>
            <w:tcW w:w="440" w:type="dxa"/>
            <w:vAlign w:val="bottom"/>
          </w:tcPr>
          <w:p>
            <w:pPr>
              <w:jc w:val="right"/>
              <w:ind w:right="30"/>
              <w:spacing w:after="0" w:line="168" w:lineRule="exact"/>
              <w:rPr>
                <w:sz w:val="20"/>
                <w:szCs w:val="20"/>
                <w:color w:val="auto"/>
              </w:rPr>
            </w:pPr>
            <w:r>
              <w:rPr>
                <w:rFonts w:ascii="Courier New" w:cs="Courier New" w:eastAsia="Courier New" w:hAnsi="Courier New"/>
                <w:sz w:val="15"/>
                <w:szCs w:val="15"/>
                <w:color w:val="auto"/>
              </w:rPr>
              <w:t>207</w:t>
            </w:r>
          </w:p>
        </w:tc>
        <w:tc>
          <w:tcPr>
            <w:tcW w:w="42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w:t>
            </w:r>
          </w:p>
        </w:tc>
        <w:tc>
          <w:tcPr>
            <w:tcW w:w="8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23.1</w:t>
            </w:r>
          </w:p>
        </w:tc>
        <w:tc>
          <w:tcPr>
            <w:tcW w:w="80" w:type="dxa"/>
            <w:vAlign w:val="bottom"/>
          </w:tcPr>
          <w:p>
            <w:pPr>
              <w:spacing w:after="0"/>
              <w:rPr>
                <w:sz w:val="14"/>
                <w:szCs w:val="14"/>
                <w:color w:val="auto"/>
              </w:rPr>
            </w:pP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51</w:t>
            </w:r>
          </w:p>
        </w:tc>
        <w:tc>
          <w:tcPr>
            <w:tcW w:w="18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206</w:t>
            </w:r>
          </w:p>
        </w:tc>
        <w:tc>
          <w:tcPr>
            <w:tcW w:w="40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w:t>
            </w:r>
          </w:p>
        </w:tc>
        <w:tc>
          <w:tcPr>
            <w:tcW w:w="3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17.8</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Chase Bank of Texas N.A</w:t>
            </w:r>
          </w:p>
        </w:tc>
        <w:tc>
          <w:tcPr>
            <w:tcW w:w="440" w:type="dxa"/>
            <w:vAlign w:val="bottom"/>
          </w:tcPr>
          <w:p>
            <w:pPr>
              <w:jc w:val="right"/>
              <w:ind w:right="30"/>
              <w:spacing w:after="0" w:line="168" w:lineRule="exact"/>
              <w:rPr>
                <w:sz w:val="20"/>
                <w:szCs w:val="20"/>
                <w:color w:val="auto"/>
              </w:rPr>
            </w:pPr>
            <w:r>
              <w:rPr>
                <w:rFonts w:ascii="Courier New" w:cs="Courier New" w:eastAsia="Courier New" w:hAnsi="Courier New"/>
                <w:sz w:val="15"/>
                <w:szCs w:val="15"/>
                <w:color w:val="auto"/>
              </w:rPr>
              <w:t>335</w:t>
            </w:r>
          </w:p>
        </w:tc>
        <w:tc>
          <w:tcPr>
            <w:tcW w:w="42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w:t>
            </w:r>
          </w:p>
        </w:tc>
        <w:tc>
          <w:tcPr>
            <w:tcW w:w="8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19.0</w:t>
            </w:r>
          </w:p>
        </w:tc>
        <w:tc>
          <w:tcPr>
            <w:tcW w:w="80" w:type="dxa"/>
            <w:vAlign w:val="bottom"/>
          </w:tcPr>
          <w:p>
            <w:pPr>
              <w:spacing w:after="0"/>
              <w:rPr>
                <w:sz w:val="14"/>
                <w:szCs w:val="14"/>
                <w:color w:val="auto"/>
              </w:rPr>
            </w:pP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63</w:t>
            </w:r>
          </w:p>
        </w:tc>
        <w:tc>
          <w:tcPr>
            <w:tcW w:w="18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305</w:t>
            </w:r>
          </w:p>
        </w:tc>
        <w:tc>
          <w:tcPr>
            <w:tcW w:w="40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c>
          <w:tcPr>
            <w:tcW w:w="3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18.2</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Terminal Businesses (c)</w:t>
            </w:r>
          </w:p>
        </w:tc>
        <w:tc>
          <w:tcPr>
            <w:tcW w:w="440" w:type="dxa"/>
            <w:vAlign w:val="bottom"/>
          </w:tcPr>
          <w:p>
            <w:pPr>
              <w:jc w:val="right"/>
              <w:ind w:right="30"/>
              <w:spacing w:after="0" w:line="168" w:lineRule="exact"/>
              <w:rPr>
                <w:sz w:val="20"/>
                <w:szCs w:val="20"/>
                <w:color w:val="auto"/>
              </w:rPr>
            </w:pPr>
            <w:r>
              <w:rPr>
                <w:rFonts w:ascii="Courier New" w:cs="Courier New" w:eastAsia="Courier New" w:hAnsi="Courier New"/>
                <w:sz w:val="15"/>
                <w:szCs w:val="15"/>
                <w:color w:val="auto"/>
              </w:rPr>
              <w:t>2</w:t>
            </w:r>
          </w:p>
        </w:tc>
        <w:tc>
          <w:tcPr>
            <w:tcW w:w="42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(13)</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NM</w:t>
            </w:r>
          </w:p>
        </w:tc>
        <w:tc>
          <w:tcPr>
            <w:tcW w:w="80" w:type="dxa"/>
            <w:vAlign w:val="bottom"/>
          </w:tcPr>
          <w:p>
            <w:pPr>
              <w:spacing w:after="0"/>
              <w:rPr>
                <w:sz w:val="14"/>
                <w:szCs w:val="14"/>
                <w:color w:val="auto"/>
              </w:rPr>
            </w:pPr>
          </w:p>
        </w:tc>
        <w:tc>
          <w:tcPr>
            <w:tcW w:w="7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NM</w:t>
            </w:r>
          </w:p>
        </w:tc>
        <w:tc>
          <w:tcPr>
            <w:tcW w:w="1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(66)</w:t>
            </w:r>
          </w:p>
        </w:tc>
        <w:tc>
          <w:tcPr>
            <w:tcW w:w="4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(60)</w:t>
            </w:r>
          </w:p>
        </w:tc>
        <w:tc>
          <w:tcPr>
            <w:tcW w:w="3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NM</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NM</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4820" w:type="dxa"/>
            <w:vAlign w:val="bottom"/>
            <w:gridSpan w:val="6"/>
          </w:tcPr>
          <w:p>
            <w:pPr>
              <w:jc w:val="center"/>
              <w:ind w:left="2127"/>
              <w:spacing w:after="0"/>
              <w:rPr>
                <w:sz w:val="20"/>
                <w:szCs w:val="20"/>
                <w:color w:val="auto"/>
              </w:rPr>
            </w:pPr>
            <w:r>
              <w:rPr>
                <w:rFonts w:ascii="Courier New" w:cs="Courier New" w:eastAsia="Courier New" w:hAnsi="Courier New"/>
                <w:sz w:val="15"/>
                <w:szCs w:val="15"/>
                <w:color w:val="auto"/>
                <w:w w:val="96"/>
              </w:rPr>
              <w:t>NATIONAL CONSUMER SERVICES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480" w:type="dxa"/>
            <w:vAlign w:val="bottom"/>
            <w:gridSpan w:val="5"/>
          </w:tcPr>
          <w:p>
            <w:pPr>
              <w:jc w:val="center"/>
              <w:ind w:left="2467"/>
              <w:spacing w:after="0" w:line="168" w:lineRule="exact"/>
              <w:rPr>
                <w:sz w:val="20"/>
                <w:szCs w:val="20"/>
                <w:color w:val="auto"/>
              </w:rPr>
            </w:pPr>
            <w:r>
              <w:rPr>
                <w:rFonts w:ascii="Courier New" w:cs="Courier New" w:eastAsia="Courier New" w:hAnsi="Courier New"/>
                <w:sz w:val="15"/>
                <w:szCs w:val="15"/>
                <w:color w:val="auto"/>
                <w:w w:val="97"/>
              </w:rPr>
              <w:t>KEY FINANCIAL MEASURES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264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6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3"/>
              </w:rPr>
              <w:t>--------------------------------------</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8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left="27"/>
              <w:spacing w:after="0" w:line="168" w:lineRule="exact"/>
              <w:rPr>
                <w:sz w:val="20"/>
                <w:szCs w:val="20"/>
                <w:color w:val="auto"/>
              </w:rPr>
            </w:pPr>
            <w:r>
              <w:rPr>
                <w:rFonts w:ascii="Courier New" w:cs="Courier New" w:eastAsia="Courier New" w:hAnsi="Courier New"/>
                <w:sz w:val="15"/>
                <w:szCs w:val="15"/>
                <w:color w:val="auto"/>
                <w:w w:val="95"/>
              </w:rPr>
              <w:t>Efficiency</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Net</w:t>
            </w:r>
          </w:p>
        </w:tc>
        <w:tc>
          <w:tcPr>
            <w:tcW w:w="7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Efficiency</w:t>
            </w:r>
          </w:p>
        </w:tc>
        <w:tc>
          <w:tcPr>
            <w:tcW w:w="8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Revenue</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ROCE</w:t>
            </w:r>
          </w:p>
        </w:tc>
        <w:tc>
          <w:tcPr>
            <w:tcW w:w="8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Ratio</w:t>
            </w:r>
          </w:p>
        </w:tc>
        <w:tc>
          <w:tcPr>
            <w:tcW w:w="440" w:type="dxa"/>
            <w:vAlign w:val="bottom"/>
          </w:tcPr>
          <w:p>
            <w:pPr>
              <w:spacing w:after="0"/>
              <w:rPr>
                <w:sz w:val="14"/>
                <w:szCs w:val="14"/>
                <w:color w:val="auto"/>
              </w:rPr>
            </w:pPr>
          </w:p>
        </w:tc>
        <w:tc>
          <w:tcPr>
            <w:tcW w:w="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Revenue</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ROCE</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Ratio</w:t>
            </w:r>
          </w:p>
        </w:tc>
        <w:tc>
          <w:tcPr>
            <w:tcW w:w="8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13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spacing w:after="0"/>
              <w:rPr>
                <w:sz w:val="14"/>
                <w:szCs w:val="1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Credit Cards (e)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$922</w:t>
            </w:r>
          </w:p>
        </w:tc>
        <w:tc>
          <w:tcPr>
            <w:tcW w:w="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5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20.4%</w:t>
            </w:r>
          </w:p>
        </w:tc>
        <w:tc>
          <w:tcPr>
            <w:tcW w:w="8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39%</w:t>
            </w:r>
          </w:p>
        </w:tc>
        <w:tc>
          <w:tcPr>
            <w:tcW w:w="4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$780</w:t>
            </w:r>
          </w:p>
        </w:tc>
        <w:tc>
          <w:tcPr>
            <w:tcW w:w="3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44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45%</w:t>
            </w:r>
          </w:p>
        </w:tc>
        <w:tc>
          <w:tcPr>
            <w:tcW w:w="84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Payments and</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Investments (a,d)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648</w:t>
            </w:r>
          </w:p>
        </w:tc>
        <w:tc>
          <w:tcPr>
            <w:tcW w:w="4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c>
          <w:tcPr>
            <w:tcW w:w="54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27.3</w:t>
            </w:r>
          </w:p>
        </w:tc>
        <w:tc>
          <w:tcPr>
            <w:tcW w:w="8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77"/>
              </w:rPr>
              <w:t>72</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w:t>
            </w:r>
          </w:p>
        </w:tc>
        <w:tc>
          <w:tcPr>
            <w:tcW w:w="38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22.9</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75</w:t>
            </w:r>
          </w:p>
        </w:tc>
        <w:tc>
          <w:tcPr>
            <w:tcW w:w="8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Banking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c>
          <w:tcPr>
            <w:tcW w:w="4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54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13.9</w:t>
            </w:r>
          </w:p>
        </w:tc>
        <w:tc>
          <w:tcPr>
            <w:tcW w:w="8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77"/>
              </w:rPr>
              <w:t>62</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w:t>
            </w:r>
          </w:p>
        </w:tc>
        <w:tc>
          <w:tcPr>
            <w:tcW w:w="38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70</w:t>
            </w:r>
          </w:p>
        </w:tc>
        <w:tc>
          <w:tcPr>
            <w:tcW w:w="8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National Consumer Finance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w:t>
            </w:r>
          </w:p>
        </w:tc>
        <w:tc>
          <w:tcPr>
            <w:tcW w:w="4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54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27.7</w:t>
            </w:r>
          </w:p>
        </w:tc>
        <w:tc>
          <w:tcPr>
            <w:tcW w:w="8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77"/>
              </w:rPr>
              <w:t>39</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w:t>
            </w:r>
          </w:p>
        </w:tc>
        <w:tc>
          <w:tcPr>
            <w:tcW w:w="38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31.1</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39</w:t>
            </w:r>
          </w:p>
        </w:tc>
        <w:tc>
          <w:tcPr>
            <w:tcW w:w="840" w:type="dxa"/>
            <w:vAlign w:val="bottom"/>
          </w:tcPr>
          <w:p>
            <w:pPr>
              <w:spacing w:after="0"/>
              <w:rPr>
                <w:sz w:val="14"/>
                <w:szCs w:val="14"/>
                <w:color w:val="auto"/>
              </w:rPr>
            </w:pPr>
          </w:p>
        </w:tc>
      </w:tr>
    </w:tbl>
    <w:p>
      <w:pPr>
        <w:spacing w:after="0" w:line="341" w:lineRule="exact"/>
        <w:rPr>
          <w:sz w:val="20"/>
          <w:szCs w:val="20"/>
          <w:color w:val="auto"/>
        </w:rPr>
      </w:pPr>
    </w:p>
    <w:p>
      <w:pPr>
        <w:ind w:left="800" w:right="3600" w:hanging="790"/>
        <w:spacing w:after="0" w:line="234"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product revenue and expenses from Chase Bank of Texas, N.A. which is eliminated at total Global Bank.</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column includes Corporate results.</w:t>
      </w:r>
    </w:p>
    <w:p>
      <w:pPr>
        <w:spacing w:after="0" w:line="172" w:lineRule="exact"/>
        <w:rPr>
          <w:rFonts w:ascii="Courier New" w:cs="Courier New" w:eastAsia="Courier New" w:hAnsi="Courier New"/>
          <w:sz w:val="15"/>
          <w:szCs w:val="15"/>
          <w:color w:val="auto"/>
        </w:rPr>
      </w:pPr>
    </w:p>
    <w:p>
      <w:pPr>
        <w:jc w:val="both"/>
        <w:ind w:left="800" w:right="3340" w:hanging="790"/>
        <w:spacing w:after="0" w:line="235"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discontinued portfolios, primarily the remaining refinancing country debt and commercial real estate problem asset and nonperforming portfolio.</w:t>
      </w:r>
    </w:p>
    <w:p>
      <w:pPr>
        <w:spacing w:after="0" w:line="173" w:lineRule="exact"/>
        <w:rPr>
          <w:rFonts w:ascii="Courier New" w:cs="Courier New" w:eastAsia="Courier New" w:hAnsi="Courier New"/>
          <w:sz w:val="15"/>
          <w:szCs w:val="15"/>
          <w:color w:val="auto"/>
        </w:rPr>
      </w:pPr>
    </w:p>
    <w:p>
      <w:pPr>
        <w:ind w:left="800" w:right="3420" w:hanging="790"/>
        <w:spacing w:after="0" w:line="235"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products managed within Retail Payments and Investments, but included for reporting purposes in Credit Cards, Mortgage Banking, and National Consumer Finance, generated revenues of $29 million and $26 million in 1997 and 1996, respectively.</w:t>
      </w:r>
    </w:p>
    <w:p>
      <w:pPr>
        <w:spacing w:after="0" w:line="168"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business results of International Consumer.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 - Not meaningful</w:t>
      </w:r>
    </w:p>
    <w:p>
      <w:pPr>
        <w:sectPr>
          <w:pgSz w:w="11900" w:h="16838" w:orient="portrait"/>
          <w:cols w:equalWidth="0" w:num="1">
            <w:col w:w="10340"/>
          </w:cols>
          <w:pgMar w:left="220" w:top="281" w:right="133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17</w:t>
      </w:r>
    </w:p>
    <w:p>
      <w:pPr>
        <w:jc w:val="center"/>
        <w:ind w:right="42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THE CHASE MANHATTAN CORPORATION and Subsidiaries</w:t>
      </w:r>
    </w:p>
    <w:p>
      <w:pPr>
        <w:jc w:val="center"/>
        <w:ind w:right="4280"/>
        <w:spacing w:after="0" w:line="237" w:lineRule="auto"/>
        <w:rPr>
          <w:sz w:val="20"/>
          <w:szCs w:val="20"/>
          <w:color w:val="auto"/>
        </w:rPr>
      </w:pPr>
      <w:r>
        <w:rPr>
          <w:rFonts w:ascii="Courier New" w:cs="Courier New" w:eastAsia="Courier New" w:hAnsi="Courier New"/>
          <w:sz w:val="15"/>
          <w:szCs w:val="15"/>
          <w:color w:val="auto"/>
        </w:rPr>
        <w:t>Lines of Business Results</w:t>
      </w:r>
    </w:p>
    <w:tbl>
      <w:tblPr>
        <w:tblLayout w:type="fixed"/>
        <w:tblInd w:w="0" w:type="dxa"/>
        <w:tblCellMar>
          <w:top w:w="0" w:type="dxa"/>
          <w:left w:w="0" w:type="dxa"/>
          <w:bottom w:w="0" w:type="dxa"/>
          <w:right w:w="0" w:type="dxa"/>
        </w:tblCellMar>
      </w:tblPr>
      <w:tr>
        <w:trPr>
          <w:trHeight w:val="169"/>
        </w:trPr>
        <w:tc>
          <w:tcPr>
            <w:tcW w:w="4740" w:type="dxa"/>
            <w:vAlign w:val="bottom"/>
            <w:gridSpan w:val="5"/>
          </w:tcPr>
          <w:p>
            <w:pPr>
              <w:jc w:val="center"/>
              <w:ind w:left="2207"/>
              <w:spacing w:after="0" w:line="169" w:lineRule="exact"/>
              <w:rPr>
                <w:sz w:val="20"/>
                <w:szCs w:val="20"/>
                <w:color w:val="auto"/>
              </w:rPr>
            </w:pPr>
            <w:r>
              <w:rPr>
                <w:rFonts w:ascii="Courier New" w:cs="Courier New" w:eastAsia="Courier New" w:hAnsi="Courier New"/>
                <w:sz w:val="15"/>
                <w:szCs w:val="15"/>
                <w:color w:val="auto"/>
                <w:w w:val="97"/>
              </w:rPr>
              <w:t>(in millions, except ratios)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2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w w:val="95"/>
              </w:rPr>
              <w:t>National Consumer</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Year Ended</w:t>
            </w:r>
          </w:p>
        </w:tc>
        <w:tc>
          <w:tcPr>
            <w:tcW w:w="2100" w:type="dxa"/>
            <w:vAlign w:val="bottom"/>
            <w:gridSpan w:val="4"/>
          </w:tcPr>
          <w:p>
            <w:pPr>
              <w:jc w:val="right"/>
              <w:ind w:right="367"/>
              <w:spacing w:after="0" w:line="168" w:lineRule="exact"/>
              <w:rPr>
                <w:sz w:val="20"/>
                <w:szCs w:val="20"/>
                <w:color w:val="auto"/>
              </w:rPr>
            </w:pPr>
            <w:r>
              <w:rPr>
                <w:rFonts w:ascii="Courier New" w:cs="Courier New" w:eastAsia="Courier New" w:hAnsi="Courier New"/>
                <w:sz w:val="15"/>
                <w:szCs w:val="15"/>
                <w:color w:val="auto"/>
              </w:rPr>
              <w:t>Global Bank</w:t>
            </w:r>
          </w:p>
        </w:tc>
        <w:tc>
          <w:tcPr>
            <w:tcW w:w="340" w:type="dxa"/>
            <w:vAlign w:val="bottom"/>
          </w:tcPr>
          <w:p>
            <w:pPr>
              <w:spacing w:after="0"/>
              <w:rPr>
                <w:sz w:val="14"/>
                <w:szCs w:val="14"/>
                <w:color w:val="auto"/>
              </w:rPr>
            </w:pPr>
          </w:p>
        </w:tc>
        <w:tc>
          <w:tcPr>
            <w:tcW w:w="18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Services (a)</w:t>
            </w:r>
          </w:p>
        </w:tc>
        <w:tc>
          <w:tcPr>
            <w:tcW w:w="300" w:type="dxa"/>
            <w:vAlign w:val="bottom"/>
          </w:tcPr>
          <w:p>
            <w:pPr>
              <w:spacing w:after="0"/>
              <w:rPr>
                <w:sz w:val="14"/>
                <w:szCs w:val="14"/>
                <w:color w:val="auto"/>
              </w:rPr>
            </w:pPr>
          </w:p>
        </w:tc>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Global Services (a)</w:t>
            </w:r>
          </w:p>
        </w:tc>
        <w:tc>
          <w:tcPr>
            <w:tcW w:w="218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Total (b)</w:t>
            </w:r>
          </w:p>
        </w:tc>
      </w:tr>
      <w:tr>
        <w:trPr>
          <w:trHeight w:val="168"/>
        </w:trPr>
        <w:tc>
          <w:tcPr>
            <w:tcW w:w="2640" w:type="dxa"/>
            <w:vAlign w:val="bottom"/>
          </w:tcPr>
          <w:p>
            <w:pPr>
              <w:spacing w:after="0"/>
              <w:rPr>
                <w:sz w:val="14"/>
                <w:szCs w:val="14"/>
                <w:color w:val="auto"/>
              </w:rPr>
            </w:pPr>
          </w:p>
        </w:tc>
        <w:tc>
          <w:tcPr>
            <w:tcW w:w="21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5"/>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6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1996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1997</w:t>
            </w:r>
          </w:p>
        </w:tc>
        <w:tc>
          <w:tcPr>
            <w:tcW w:w="1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6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Managed Revenues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8,358</w:t>
            </w:r>
          </w:p>
        </w:tc>
        <w:tc>
          <w:tcPr>
            <w:tcW w:w="80" w:type="dxa"/>
            <w:vAlign w:val="bottom"/>
          </w:tcPr>
          <w:p>
            <w:pPr>
              <w:spacing w:after="0"/>
              <w:rPr>
                <w:sz w:val="24"/>
                <w:szCs w:val="2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7,877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7,341</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6,650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2,308</w:t>
            </w:r>
          </w:p>
        </w:tc>
        <w:tc>
          <w:tcPr>
            <w:tcW w:w="260" w:type="dxa"/>
            <w:vAlign w:val="bottom"/>
          </w:tcPr>
          <w:p>
            <w:pPr>
              <w:jc w:val="right"/>
              <w:ind w:right="88"/>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2,071</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$ 17,674</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$ 16,428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Net Income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2,219</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1,039</w:t>
            </w:r>
          </w:p>
        </w:tc>
        <w:tc>
          <w:tcPr>
            <w:tcW w:w="36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395</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3,849</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3,516</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Average Common Equity</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10,592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10,511</w:t>
            </w:r>
          </w:p>
        </w:tc>
        <w:tc>
          <w:tcPr>
            <w:tcW w:w="34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4,761</w:t>
            </w:r>
          </w:p>
        </w:tc>
        <w:tc>
          <w:tcPr>
            <w:tcW w:w="36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4,461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1,049</w:t>
            </w:r>
          </w:p>
        </w:tc>
        <w:tc>
          <w:tcPr>
            <w:tcW w:w="26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1,105</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18,828</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17,965</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Assets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256,095</w:t>
            </w:r>
          </w:p>
        </w:tc>
        <w:tc>
          <w:tcPr>
            <w:tcW w:w="8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230,397</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100,308</w:t>
            </w:r>
          </w:p>
        </w:tc>
        <w:tc>
          <w:tcPr>
            <w:tcW w:w="36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91,417</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11,889</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9,620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356,346</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321,240</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w w:val="97"/>
              </w:rPr>
              <w:t>Return on Common Equity (ROCE)</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22.4%</w:t>
            </w: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c>
          <w:tcPr>
            <w:tcW w:w="3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w:t>
            </w:r>
          </w:p>
        </w:tc>
        <w:tc>
          <w:tcPr>
            <w:tcW w:w="26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Efficiency Ratio (Managed)</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3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w:t>
            </w:r>
          </w:p>
        </w:tc>
      </w:tr>
      <w:tr>
        <w:trPr>
          <w:trHeight w:val="505"/>
        </w:trPr>
        <w:tc>
          <w:tcPr>
            <w:tcW w:w="2640" w:type="dxa"/>
            <w:vAlign w:val="bottom"/>
          </w:tcPr>
          <w:p>
            <w:pPr>
              <w:spacing w:after="0"/>
              <w:rPr>
                <w:sz w:val="24"/>
                <w:szCs w:val="24"/>
                <w:color w:val="auto"/>
              </w:rPr>
            </w:pPr>
          </w:p>
        </w:tc>
        <w:tc>
          <w:tcPr>
            <w:tcW w:w="14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GLOBAL BANK</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740" w:type="dxa"/>
            <w:vAlign w:val="bottom"/>
            <w:gridSpan w:val="5"/>
          </w:tcPr>
          <w:p>
            <w:pPr>
              <w:jc w:val="center"/>
              <w:ind w:left="2207"/>
              <w:spacing w:after="0" w:line="168" w:lineRule="exact"/>
              <w:rPr>
                <w:sz w:val="20"/>
                <w:szCs w:val="20"/>
                <w:color w:val="auto"/>
              </w:rPr>
            </w:pPr>
            <w:r>
              <w:rPr>
                <w:rFonts w:ascii="Courier New" w:cs="Courier New" w:eastAsia="Courier New" w:hAnsi="Courier New"/>
                <w:sz w:val="15"/>
                <w:szCs w:val="15"/>
                <w:color w:val="auto"/>
                <w:w w:val="97"/>
              </w:rPr>
              <w:t>KEY FINANCIAL MEASURES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264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6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1997</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4240" w:type="dxa"/>
            <w:vAlign w:val="bottom"/>
            <w:gridSpan w:val="8"/>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420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Efficiency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Net</w:t>
            </w:r>
          </w:p>
        </w:tc>
        <w:tc>
          <w:tcPr>
            <w:tcW w:w="10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Efficiency</w:t>
            </w:r>
          </w:p>
        </w:tc>
      </w:tr>
      <w:tr>
        <w:trPr>
          <w:trHeight w:val="168"/>
        </w:trPr>
        <w:tc>
          <w:tcPr>
            <w:tcW w:w="26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Revenue</w:t>
            </w:r>
          </w:p>
        </w:tc>
        <w:tc>
          <w:tcPr>
            <w:tcW w:w="80" w:type="dxa"/>
            <w:vAlign w:val="bottom"/>
          </w:tcPr>
          <w:p>
            <w:pPr>
              <w:spacing w:after="0"/>
              <w:rPr>
                <w:sz w:val="14"/>
                <w:szCs w:val="14"/>
                <w:color w:val="auto"/>
              </w:rPr>
            </w:pP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Income</w:t>
            </w:r>
          </w:p>
        </w:tc>
        <w:tc>
          <w:tcPr>
            <w:tcW w:w="11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ROCE</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Ratio</w:t>
            </w:r>
          </w:p>
        </w:tc>
        <w:tc>
          <w:tcPr>
            <w:tcW w:w="300" w:type="dxa"/>
            <w:vAlign w:val="bottom"/>
          </w:tcPr>
          <w:p>
            <w:pPr>
              <w:spacing w:after="0"/>
              <w:rPr>
                <w:sz w:val="14"/>
                <w:szCs w:val="14"/>
                <w:color w:val="auto"/>
              </w:rPr>
            </w:pP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ROCE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Ratio</w:t>
            </w:r>
          </w:p>
        </w:tc>
      </w:tr>
      <w:tr>
        <w:trPr>
          <w:trHeight w:val="168"/>
        </w:trPr>
        <w:tc>
          <w:tcPr>
            <w:tcW w:w="26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Corporate Finance</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$ 1,020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N/A</w:t>
            </w:r>
          </w:p>
        </w:tc>
        <w:tc>
          <w:tcPr>
            <w:tcW w:w="36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N/A</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834</w:t>
            </w:r>
          </w:p>
        </w:tc>
        <w:tc>
          <w:tcPr>
            <w:tcW w:w="26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Lending</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N/A</w:t>
            </w:r>
          </w:p>
        </w:tc>
        <w:tc>
          <w:tcPr>
            <w:tcW w:w="3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N/A</w:t>
            </w:r>
          </w:p>
        </w:tc>
        <w:tc>
          <w:tcPr>
            <w:tcW w:w="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1,608</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Global Investment Banking</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Corporate Lending</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$ 2,485</w:t>
            </w:r>
          </w:p>
        </w:tc>
        <w:tc>
          <w:tcPr>
            <w:tcW w:w="8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741</w:t>
            </w:r>
          </w:p>
        </w:tc>
        <w:tc>
          <w:tcPr>
            <w:tcW w:w="3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w:t>
            </w:r>
          </w:p>
        </w:tc>
        <w:tc>
          <w:tcPr>
            <w:tcW w:w="36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w:t>
            </w:r>
          </w:p>
        </w:tc>
        <w:tc>
          <w:tcPr>
            <w:tcW w:w="300" w:type="dxa"/>
            <w:vAlign w:val="bottom"/>
          </w:tcPr>
          <w:p>
            <w:pPr>
              <w:spacing w:after="0"/>
              <w:rPr>
                <w:sz w:val="14"/>
                <w:szCs w:val="14"/>
                <w:color w:val="auto"/>
              </w:rPr>
            </w:pP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$ 2,442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Global Markets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2,954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955</w:t>
            </w:r>
          </w:p>
        </w:tc>
        <w:tc>
          <w:tcPr>
            <w:tcW w:w="3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39.9</w:t>
            </w:r>
          </w:p>
        </w:tc>
        <w:tc>
          <w:tcPr>
            <w:tcW w:w="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2,667</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Chase Capital Partners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409</w:t>
            </w:r>
          </w:p>
        </w:tc>
        <w:tc>
          <w:tcPr>
            <w:tcW w:w="3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31.1</w:t>
            </w:r>
          </w:p>
        </w:tc>
        <w:tc>
          <w:tcPr>
            <w:tcW w:w="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703</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Global Asset Management</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Private Banking</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143</w:t>
            </w:r>
          </w:p>
        </w:tc>
        <w:tc>
          <w:tcPr>
            <w:tcW w:w="3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32.4</w:t>
            </w:r>
          </w:p>
        </w:tc>
        <w:tc>
          <w:tcPr>
            <w:tcW w:w="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674</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Middle Market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211</w:t>
            </w:r>
          </w:p>
        </w:tc>
        <w:tc>
          <w:tcPr>
            <w:tcW w:w="3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22.0</w:t>
            </w:r>
          </w:p>
        </w:tc>
        <w:tc>
          <w:tcPr>
            <w:tcW w:w="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826</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Chase Bank of Texas N.A</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291</w:t>
            </w:r>
          </w:p>
        </w:tc>
        <w:tc>
          <w:tcPr>
            <w:tcW w:w="3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w:t>
            </w:r>
          </w:p>
        </w:tc>
        <w:tc>
          <w:tcPr>
            <w:tcW w:w="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1,230</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Terminal Businesses (c)</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(38)</w:t>
            </w:r>
          </w:p>
        </w:tc>
        <w:tc>
          <w:tcPr>
            <w:tcW w:w="3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NM</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NM</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NM</w:t>
            </w:r>
          </w:p>
        </w:tc>
      </w:tr>
      <w:tr>
        <w:trPr>
          <w:trHeight w:val="505"/>
        </w:trPr>
        <w:tc>
          <w:tcPr>
            <w:tcW w:w="4740" w:type="dxa"/>
            <w:vAlign w:val="bottom"/>
            <w:gridSpan w:val="5"/>
          </w:tcPr>
          <w:p>
            <w:pPr>
              <w:jc w:val="center"/>
              <w:ind w:left="2207"/>
              <w:spacing w:after="0"/>
              <w:rPr>
                <w:sz w:val="20"/>
                <w:szCs w:val="20"/>
                <w:color w:val="auto"/>
              </w:rPr>
            </w:pPr>
            <w:r>
              <w:rPr>
                <w:rFonts w:ascii="Courier New" w:cs="Courier New" w:eastAsia="Courier New" w:hAnsi="Courier New"/>
                <w:sz w:val="15"/>
                <w:szCs w:val="15"/>
                <w:color w:val="auto"/>
                <w:w w:val="96"/>
              </w:rPr>
              <w:t>NATIONAL CONSUMER SERVICES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740" w:type="dxa"/>
            <w:vAlign w:val="bottom"/>
            <w:gridSpan w:val="5"/>
          </w:tcPr>
          <w:p>
            <w:pPr>
              <w:jc w:val="center"/>
              <w:ind w:left="2207"/>
              <w:spacing w:after="0" w:line="168" w:lineRule="exact"/>
              <w:rPr>
                <w:sz w:val="20"/>
                <w:szCs w:val="20"/>
                <w:color w:val="auto"/>
              </w:rPr>
            </w:pPr>
            <w:r>
              <w:rPr>
                <w:rFonts w:ascii="Courier New" w:cs="Courier New" w:eastAsia="Courier New" w:hAnsi="Courier New"/>
                <w:sz w:val="15"/>
                <w:szCs w:val="15"/>
                <w:color w:val="auto"/>
                <w:w w:val="97"/>
              </w:rPr>
              <w:t>KEY FINANCIAL MEASURES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264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6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358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402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Net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Efficiency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Efficiency</w:t>
            </w:r>
          </w:p>
        </w:tc>
      </w:tr>
      <w:tr>
        <w:trPr>
          <w:trHeight w:val="168"/>
        </w:trPr>
        <w:tc>
          <w:tcPr>
            <w:tcW w:w="26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Revenue</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Income</w:t>
            </w:r>
          </w:p>
        </w:tc>
        <w:tc>
          <w:tcPr>
            <w:tcW w:w="9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ROCE</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Ratio</w:t>
            </w:r>
          </w:p>
        </w:tc>
        <w:tc>
          <w:tcPr>
            <w:tcW w:w="10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1"/>
              </w:rPr>
              <w:t>Revenue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ROCE</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Ratio</w:t>
            </w:r>
          </w:p>
        </w:tc>
        <w:tc>
          <w:tcPr>
            <w:tcW w:w="11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Credit Cards (e)</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$3,345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620" w:type="dxa"/>
            <w:vAlign w:val="bottom"/>
          </w:tcPr>
          <w:p>
            <w:pPr>
              <w:spacing w:after="0"/>
              <w:rPr>
                <w:sz w:val="24"/>
                <w:szCs w:val="24"/>
                <w:color w:val="auto"/>
              </w:rPr>
            </w:pPr>
          </w:p>
        </w:tc>
        <w:tc>
          <w:tcPr>
            <w:tcW w:w="1120" w:type="dxa"/>
            <w:vAlign w:val="bottom"/>
            <w:gridSpan w:val="2"/>
          </w:tcPr>
          <w:p>
            <w:pPr>
              <w:jc w:val="right"/>
              <w:ind w:right="607"/>
              <w:spacing w:after="0"/>
              <w:rPr>
                <w:sz w:val="20"/>
                <w:szCs w:val="20"/>
                <w:color w:val="auto"/>
              </w:rPr>
            </w:pPr>
            <w:r>
              <w:rPr>
                <w:rFonts w:ascii="Courier New" w:cs="Courier New" w:eastAsia="Courier New" w:hAnsi="Courier New"/>
                <w:sz w:val="15"/>
                <w:szCs w:val="15"/>
                <w:color w:val="auto"/>
                <w:w w:val="93"/>
              </w:rPr>
              <w:t>18.3%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$2,917</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344</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14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Payments and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Investments (a,d)</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2,551</w:t>
            </w:r>
          </w:p>
        </w:tc>
        <w:tc>
          <w:tcPr>
            <w:tcW w:w="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w:t>
            </w:r>
          </w:p>
        </w:tc>
        <w:tc>
          <w:tcPr>
            <w:tcW w:w="6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27.2</w:t>
            </w:r>
          </w:p>
        </w:tc>
        <w:tc>
          <w:tcPr>
            <w:tcW w:w="78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2,472</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c>
          <w:tcPr>
            <w:tcW w:w="11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Banking</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741</w:t>
            </w:r>
          </w:p>
        </w:tc>
        <w:tc>
          <w:tcPr>
            <w:tcW w:w="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w:t>
            </w:r>
          </w:p>
        </w:tc>
        <w:tc>
          <w:tcPr>
            <w:tcW w:w="6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15.6</w:t>
            </w:r>
          </w:p>
        </w:tc>
        <w:tc>
          <w:tcPr>
            <w:tcW w:w="78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66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c>
          <w:tcPr>
            <w:tcW w:w="11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National Consumer Finance</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649</w:t>
            </w:r>
          </w:p>
        </w:tc>
        <w:tc>
          <w:tcPr>
            <w:tcW w:w="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c>
          <w:tcPr>
            <w:tcW w:w="6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25.7</w:t>
            </w:r>
          </w:p>
        </w:tc>
        <w:tc>
          <w:tcPr>
            <w:tcW w:w="78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66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599</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c>
          <w:tcPr>
            <w:tcW w:w="1140" w:type="dxa"/>
            <w:vAlign w:val="bottom"/>
          </w:tcPr>
          <w:p>
            <w:pPr>
              <w:spacing w:after="0"/>
              <w:rPr>
                <w:sz w:val="14"/>
                <w:szCs w:val="14"/>
                <w:color w:val="auto"/>
              </w:rPr>
            </w:pPr>
          </w:p>
        </w:tc>
      </w:tr>
    </w:tbl>
    <w:p>
      <w:pPr>
        <w:spacing w:after="0" w:line="341" w:lineRule="exact"/>
        <w:rPr>
          <w:sz w:val="20"/>
          <w:szCs w:val="20"/>
          <w:color w:val="auto"/>
        </w:rPr>
      </w:pPr>
    </w:p>
    <w:p>
      <w:pPr>
        <w:ind w:left="800" w:right="4640" w:hanging="790"/>
        <w:spacing w:after="0" w:line="234"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product revenue and expenses from Chase Bank of Texas, N.A. which is eliminated at total Global Bank.</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column includes Corporate results.</w:t>
      </w:r>
    </w:p>
    <w:p>
      <w:pPr>
        <w:spacing w:after="0" w:line="172" w:lineRule="exact"/>
        <w:rPr>
          <w:rFonts w:ascii="Courier New" w:cs="Courier New" w:eastAsia="Courier New" w:hAnsi="Courier New"/>
          <w:sz w:val="15"/>
          <w:szCs w:val="15"/>
          <w:color w:val="auto"/>
        </w:rPr>
      </w:pPr>
    </w:p>
    <w:p>
      <w:pPr>
        <w:jc w:val="both"/>
        <w:ind w:left="800" w:right="4380" w:hanging="790"/>
        <w:spacing w:after="0" w:line="235"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discontinued portfolios, primarily the remaining refinancing country debt and commercial real estate problem asset and nonperforming portfolio.</w:t>
      </w:r>
    </w:p>
    <w:p>
      <w:pPr>
        <w:spacing w:after="0" w:line="173" w:lineRule="exact"/>
        <w:rPr>
          <w:rFonts w:ascii="Courier New" w:cs="Courier New" w:eastAsia="Courier New" w:hAnsi="Courier New"/>
          <w:sz w:val="15"/>
          <w:szCs w:val="15"/>
          <w:color w:val="auto"/>
        </w:rPr>
      </w:pPr>
    </w:p>
    <w:p>
      <w:pPr>
        <w:ind w:left="800" w:right="4460" w:hanging="790"/>
        <w:spacing w:after="0" w:line="235"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products managed within Retail Payments and Investments, but included for reporting purposes in Credit Cards, Mortgage Banking, and National Consumer Finance, generated revenues of $102 million and $81 million in 1997 and 1996, respectively.</w:t>
      </w:r>
    </w:p>
    <w:p>
      <w:pPr>
        <w:spacing w:after="0" w:line="168"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business results of International Consumer.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 - Not meaningful</w:t>
      </w:r>
    </w:p>
    <w:p>
      <w:pPr>
        <w:sectPr>
          <w:pgSz w:w="11900" w:h="16838" w:orient="portrait"/>
          <w:cols w:equalWidth="0" w:num="1">
            <w:col w:w="11380"/>
          </w:cols>
          <w:pgMar w:left="220" w:top="281" w:right="299"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CHASE MANHATTAN CORPORATION</w:t>
      </w:r>
    </w:p>
    <w:p>
      <w:pPr>
        <w:ind w:left="1680"/>
        <w:spacing w:after="0" w:line="237" w:lineRule="auto"/>
        <w:rPr>
          <w:sz w:val="20"/>
          <w:szCs w:val="20"/>
          <w:color w:val="auto"/>
        </w:rPr>
      </w:pPr>
      <w:r>
        <w:rPr>
          <w:rFonts w:ascii="Courier New" w:cs="Courier New" w:eastAsia="Courier New" w:hAnsi="Courier New"/>
          <w:sz w:val="15"/>
          <w:szCs w:val="15"/>
          <w:color w:val="auto"/>
        </w:rPr>
        <w:t>KEY ASIAN COUNTRY EXPOSURE</w:t>
      </w:r>
    </w:p>
    <w:p>
      <w:pPr>
        <w:spacing w:after="0" w:line="342"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60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CROSS-BORDER BASIS (DECEMBER 31, 1997 ESTIMATES) ($ IN BILLIONS)</w:t>
      </w:r>
    </w:p>
    <w:p>
      <w:pPr>
        <w:sectPr>
          <w:pgSz w:w="11900" w:h="16838" w:orient="portrait"/>
          <w:cols w:equalWidth="0" w:num="1">
            <w:col w:w="10239"/>
          </w:cols>
          <w:pgMar w:left="220" w:top="135"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Outstandings(*)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Derivatives</w:t>
      </w:r>
      <w:r>
        <w:rPr>
          <w:sz w:val="20"/>
          <w:szCs w:val="20"/>
          <w:color w:val="auto"/>
        </w:rPr>
        <w:tab/>
      </w:r>
      <w:r>
        <w:rPr>
          <w:rFonts w:ascii="Courier New" w:cs="Courier New" w:eastAsia="Courier New" w:hAnsi="Courier New"/>
          <w:sz w:val="14"/>
          <w:szCs w:val="14"/>
          <w:color w:val="auto"/>
        </w:rPr>
        <w:t>Cross-Border</w:t>
      </w:r>
    </w:p>
    <w:p>
      <w:pPr>
        <w:spacing w:after="0" w:line="177" w:lineRule="exact"/>
        <w:rPr>
          <w:sz w:val="20"/>
          <w:szCs w:val="20"/>
          <w:color w:val="auto"/>
        </w:rPr>
      </w:pPr>
    </w:p>
    <w:p>
      <w:pPr>
        <w:sectPr>
          <w:pgSz w:w="11900" w:h="16838" w:orient="portrait"/>
          <w:cols w:equalWidth="0" w:num="4">
            <w:col w:w="2640" w:space="160"/>
            <w:col w:w="620" w:space="620"/>
            <w:col w:w="700" w:space="600"/>
            <w:col w:w="4899"/>
          </w:cols>
          <w:pgMar w:left="22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Korea</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$3.1</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$0.3</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$0.3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Indonesia</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0.3</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Thailand</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0.3</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Hong Kong</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2.8</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0.1</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0.3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Singapore</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Malaysia</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China</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0.6</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Philippines</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Taiwan</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India</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0.2</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bl>
    <w:p>
      <w:pPr>
        <w:spacing w:after="0" w:line="200" w:lineRule="exact"/>
        <w:rPr>
          <w:sz w:val="20"/>
          <w:szCs w:val="20"/>
          <w:color w:val="auto"/>
        </w:rPr>
      </w:pPr>
    </w:p>
    <w:p>
      <w:pPr>
        <w:spacing w:after="0" w:line="309" w:lineRule="exact"/>
        <w:rPr>
          <w:sz w:val="20"/>
          <w:szCs w:val="20"/>
          <w:color w:val="auto"/>
        </w:rPr>
      </w:pPr>
    </w:p>
    <w:p>
      <w:pPr>
        <w:ind w:left="180" w:right="3499" w:hanging="170"/>
        <w:spacing w:after="0" w:line="235" w:lineRule="auto"/>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loans and accrued interest, interest-bearing deposits with banks, acceptances, issued L/C's, irrevocable legal commitments and other monetary assets</w:t>
      </w:r>
    </w:p>
    <w:p>
      <w:pPr>
        <w:sectPr>
          <w:pgSz w:w="11900" w:h="16838" w:orient="portrait"/>
          <w:cols w:equalWidth="0" w:num="1">
            <w:col w:w="10239"/>
          </w:cols>
          <w:pgMar w:left="220" w:top="135"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CHASE MANHATTAN CORPORATION</w:t>
      </w:r>
    </w:p>
    <w:p>
      <w:pPr>
        <w:ind w:left="1580"/>
        <w:spacing w:after="0" w:line="237" w:lineRule="auto"/>
        <w:rPr>
          <w:sz w:val="20"/>
          <w:szCs w:val="20"/>
          <w:color w:val="auto"/>
        </w:rPr>
      </w:pPr>
      <w:r>
        <w:rPr>
          <w:rFonts w:ascii="Courier New" w:cs="Courier New" w:eastAsia="Courier New" w:hAnsi="Courier New"/>
          <w:sz w:val="15"/>
          <w:szCs w:val="15"/>
          <w:color w:val="auto"/>
        </w:rPr>
        <w:t>Total Cross-Border Assets vs. Total Managed Assets*</w:t>
      </w:r>
    </w:p>
    <w:p>
      <w:pPr>
        <w:ind w:left="2280"/>
        <w:spacing w:after="0" w:line="238" w:lineRule="auto"/>
        <w:rPr>
          <w:sz w:val="20"/>
          <w:szCs w:val="20"/>
          <w:color w:val="auto"/>
        </w:rPr>
      </w:pPr>
      <w:r>
        <w:rPr>
          <w:rFonts w:ascii="Courier New" w:cs="Courier New" w:eastAsia="Courier New" w:hAnsi="Courier New"/>
          <w:sz w:val="15"/>
          <w:szCs w:val="15"/>
          <w:color w:val="auto"/>
        </w:rPr>
        <w:t>December 31, 1997 Estimates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Total Cross-Border Assets</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Managed Assets</w:t>
            </w:r>
          </w:p>
        </w:tc>
        <w:tc>
          <w:tcPr>
            <w:tcW w:w="66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680" w:type="dxa"/>
            <w:vAlign w:val="bottom"/>
          </w:tcPr>
          <w:p>
            <w:pPr>
              <w:spacing w:after="0"/>
              <w:rPr>
                <w:sz w:val="20"/>
                <w:szCs w:val="20"/>
                <w:color w:val="auto"/>
              </w:rPr>
            </w:pPr>
            <w:r>
              <w:rPr>
                <w:rFonts w:ascii="Courier New" w:cs="Courier New" w:eastAsia="Courier New" w:hAnsi="Courier New"/>
                <w:sz w:val="15"/>
                <w:szCs w:val="15"/>
                <w:color w:val="auto"/>
              </w:rPr>
              <w:t>Asia</w:t>
            </w:r>
          </w:p>
        </w:tc>
        <w:tc>
          <w:tcPr>
            <w:tcW w:w="1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25%</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Cross-Border</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Assets - Asia</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Europe/Canada</w:t>
            </w:r>
          </w:p>
        </w:tc>
        <w:tc>
          <w:tcPr>
            <w:tcW w:w="1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54</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Cross-Border</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Assets - Other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Latin America</w:t>
            </w:r>
          </w:p>
        </w:tc>
        <w:tc>
          <w:tcPr>
            <w:tcW w:w="1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14</w:t>
            </w:r>
          </w:p>
        </w:tc>
        <w:tc>
          <w:tcPr>
            <w:tcW w:w="336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Domestic Consumer-Managed</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Eastern Europe</w:t>
            </w:r>
          </w:p>
        </w:tc>
        <w:tc>
          <w:tcPr>
            <w:tcW w:w="1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5</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Local Funded</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&amp;</w:t>
            </w:r>
          </w:p>
        </w:tc>
        <w:tc>
          <w:tcPr>
            <w:tcW w:w="660" w:type="dxa"/>
            <w:vAlign w:val="bottom"/>
          </w:tcPr>
          <w:p>
            <w:pPr>
              <w:spacing w:after="0"/>
              <w:rPr>
                <w:sz w:val="24"/>
                <w:szCs w:val="2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w:t>
            </w:r>
          </w:p>
        </w:tc>
        <w:tc>
          <w:tcPr>
            <w:tcW w:w="336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Other Assets</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w:t>
            </w:r>
          </w:p>
        </w:tc>
      </w:tr>
      <w:tr>
        <w:trPr>
          <w:trHeight w:val="168"/>
        </w:trPr>
        <w:tc>
          <w:tcPr>
            <w:tcW w:w="1680" w:type="dxa"/>
            <w:vAlign w:val="bottom"/>
          </w:tcPr>
          <w:p>
            <w:pPr>
              <w:spacing w:after="0"/>
              <w:rPr>
                <w:sz w:val="14"/>
                <w:szCs w:val="14"/>
                <w:color w:val="auto"/>
              </w:rPr>
            </w:pPr>
          </w:p>
        </w:tc>
        <w:tc>
          <w:tcPr>
            <w:tcW w:w="14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88"/>
              </w:rPr>
              <w:t>---</w:t>
            </w:r>
          </w:p>
        </w:tc>
        <w:tc>
          <w:tcPr>
            <w:tcW w:w="1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8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88"/>
              </w:rPr>
              <w:t>100%</w:t>
            </w: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1680" w:type="dxa"/>
            <w:vAlign w:val="bottom"/>
          </w:tcPr>
          <w:p>
            <w:pPr>
              <w:spacing w:after="0"/>
              <w:rPr>
                <w:sz w:val="14"/>
                <w:szCs w:val="14"/>
                <w:color w:val="auto"/>
              </w:rPr>
            </w:pPr>
          </w:p>
        </w:tc>
        <w:tc>
          <w:tcPr>
            <w:tcW w:w="14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88"/>
              </w:rPr>
              <w:t>===</w:t>
            </w:r>
          </w:p>
        </w:tc>
        <w:tc>
          <w:tcPr>
            <w:tcW w:w="1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 Balance sheet - related assets</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6"/>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2019-12-12T22:45:38Z</dcterms:created>
  <dcterms:modified xsi:type="dcterms:W3CDTF">2019-12-12T22:45:38Z</dcterms:modified>
</cp:coreProperties>
</file>