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467-01_fwp.htm"/>
      <w:bookmarkStart w:id="1" w:name="ksea0307467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Bloomberg Commodity Index SM Pricing Date: October 27, 2026 Observation Date: October 27, 2031 Maturity Date: October 30, 2031 Upside Leverage Factor: At least 2.25* Barrier Amount: 70.00% of the Initial Value Payment At Maturity: If the Final Value is greater than the Initial Value, your payment at maturity per $1,000 principal amount note will be calculated as follows: $1,000 + ($1,000 î Index Return î Upside Leverage Factor)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Index Return) In no event, however, will the payment at maturity be less than $0. If the Final Value is less than the Barrier Amount, you will lose more than 30.00% of your principal amount at maturity and could lose all of your principal amount at maturity. CUSIP: 46661P4R5 Preliminary Pricing Supplement: http://sp.jpmorgan.com/document/cusip/46661P4R5/doctype/Product_Termsheet/document.pdf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2.25. ** Reflects an Upside Leverage Factor equal to the minimum Upside Leverage Factor set forth herein for illustrative purposes. Capitalized terms used but not defined herein shall have the meanings set forth in the preliminary pricing supplement.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5y BCOM Uncapped Accelerated Barrier Notes H North America Structured Investments Hypothetical Total Returns** Total Return on the Notes Index Return Final Value 146.25% 65.00% 165.00 90.00% 40.00% 140.00 45.00% 20.00% 120.00 22.50% 10.00% 110.00 11.25% 5.00% 105.00 2.25% 1.00% 101.00 0.00% 0.00% 100.00 0.00% - 5.00% 95.00 0.00% - 10.00% 90.00 0.00% - 20.00% 80.00 0.00% - 30.00% 70.00 - 30.01% - 30.01% 69.99 - 40.00% - 40.00% 60.00 - 50.00% - 50.00% 50.00 - 60.00% - 60.00% 40.00 - 80.00% - 80.00% 20.00 - 100.00% - 100.00% 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 You will not have any rights with respect to the commodity futures contracts underlying the Index. • We may accelerate your notes if a commodity hedging disruption event occurs. • Commodity futures contracts are subject to uncertain legal and regulatory regimes. • Prices of commodity futures contracts are characterized by high and unpredictable volatility, which could lead to high and unpredictable volatility in the Index. • A decision by an exchange on which the commodity futures contracts underlying the Index are traded to increase margin requirements for those futures contracts may affect the level of the Index. • The notes do not offer direct exposure to commodity spot prices. • Higher future prices of the commodity futures contracts underlying the Index relative to the current prices of those contracts may affect the level of the Index and the value of the notes. • Suspension or disruptions of market trading in the commodity markets and related futures markets may adversely affect the level of the Index and, therefore, the value of the notes. • The notes are linked to an excess return index and not a total return index. Selected Risks (continued) • As a finance subsidiary, JPMorgan Chase Financial Company LLC has no independent activities and has limited assets.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 5y BCOM Uncapped Accelerated Barrier Notes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1515</Words>
  <Characters>7669</Characters>
  <CharactersWithSpaces>9185</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