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13m RTY/SPX 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Russell 2000 ®   Index and S&amp;P 500 ®   Index  Upside Leverage Factor:   1.25  Maximum Return:   At least 17.00%*  Barrier Amount:   With respect to each Underlying, 70.00% of its Initial Value  Underlying Return:   (Final Value – Initial Value) / Initial Value  Pricing Date:   July 31, 2026  Observation Date:   August 31, 2027  Maturity Date:   September 3, 2027  CUSIP:   46661CKN5  Preliminary Pricing Supplement:   http://sp.jpmorgan.com/document/cusip/46661CKN5/doctype/Product_Termsheet/document.pdf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subject to the Maximum Return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Maximum Return will be provided in the pricing supplement and will not be less than 17.00%. ** Reflects a Maximum Return equal to the minimum Maximum Return set forth herein,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17.00%   $1,170.00  80.00%   17.00%   $1,170.00  60.00%   17.00%   $1,170.00  40.00%   17.00%   $1,170.00  30.00%   17.00%   $1,170.00  20.00%   17.00%   $1,170.00  13.60%   17.00%   $1,170.00  10.00%   12.50%   $1,125.00  5.00%   6.25%   $1,062.50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13m RTY/SPX Capped Accelerated Barrier Notes  J.P. Morgan Structured Investments | 1 800 576 3529 | jpm_structured_investments@jpmorgan.com  Selected Risks  ●   Your investment in the notes may result in a loss. The notes do not guarantee any return of principal.  ●   Your maximum gain on the notes is limited by the Maximum Return.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1368</Words>
  <Characters>7291</Characters>
  <CharactersWithSpaces>8873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