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8089-01_fwp.htm"/>
      <w:bookmarkStart w:id="1" w:name="ksea0308089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October 7,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45-Month Worst-of NDX/SPX/RTY Contingent Income Callable Securities with 6-Month Initial Non-Call Period</w:t>
      </w:r>
    </w:p>
    <w:p>
      <w:pPr>
        <w:pStyle w:val="TextBody"/>
        <w:bidi w:val="0"/>
        <w:spacing w:before="0" w:after="0"/>
        <w:ind w:left="108"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the“Risk Considerations” on the following page, prior to making an investment decision.</w:t>
      </w:r>
    </w:p>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7394575"/>
                <wp:effectExtent l="0" t="0" r="0" b="0"/>
                <wp:wrapSquare wrapText="right"/>
                <wp:docPr id="1" name="Frame1"/>
                <a:graphic xmlns:a="http://schemas.openxmlformats.org/drawingml/2006/main">
                  <a:graphicData uri="http://schemas.microsoft.com/office/word/2010/wordprocessingShape">
                    <wps:wsp>
                      <wps:cNvSpPr txBox="1"/>
                      <wps:spPr>
                        <a:xfrm>
                          <a:off x="0" y="0"/>
                          <a:ext cx="3175000" cy="7394575"/>
                        </a:xfrm>
                        <a:prstGeom prst="rect"/>
                        <a:solidFill>
                          <a:srgbClr val="FFFFFF"/>
                        </a:solidFill>
                      </wps:spPr>
                      <wps:txb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280"/>
                              <w:gridCol w:w="8925"/>
                            </w:tblGrid>
                            <w:tr>
                              <w:trPr/>
                              <w:tc>
                                <w:tcPr>
                                  <w:tcW w:w="1280"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25"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25" w:type="dxa"/>
                                  <w:tcBorders/>
                                  <w:shd w:fill="DCEBF4" w:val="clear"/>
                                  <w:vAlign w:val="center"/>
                                </w:tcPr>
                                <w:p>
                                  <w:pPr>
                                    <w:pStyle w:val="TableContents"/>
                                    <w:bidi w:val="0"/>
                                    <w:spacing w:before="0" w:after="283"/>
                                    <w:jc w:val="left"/>
                                    <w:rPr>
                                      <w:sz w:val="15"/>
                                    </w:rPr>
                                  </w:pPr>
                                  <w:r>
                                    <w:rPr>
                                      <w:sz w:val="15"/>
                                    </w:rPr>
                                    <w:t>JPMorgan Chase &amp; Co.</w:t>
                                  </w:r>
                                </w:p>
                              </w:tc>
                            </w:tr>
                            <w:tr>
                              <w:trPr/>
                              <w:tc>
                                <w:tcPr>
                                  <w:tcW w:w="128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925" w:type="dxa"/>
                                  <w:tcBorders/>
                                  <w:vAlign w:val="center"/>
                                </w:tcPr>
                                <w:p>
                                  <w:pPr>
                                    <w:pStyle w:val="TableContents"/>
                                    <w:bidi w:val="0"/>
                                    <w:spacing w:before="0" w:after="283"/>
                                    <w:jc w:val="left"/>
                                    <w:rPr>
                                      <w:sz w:val="15"/>
                                    </w:rPr>
                                  </w:pPr>
                                  <w:r>
                                    <w:rPr>
                                      <w:sz w:val="15"/>
                                    </w:rPr>
                                    <w:t>Nasdaq-100 Index</w:t>
                                  </w:r>
                                  <w:r>
                                    <w:rPr>
                                      <w:position w:val="5"/>
                                      <w:sz w:val="12"/>
                                      <w:sz w:val="15"/>
                                    </w:rPr>
                                    <w:t>®</w:t>
                                  </w:r>
                                  <w:r>
                                    <w:rPr>
                                      <w:sz w:val="15"/>
                                    </w:rPr>
                                    <w:t xml:space="preserve"> (Bloomberg ticker: NDX Index) (the “NDX Index”), S&amp;P 500</w:t>
                                  </w:r>
                                  <w:r>
                                    <w:rPr>
                                      <w:position w:val="5"/>
                                      <w:sz w:val="12"/>
                                      <w:sz w:val="15"/>
                                    </w:rPr>
                                    <w:t>®</w:t>
                                  </w:r>
                                  <w:r>
                                    <w:rPr>
                                      <w:sz w:val="15"/>
                                    </w:rPr>
                                    <w:t xml:space="preserve"> Index (Bloomberg ticker: SPX Index) (the “SPX Index”) and Russell 2000</w:t>
                                  </w:r>
                                  <w:r>
                                    <w:rPr>
                                      <w:position w:val="5"/>
                                      <w:sz w:val="12"/>
                                      <w:sz w:val="15"/>
                                    </w:rPr>
                                    <w:t>®</w:t>
                                  </w:r>
                                  <w:r>
                                    <w:rPr>
                                      <w:sz w:val="15"/>
                                    </w:rPr>
                                    <w:t xml:space="preserve"> Index (Bloomberg ticker: RTY Index) (the “RTY Index”) (each an “underlying index”)</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925" w:type="dxa"/>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first and final contingent payment dates)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28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925" w:type="dxa"/>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otherwise due with respect to the related quarterly monitoring period.</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925" w:type="dxa"/>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If the closing level of each underlying index is greater than or equal to its coupon barrier level on each day during a quarterly monitoring period, we will pay a contingent quarterly payment of at least $29.50 (at least 2.6625% of the stated principal amount) per security on the related contingent payment date. The actual contingent quarterly payment will be provided in the pricing supplement.</w:t>
                                  </w:r>
                                </w:p>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coupon barrier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coupon barrier levels on at least one day during most or all of the quarterly monitoring periods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969"/>
                              <w:gridCol w:w="2773"/>
                              <w:gridCol w:w="6463"/>
                            </w:tblGrid>
                            <w:tr>
                              <w:trPr/>
                              <w:tc>
                                <w:tcPr>
                                  <w:tcW w:w="969" w:type="dxa"/>
                                  <w:tcBorders/>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773"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463"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(ii) if the closing level of each underlying index on each day during the final quarterly monitoring period is greater than or equal to its coupon barrier level, the contingent quarterly payment with respect to the final quarterly monitoring period.</w:t>
                                  </w:r>
                                </w:p>
                              </w:tc>
                            </w:tr>
                            <w:tr>
                              <w:trPr/>
                              <w:tc>
                                <w:tcPr>
                                  <w:tcW w:w="969" w:type="dxa"/>
                                  <w:tcBorders/>
                                  <w:vAlign w:val="center"/>
                                </w:tcPr>
                                <w:p>
                                  <w:pPr>
                                    <w:pStyle w:val="TableContents"/>
                                    <w:bidi w:val="0"/>
                                    <w:spacing w:before="0" w:after="283"/>
                                    <w:ind w:left="0" w:right="0" w:hanging="147"/>
                                    <w:jc w:val="left"/>
                                    <w:rPr>
                                      <w:color w:val="296DC1"/>
                                    </w:rPr>
                                  </w:pPr>
                                  <w:r>
                                    <w:rPr>
                                      <w:color w:val="296DC1"/>
                                    </w:rPr>
                                    <w:t> </w:t>
                                  </w:r>
                                </w:p>
                              </w:tc>
                              <w:tc>
                                <w:tcPr>
                                  <w:tcW w:w="2773"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any</w:t>
                                  </w:r>
                                  <w:r>
                                    <w:rPr>
                                      <w:sz w:val="15"/>
                                    </w:rPr>
                                    <w:t xml:space="preserve"> underlying index is </w:t>
                                  </w:r>
                                  <w:r>
                                    <w:rPr>
                                      <w:b/>
                                      <w:sz w:val="15"/>
                                    </w:rPr>
                                    <w:t>less than</w:t>
                                  </w:r>
                                  <w:r>
                                    <w:rPr>
                                      <w:sz w:val="15"/>
                                    </w:rPr>
                                    <w:t xml:space="preserve"> its downside threshold level:</w:t>
                                  </w:r>
                                </w:p>
                              </w:tc>
                              <w:tc>
                                <w:tcPr>
                                  <w:tcW w:w="6463"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65% of the stated principal amount of the securities and could be zero.</w:t>
                                  </w:r>
                                </w:p>
                              </w:tc>
                            </w:tr>
                          </w:tbl>
                          <w:tbl>
                            <w:tblPr>
                              <w:tblW w:w="10205" w:type="dxa"/>
                              <w:jc w:val="left"/>
                              <w:tblInd w:w="0" w:type="dxa"/>
                              <w:tblLayout w:type="fixed"/>
                              <w:tblCellMar>
                                <w:top w:w="0" w:type="dxa"/>
                                <w:left w:w="0" w:type="dxa"/>
                                <w:bottom w:w="0" w:type="dxa"/>
                                <w:right w:w="0" w:type="dxa"/>
                              </w:tblCellMar>
                            </w:tblPr>
                            <w:tblGrid>
                              <w:gridCol w:w="1897"/>
                              <w:gridCol w:w="8308"/>
                            </w:tblGrid>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Coupon barrier level:</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75% of its initial index value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8308" w:type="dxa"/>
                                  <w:tcBorders/>
                                  <w:vAlign w:val="center"/>
                                </w:tcPr>
                                <w:p>
                                  <w:pPr>
                                    <w:pStyle w:val="TableContents"/>
                                    <w:bidi w:val="0"/>
                                    <w:spacing w:before="0" w:after="283"/>
                                    <w:jc w:val="left"/>
                                    <w:rPr>
                                      <w:sz w:val="15"/>
                                    </w:rPr>
                                  </w:pPr>
                                  <w:r>
                                    <w:rPr>
                                      <w:sz w:val="15"/>
                                    </w:rPr>
                                    <w:t>With respect to each underlying index, 65% of its initial index value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Quarterly monitoring period:</w:t>
                                  </w:r>
                                </w:p>
                              </w:tc>
                              <w:tc>
                                <w:tcPr>
                                  <w:tcW w:w="8308" w:type="dxa"/>
                                  <w:tcBorders/>
                                  <w:shd w:fill="DCEBF4" w:val="clear"/>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8308" w:type="dxa"/>
                                  <w:tcBorders/>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8308" w:type="dxa"/>
                                  <w:tcBorders/>
                                  <w:vAlign w:val="center"/>
                                </w:tcPr>
                                <w:p>
                                  <w:pPr>
                                    <w:pStyle w:val="TableContents"/>
                                    <w:bidi w:val="0"/>
                                    <w:spacing w:before="0" w:after="283"/>
                                    <w:jc w:val="left"/>
                                    <w:rPr>
                                      <w:sz w:val="15"/>
                                    </w:rPr>
                                  </w:pPr>
                                  <w:r>
                                    <w:rPr>
                                      <w:sz w:val="15"/>
                                    </w:rPr>
                                    <w:t>The underlying index with the worst index performance factor</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8308" w:type="dxa"/>
                                  <w:tcBorders/>
                                  <w:shd w:fill="DCEBF4" w:val="clear"/>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82.25pt;mso-wrap-distance-left:0pt;mso-wrap-distance-right:0pt;mso-wrap-distance-top:0pt;mso-wrap-distance-bottom:0pt;margin-top:0pt;mso-position-vertical:top;mso-position-vertical-relative:text;margin-left:0pt;mso-position-horizontal:left;mso-position-horizontal-relative:text">
                <v:textbo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280"/>
                        <w:gridCol w:w="8925"/>
                      </w:tblGrid>
                      <w:tr>
                        <w:trPr/>
                        <w:tc>
                          <w:tcPr>
                            <w:tcW w:w="1280"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25"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25" w:type="dxa"/>
                            <w:tcBorders/>
                            <w:shd w:fill="DCEBF4" w:val="clear"/>
                            <w:vAlign w:val="center"/>
                          </w:tcPr>
                          <w:p>
                            <w:pPr>
                              <w:pStyle w:val="TableContents"/>
                              <w:bidi w:val="0"/>
                              <w:spacing w:before="0" w:after="283"/>
                              <w:jc w:val="left"/>
                              <w:rPr>
                                <w:sz w:val="15"/>
                              </w:rPr>
                            </w:pPr>
                            <w:r>
                              <w:rPr>
                                <w:sz w:val="15"/>
                              </w:rPr>
                              <w:t>JPMorgan Chase &amp; Co.</w:t>
                            </w:r>
                          </w:p>
                        </w:tc>
                      </w:tr>
                      <w:tr>
                        <w:trPr/>
                        <w:tc>
                          <w:tcPr>
                            <w:tcW w:w="128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925" w:type="dxa"/>
                            <w:tcBorders/>
                            <w:vAlign w:val="center"/>
                          </w:tcPr>
                          <w:p>
                            <w:pPr>
                              <w:pStyle w:val="TableContents"/>
                              <w:bidi w:val="0"/>
                              <w:spacing w:before="0" w:after="283"/>
                              <w:jc w:val="left"/>
                              <w:rPr>
                                <w:sz w:val="15"/>
                              </w:rPr>
                            </w:pPr>
                            <w:r>
                              <w:rPr>
                                <w:sz w:val="15"/>
                              </w:rPr>
                              <w:t>Nasdaq-100 Index</w:t>
                            </w:r>
                            <w:r>
                              <w:rPr>
                                <w:position w:val="5"/>
                                <w:sz w:val="12"/>
                                <w:sz w:val="15"/>
                              </w:rPr>
                              <w:t>®</w:t>
                            </w:r>
                            <w:r>
                              <w:rPr>
                                <w:sz w:val="15"/>
                              </w:rPr>
                              <w:t xml:space="preserve"> (Bloomberg ticker: NDX Index) (the “NDX Index”), S&amp;P 500</w:t>
                            </w:r>
                            <w:r>
                              <w:rPr>
                                <w:position w:val="5"/>
                                <w:sz w:val="12"/>
                                <w:sz w:val="15"/>
                              </w:rPr>
                              <w:t>®</w:t>
                            </w:r>
                            <w:r>
                              <w:rPr>
                                <w:sz w:val="15"/>
                              </w:rPr>
                              <w:t xml:space="preserve"> Index (Bloomberg ticker: SPX Index) (the “SPX Index”) and Russell 2000</w:t>
                            </w:r>
                            <w:r>
                              <w:rPr>
                                <w:position w:val="5"/>
                                <w:sz w:val="12"/>
                                <w:sz w:val="15"/>
                              </w:rPr>
                              <w:t>®</w:t>
                            </w:r>
                            <w:r>
                              <w:rPr>
                                <w:sz w:val="15"/>
                              </w:rPr>
                              <w:t xml:space="preserve"> Index (Bloomberg ticker: RTY Index) (the “RTY Index”) (each an “underlying index”)</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925" w:type="dxa"/>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first and final contingent payment dates)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28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925" w:type="dxa"/>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otherwise due with respect to the related quarterly monitoring period.</w:t>
                            </w:r>
                          </w:p>
                        </w:tc>
                      </w:tr>
                      <w:tr>
                        <w:trPr/>
                        <w:tc>
                          <w:tcPr>
                            <w:tcW w:w="128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925" w:type="dxa"/>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If the closing level of each underlying index is greater than or equal to its coupon barrier level on each day during a quarterly monitoring period, we will pay a contingent quarterly payment of at least $29.50 (at least 2.6625% of the stated principal amount) per security on the related contingent payment date. The actual contingent quarterly payment will be provided in the pricing supplement.</w:t>
                            </w:r>
                          </w:p>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coupon barrier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coupon barrier levels on at least one day during most or all of the quarterly monitoring periods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969"/>
                        <w:gridCol w:w="2773"/>
                        <w:gridCol w:w="6463"/>
                      </w:tblGrid>
                      <w:tr>
                        <w:trPr/>
                        <w:tc>
                          <w:tcPr>
                            <w:tcW w:w="969" w:type="dxa"/>
                            <w:tcBorders/>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773"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463"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(ii) if the closing level of each underlying index on each day during the final quarterly monitoring period is greater than or equal to its coupon barrier level, the contingent quarterly payment with respect to the final quarterly monitoring period.</w:t>
                            </w:r>
                          </w:p>
                        </w:tc>
                      </w:tr>
                      <w:tr>
                        <w:trPr/>
                        <w:tc>
                          <w:tcPr>
                            <w:tcW w:w="969" w:type="dxa"/>
                            <w:tcBorders/>
                            <w:vAlign w:val="center"/>
                          </w:tcPr>
                          <w:p>
                            <w:pPr>
                              <w:pStyle w:val="TableContents"/>
                              <w:bidi w:val="0"/>
                              <w:spacing w:before="0" w:after="283"/>
                              <w:ind w:left="0" w:right="0" w:hanging="147"/>
                              <w:jc w:val="left"/>
                              <w:rPr>
                                <w:color w:val="296DC1"/>
                              </w:rPr>
                            </w:pPr>
                            <w:r>
                              <w:rPr>
                                <w:color w:val="296DC1"/>
                              </w:rPr>
                              <w:t> </w:t>
                            </w:r>
                          </w:p>
                        </w:tc>
                        <w:tc>
                          <w:tcPr>
                            <w:tcW w:w="2773"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any</w:t>
                            </w:r>
                            <w:r>
                              <w:rPr>
                                <w:sz w:val="15"/>
                              </w:rPr>
                              <w:t xml:space="preserve"> underlying index is </w:t>
                            </w:r>
                            <w:r>
                              <w:rPr>
                                <w:b/>
                                <w:sz w:val="15"/>
                              </w:rPr>
                              <w:t>less than</w:t>
                            </w:r>
                            <w:r>
                              <w:rPr>
                                <w:sz w:val="15"/>
                              </w:rPr>
                              <w:t xml:space="preserve"> its downside threshold level:</w:t>
                            </w:r>
                          </w:p>
                        </w:tc>
                        <w:tc>
                          <w:tcPr>
                            <w:tcW w:w="6463"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65% of the stated principal amount of the securities and could be zero.</w:t>
                            </w:r>
                          </w:p>
                        </w:tc>
                      </w:tr>
                    </w:tbl>
                    <w:tbl>
                      <w:tblPr>
                        <w:tblW w:w="10205" w:type="dxa"/>
                        <w:jc w:val="left"/>
                        <w:tblInd w:w="0" w:type="dxa"/>
                        <w:tblLayout w:type="fixed"/>
                        <w:tblCellMar>
                          <w:top w:w="0" w:type="dxa"/>
                          <w:left w:w="0" w:type="dxa"/>
                          <w:bottom w:w="0" w:type="dxa"/>
                          <w:right w:w="0" w:type="dxa"/>
                        </w:tblCellMar>
                      </w:tblPr>
                      <w:tblGrid>
                        <w:gridCol w:w="1897"/>
                        <w:gridCol w:w="8308"/>
                      </w:tblGrid>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Coupon barrier level:</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75% of its initial index value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8308" w:type="dxa"/>
                            <w:tcBorders/>
                            <w:vAlign w:val="center"/>
                          </w:tcPr>
                          <w:p>
                            <w:pPr>
                              <w:pStyle w:val="TableContents"/>
                              <w:bidi w:val="0"/>
                              <w:spacing w:before="0" w:after="283"/>
                              <w:jc w:val="left"/>
                              <w:rPr>
                                <w:sz w:val="15"/>
                              </w:rPr>
                            </w:pPr>
                            <w:r>
                              <w:rPr>
                                <w:sz w:val="15"/>
                              </w:rPr>
                              <w:t>With respect to each underlying index, 65% of its initial index value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Quarterly monitoring period:</w:t>
                            </w:r>
                          </w:p>
                        </w:tc>
                        <w:tc>
                          <w:tcPr>
                            <w:tcW w:w="8308" w:type="dxa"/>
                            <w:tcBorders/>
                            <w:shd w:fill="DCEBF4" w:val="clear"/>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8308" w:type="dxa"/>
                            <w:tcBorders/>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8308" w:type="dxa"/>
                            <w:tcBorders/>
                            <w:vAlign w:val="center"/>
                          </w:tcPr>
                          <w:p>
                            <w:pPr>
                              <w:pStyle w:val="TableContents"/>
                              <w:bidi w:val="0"/>
                              <w:spacing w:before="0" w:after="283"/>
                              <w:jc w:val="left"/>
                              <w:rPr>
                                <w:sz w:val="15"/>
                              </w:rPr>
                            </w:pPr>
                            <w:r>
                              <w:rPr>
                                <w:sz w:val="15"/>
                              </w:rPr>
                              <w:t>The underlying index with the worst index performance factor</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8308" w:type="dxa"/>
                            <w:tcBorders/>
                            <w:shd w:fill="DCEBF4" w:val="clear"/>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025"/>
                              <w:gridCol w:w="8180"/>
                            </w:tblGrid>
                            <w:tr>
                              <w:trPr/>
                              <w:tc>
                                <w:tcPr>
                                  <w:tcW w:w="2025"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8180" w:type="dxa"/>
                                  <w:tcBorders/>
                                  <w:vAlign w:val="center"/>
                                </w:tcPr>
                                <w:p>
                                  <w:pPr>
                                    <w:pStyle w:val="TableContents"/>
                                    <w:bidi w:val="0"/>
                                    <w:spacing w:before="0" w:after="283"/>
                                    <w:jc w:val="left"/>
                                    <w:rPr>
                                      <w:sz w:val="15"/>
                                    </w:rPr>
                                  </w:pPr>
                                  <w:r>
                                    <w:rPr>
                                      <w:sz w:val="15"/>
                                    </w:rPr>
                                    <w:t>$1,000 per security</w:t>
                                  </w:r>
                                </w:p>
                              </w:tc>
                            </w:tr>
                            <w:tr>
                              <w:trPr/>
                              <w:tc>
                                <w:tcPr>
                                  <w:tcW w:w="2025"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8180" w:type="dxa"/>
                                  <w:tcBorders/>
                                  <w:shd w:fill="DCEBF4" w:val="clear"/>
                                  <w:vAlign w:val="center"/>
                                </w:tcPr>
                                <w:p>
                                  <w:pPr>
                                    <w:pStyle w:val="TableContents"/>
                                    <w:bidi w:val="0"/>
                                    <w:spacing w:before="0" w:after="283"/>
                                    <w:jc w:val="left"/>
                                    <w:rPr>
                                      <w:sz w:val="15"/>
                                    </w:rPr>
                                  </w:pPr>
                                  <w:r>
                                    <w:rPr>
                                      <w:sz w:val="15"/>
                                    </w:rPr>
                                    <w:t>$1,000 per security</w:t>
                                  </w:r>
                                </w:p>
                              </w:tc>
                            </w:tr>
                            <w:tr>
                              <w:trPr/>
                              <w:tc>
                                <w:tcPr>
                                  <w:tcW w:w="202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180" w:type="dxa"/>
                                  <w:tcBorders/>
                                  <w:vAlign w:val="center"/>
                                </w:tcPr>
                                <w:p>
                                  <w:pPr>
                                    <w:pStyle w:val="TableContents"/>
                                    <w:bidi w:val="0"/>
                                    <w:spacing w:before="0" w:after="283"/>
                                    <w:jc w:val="left"/>
                                    <w:rPr>
                                      <w:sz w:val="15"/>
                                    </w:rPr>
                                  </w:pPr>
                                  <w:r>
                                    <w:rPr>
                                      <w:sz w:val="15"/>
                                    </w:rPr>
                                    <w:t>Expected to be October 16, 2026</w:t>
                                  </w:r>
                                </w:p>
                              </w:tc>
                            </w:tr>
                            <w:tr>
                              <w:trPr/>
                              <w:tc>
                                <w:tcPr>
                                  <w:tcW w:w="202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180" w:type="dxa"/>
                                  <w:tcBorders/>
                                  <w:shd w:fill="DCEBF4" w:val="clear"/>
                                  <w:vAlign w:val="center"/>
                                </w:tcPr>
                                <w:p>
                                  <w:pPr>
                                    <w:pStyle w:val="TableContents"/>
                                    <w:bidi w:val="0"/>
                                    <w:spacing w:before="0" w:after="283"/>
                                    <w:jc w:val="left"/>
                                    <w:rPr>
                                      <w:sz w:val="15"/>
                                    </w:rPr>
                                  </w:pPr>
                                  <w:r>
                                    <w:rPr>
                                      <w:sz w:val="15"/>
                                    </w:rPr>
                                    <w:t>3 business days after the pricing date</w:t>
                                  </w:r>
                                </w:p>
                              </w:tc>
                            </w:tr>
                            <w:tr>
                              <w:trPr/>
                              <w:tc>
                                <w:tcPr>
                                  <w:tcW w:w="202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180" w:type="dxa"/>
                                  <w:tcBorders/>
                                  <w:vAlign w:val="center"/>
                                </w:tcPr>
                                <w:p>
                                  <w:pPr>
                                    <w:pStyle w:val="TableContents"/>
                                    <w:bidi w:val="0"/>
                                    <w:spacing w:before="0" w:after="283"/>
                                    <w:jc w:val="left"/>
                                    <w:rPr>
                                      <w:sz w:val="15"/>
                                    </w:rPr>
                                  </w:pPr>
                                  <w:r>
                                    <w:rPr>
                                      <w:sz w:val="15"/>
                                    </w:rPr>
                                    <w:t>January 19, 2027, April 16, 2027, July 16, 2027, October 18, 2027, January 18, 2028, April 17, 2028, July 17, 2028, October 16, 2028, January 16, 2029, April 16, 2029, July 16, 2029, October 16, 2029, January 16, 2030, April 16, 2030 and July 16, 2030</w:t>
                                  </w:r>
                                </w:p>
                              </w:tc>
                            </w:tr>
                            <w:tr>
                              <w:trPr/>
                              <w:tc>
                                <w:tcPr>
                                  <w:tcW w:w="202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180" w:type="dxa"/>
                                  <w:tcBorders/>
                                  <w:shd w:fill="DCEBF4" w:val="clear"/>
                                  <w:vAlign w:val="center"/>
                                </w:tcPr>
                                <w:p>
                                  <w:pPr>
                                    <w:pStyle w:val="TableContents"/>
                                    <w:bidi w:val="0"/>
                                    <w:spacing w:before="0" w:after="283"/>
                                    <w:jc w:val="left"/>
                                    <w:rPr>
                                      <w:sz w:val="15"/>
                                    </w:rPr>
                                  </w:pPr>
                                  <w:r>
                                    <w:rPr>
                                      <w:sz w:val="15"/>
                                    </w:rPr>
                                    <w:t>January 22, 2027, April 21, 2027, July 21, 2027, October 21, 2027, January 21, 2028, April 20, 2028, July 20, 2028, October 19, 2028, January 19, 2029, April 19, 2029, July 19, 2029, October 19, 2029, January 22, 2030, April 22, 2030 and the maturity date</w:t>
                                  </w:r>
                                </w:p>
                              </w:tc>
                            </w:tr>
                            <w:tr>
                              <w:trPr/>
                              <w:tc>
                                <w:tcPr>
                                  <w:tcW w:w="202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180" w:type="dxa"/>
                                  <w:tcBorders/>
                                  <w:vAlign w:val="center"/>
                                </w:tcPr>
                                <w:p>
                                  <w:pPr>
                                    <w:pStyle w:val="TableContents"/>
                                    <w:bidi w:val="0"/>
                                    <w:spacing w:before="0" w:after="283"/>
                                    <w:jc w:val="left"/>
                                    <w:rPr>
                                      <w:sz w:val="15"/>
                                    </w:rPr>
                                  </w:pPr>
                                  <w:r>
                                    <w:rPr>
                                      <w:sz w:val="15"/>
                                    </w:rPr>
                                    <w:t>July 19, 2030</w:t>
                                  </w:r>
                                </w:p>
                              </w:tc>
                            </w:tr>
                            <w:tr>
                              <w:trPr/>
                              <w:tc>
                                <w:tcPr>
                                  <w:tcW w:w="2025"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180" w:type="dxa"/>
                                  <w:tcBorders/>
                                  <w:shd w:fill="DCEBF4" w:val="clear"/>
                                  <w:vAlign w:val="center"/>
                                </w:tcPr>
                                <w:p>
                                  <w:pPr>
                                    <w:pStyle w:val="TableContents"/>
                                    <w:bidi w:val="0"/>
                                    <w:spacing w:before="0" w:after="283"/>
                                    <w:jc w:val="left"/>
                                    <w:rPr>
                                      <w:sz w:val="15"/>
                                    </w:rPr>
                                  </w:pPr>
                                  <w:r>
                                    <w:rPr>
                                      <w:sz w:val="15"/>
                                    </w:rPr>
                                    <w:t>46661PLY1/ US46661PLY15</w:t>
                                  </w:r>
                                </w:p>
                              </w:tc>
                            </w:tr>
                            <w:tr>
                              <w:trPr/>
                              <w:tc>
                                <w:tcPr>
                                  <w:tcW w:w="2025"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180" w:type="dxa"/>
                                  <w:tcBorders/>
                                  <w:vAlign w:val="center"/>
                                </w:tcPr>
                                <w:p>
                                  <w:pPr>
                                    <w:pStyle w:val="TableContents"/>
                                    <w:bidi w:val="0"/>
                                    <w:spacing w:before="0" w:after="283"/>
                                    <w:jc w:val="left"/>
                                    <w:rPr/>
                                  </w:pPr>
                                  <w:hyperlink r:id="rId2">
                                    <w:r>
                                      <w:rPr>
                                        <w:rStyle w:val="InternetLink"/>
                                        <w:sz w:val="15"/>
                                      </w:rPr>
                                      <w:t>http://www.sec.gov/Archives/edgar/data/</w:t>
                                      <w:br/>
                                      <w:t>19617/000121390026107650/ea0308006-01_424b2.htm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$920.00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6025" w:type="dxa"/>
                              <w:jc w:val="center"/>
                              <w:tblInd w:w="0" w:type="dxa"/>
                              <w:tblLayout w:type="fixed"/>
                              <w:tblCellMar>
                                <w:top w:w="0" w:type="dxa"/>
                                <w:left w:w="0" w:type="dxa"/>
                                <w:bottom w:w="0" w:type="dxa"/>
                                <w:right w:w="0" w:type="dxa"/>
                              </w:tblCellMar>
                            </w:tblPr>
                            <w:tblGrid>
                              <w:gridCol w:w="3200"/>
                              <w:gridCol w:w="2825"/>
                            </w:tblGrid>
                            <w:tr>
                              <w:trPr/>
                              <w:tc>
                                <w:tcPr>
                                  <w:tcW w:w="6025"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20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w:t>
                                    <w:br/>
                                    <w:t>Index</w:t>
                                  </w:r>
                                </w:p>
                              </w:tc>
                              <w:tc>
                                <w:tcPr>
                                  <w:tcW w:w="282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w:t>
                                    <w:br/>
                                    <w:t>contingent quarterly payment</w:t>
                                    <w:br/>
                                    <w:t>payable at maturity)</w:t>
                                  </w:r>
                                </w:p>
                              </w:tc>
                            </w:tr>
                          </w:tbl>
                          <w:tbl>
                            <w:tblPr>
                              <w:tblW w:w="1495" w:type="dxa"/>
                              <w:jc w:val="center"/>
                              <w:tblInd w:w="0" w:type="dxa"/>
                              <w:tblLayout w:type="fixed"/>
                              <w:tblCellMar>
                                <w:top w:w="0" w:type="dxa"/>
                                <w:left w:w="0" w:type="dxa"/>
                                <w:bottom w:w="0" w:type="dxa"/>
                                <w:right w:w="0" w:type="dxa"/>
                              </w:tblCellMar>
                            </w:tblPr>
                            <w:tblGrid>
                              <w:gridCol w:w="740"/>
                              <w:gridCol w:w="755"/>
                            </w:tblGrid>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-35.00%</w:t>
                                  </w:r>
                                </w:p>
                              </w:tc>
                              <w:tc>
                                <w:tcPr>
                                  <w:tcW w:w="755"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-35.01%</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$649.90</w:t>
                                  </w:r>
                                </w:p>
                              </w:tc>
                            </w:tr>
                            <w:tr>
                              <w:trPr/>
                              <w:tc>
                                <w:tcPr>
                                  <w:tcW w:w="74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74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755"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74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755"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2025"/>
                        <w:gridCol w:w="8180"/>
                      </w:tblGrid>
                      <w:tr>
                        <w:trPr/>
                        <w:tc>
                          <w:tcPr>
                            <w:tcW w:w="2025"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8180" w:type="dxa"/>
                            <w:tcBorders/>
                            <w:vAlign w:val="center"/>
                          </w:tcPr>
                          <w:p>
                            <w:pPr>
                              <w:pStyle w:val="TableContents"/>
                              <w:bidi w:val="0"/>
                              <w:spacing w:before="0" w:after="283"/>
                              <w:jc w:val="left"/>
                              <w:rPr>
                                <w:sz w:val="15"/>
                              </w:rPr>
                            </w:pPr>
                            <w:r>
                              <w:rPr>
                                <w:sz w:val="15"/>
                              </w:rPr>
                              <w:t>$1,000 per security</w:t>
                            </w:r>
                          </w:p>
                        </w:tc>
                      </w:tr>
                      <w:tr>
                        <w:trPr/>
                        <w:tc>
                          <w:tcPr>
                            <w:tcW w:w="2025"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8180" w:type="dxa"/>
                            <w:tcBorders/>
                            <w:shd w:fill="DCEBF4" w:val="clear"/>
                            <w:vAlign w:val="center"/>
                          </w:tcPr>
                          <w:p>
                            <w:pPr>
                              <w:pStyle w:val="TableContents"/>
                              <w:bidi w:val="0"/>
                              <w:spacing w:before="0" w:after="283"/>
                              <w:jc w:val="left"/>
                              <w:rPr>
                                <w:sz w:val="15"/>
                              </w:rPr>
                            </w:pPr>
                            <w:r>
                              <w:rPr>
                                <w:sz w:val="15"/>
                              </w:rPr>
                              <w:t>$1,000 per security</w:t>
                            </w:r>
                          </w:p>
                        </w:tc>
                      </w:tr>
                      <w:tr>
                        <w:trPr/>
                        <w:tc>
                          <w:tcPr>
                            <w:tcW w:w="202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180" w:type="dxa"/>
                            <w:tcBorders/>
                            <w:vAlign w:val="center"/>
                          </w:tcPr>
                          <w:p>
                            <w:pPr>
                              <w:pStyle w:val="TableContents"/>
                              <w:bidi w:val="0"/>
                              <w:spacing w:before="0" w:after="283"/>
                              <w:jc w:val="left"/>
                              <w:rPr>
                                <w:sz w:val="15"/>
                              </w:rPr>
                            </w:pPr>
                            <w:r>
                              <w:rPr>
                                <w:sz w:val="15"/>
                              </w:rPr>
                              <w:t>Expected to be October 16, 2026</w:t>
                            </w:r>
                          </w:p>
                        </w:tc>
                      </w:tr>
                      <w:tr>
                        <w:trPr/>
                        <w:tc>
                          <w:tcPr>
                            <w:tcW w:w="202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180" w:type="dxa"/>
                            <w:tcBorders/>
                            <w:shd w:fill="DCEBF4" w:val="clear"/>
                            <w:vAlign w:val="center"/>
                          </w:tcPr>
                          <w:p>
                            <w:pPr>
                              <w:pStyle w:val="TableContents"/>
                              <w:bidi w:val="0"/>
                              <w:spacing w:before="0" w:after="283"/>
                              <w:jc w:val="left"/>
                              <w:rPr>
                                <w:sz w:val="15"/>
                              </w:rPr>
                            </w:pPr>
                            <w:r>
                              <w:rPr>
                                <w:sz w:val="15"/>
                              </w:rPr>
                              <w:t>3 business days after the pricing date</w:t>
                            </w:r>
                          </w:p>
                        </w:tc>
                      </w:tr>
                      <w:tr>
                        <w:trPr/>
                        <w:tc>
                          <w:tcPr>
                            <w:tcW w:w="202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180" w:type="dxa"/>
                            <w:tcBorders/>
                            <w:vAlign w:val="center"/>
                          </w:tcPr>
                          <w:p>
                            <w:pPr>
                              <w:pStyle w:val="TableContents"/>
                              <w:bidi w:val="0"/>
                              <w:spacing w:before="0" w:after="283"/>
                              <w:jc w:val="left"/>
                              <w:rPr>
                                <w:sz w:val="15"/>
                              </w:rPr>
                            </w:pPr>
                            <w:r>
                              <w:rPr>
                                <w:sz w:val="15"/>
                              </w:rPr>
                              <w:t>January 19, 2027, April 16, 2027, July 16, 2027, October 18, 2027, January 18, 2028, April 17, 2028, July 17, 2028, October 16, 2028, January 16, 2029, April 16, 2029, July 16, 2029, October 16, 2029, January 16, 2030, April 16, 2030 and July 16, 2030</w:t>
                            </w:r>
                          </w:p>
                        </w:tc>
                      </w:tr>
                      <w:tr>
                        <w:trPr/>
                        <w:tc>
                          <w:tcPr>
                            <w:tcW w:w="202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180" w:type="dxa"/>
                            <w:tcBorders/>
                            <w:shd w:fill="DCEBF4" w:val="clear"/>
                            <w:vAlign w:val="center"/>
                          </w:tcPr>
                          <w:p>
                            <w:pPr>
                              <w:pStyle w:val="TableContents"/>
                              <w:bidi w:val="0"/>
                              <w:spacing w:before="0" w:after="283"/>
                              <w:jc w:val="left"/>
                              <w:rPr>
                                <w:sz w:val="15"/>
                              </w:rPr>
                            </w:pPr>
                            <w:r>
                              <w:rPr>
                                <w:sz w:val="15"/>
                              </w:rPr>
                              <w:t>January 22, 2027, April 21, 2027, July 21, 2027, October 21, 2027, January 21, 2028, April 20, 2028, July 20, 2028, October 19, 2028, January 19, 2029, April 19, 2029, July 19, 2029, October 19, 2029, January 22, 2030, April 22, 2030 and the maturity date</w:t>
                            </w:r>
                          </w:p>
                        </w:tc>
                      </w:tr>
                      <w:tr>
                        <w:trPr/>
                        <w:tc>
                          <w:tcPr>
                            <w:tcW w:w="202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180" w:type="dxa"/>
                            <w:tcBorders/>
                            <w:vAlign w:val="center"/>
                          </w:tcPr>
                          <w:p>
                            <w:pPr>
                              <w:pStyle w:val="TableContents"/>
                              <w:bidi w:val="0"/>
                              <w:spacing w:before="0" w:after="283"/>
                              <w:jc w:val="left"/>
                              <w:rPr>
                                <w:sz w:val="15"/>
                              </w:rPr>
                            </w:pPr>
                            <w:r>
                              <w:rPr>
                                <w:sz w:val="15"/>
                              </w:rPr>
                              <w:t>July 19, 2030</w:t>
                            </w:r>
                          </w:p>
                        </w:tc>
                      </w:tr>
                      <w:tr>
                        <w:trPr/>
                        <w:tc>
                          <w:tcPr>
                            <w:tcW w:w="2025"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180" w:type="dxa"/>
                            <w:tcBorders/>
                            <w:shd w:fill="DCEBF4" w:val="clear"/>
                            <w:vAlign w:val="center"/>
                          </w:tcPr>
                          <w:p>
                            <w:pPr>
                              <w:pStyle w:val="TableContents"/>
                              <w:bidi w:val="0"/>
                              <w:spacing w:before="0" w:after="283"/>
                              <w:jc w:val="left"/>
                              <w:rPr>
                                <w:sz w:val="15"/>
                              </w:rPr>
                            </w:pPr>
                            <w:r>
                              <w:rPr>
                                <w:sz w:val="15"/>
                              </w:rPr>
                              <w:t>46661PLY1/ US46661PLY15</w:t>
                            </w:r>
                          </w:p>
                        </w:tc>
                      </w:tr>
                      <w:tr>
                        <w:trPr/>
                        <w:tc>
                          <w:tcPr>
                            <w:tcW w:w="2025"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180" w:type="dxa"/>
                            <w:tcBorders/>
                            <w:vAlign w:val="center"/>
                          </w:tcPr>
                          <w:p>
                            <w:pPr>
                              <w:pStyle w:val="TableContents"/>
                              <w:bidi w:val="0"/>
                              <w:spacing w:before="0" w:after="283"/>
                              <w:jc w:val="left"/>
                              <w:rPr/>
                            </w:pPr>
                            <w:hyperlink r:id="rId3">
                              <w:r>
                                <w:rPr>
                                  <w:rStyle w:val="InternetLink"/>
                                  <w:sz w:val="15"/>
                                </w:rPr>
                                <w:t>http://www.sec.gov/Archives/edgar/data/</w:t>
                                <w:br/>
                                <w:t>19617/000121390026107650/ea0308006-01_424b2.htm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$920.00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6025" w:type="dxa"/>
                        <w:jc w:val="center"/>
                        <w:tblInd w:w="0" w:type="dxa"/>
                        <w:tblLayout w:type="fixed"/>
                        <w:tblCellMar>
                          <w:top w:w="0" w:type="dxa"/>
                          <w:left w:w="0" w:type="dxa"/>
                          <w:bottom w:w="0" w:type="dxa"/>
                          <w:right w:w="0" w:type="dxa"/>
                        </w:tblCellMar>
                      </w:tblPr>
                      <w:tblGrid>
                        <w:gridCol w:w="3200"/>
                        <w:gridCol w:w="2825"/>
                      </w:tblGrid>
                      <w:tr>
                        <w:trPr/>
                        <w:tc>
                          <w:tcPr>
                            <w:tcW w:w="6025"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20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w:t>
                              <w:br/>
                              <w:t>Index</w:t>
                            </w:r>
                          </w:p>
                        </w:tc>
                        <w:tc>
                          <w:tcPr>
                            <w:tcW w:w="282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w:t>
                              <w:br/>
                              <w:t>contingent quarterly payment</w:t>
                              <w:br/>
                              <w:t>payable at maturity)</w:t>
                            </w:r>
                          </w:p>
                        </w:tc>
                      </w:tr>
                    </w:tbl>
                    <w:tbl>
                      <w:tblPr>
                        <w:tblW w:w="1495" w:type="dxa"/>
                        <w:jc w:val="center"/>
                        <w:tblInd w:w="0" w:type="dxa"/>
                        <w:tblLayout w:type="fixed"/>
                        <w:tblCellMar>
                          <w:top w:w="0" w:type="dxa"/>
                          <w:left w:w="0" w:type="dxa"/>
                          <w:bottom w:w="0" w:type="dxa"/>
                          <w:right w:w="0" w:type="dxa"/>
                        </w:tblCellMar>
                      </w:tblPr>
                      <w:tblGrid>
                        <w:gridCol w:w="740"/>
                        <w:gridCol w:w="755"/>
                      </w:tblGrid>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-35.00%</w:t>
                            </w:r>
                          </w:p>
                        </w:tc>
                        <w:tc>
                          <w:tcPr>
                            <w:tcW w:w="755"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-35.01%</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$649.90</w:t>
                            </w:r>
                          </w:p>
                        </w:tc>
                      </w:tr>
                      <w:tr>
                        <w:trPr/>
                        <w:tc>
                          <w:tcPr>
                            <w:tcW w:w="74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74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755"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74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755"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v:textbox>
                <w10:wrap type="square" side="left"/>
              </v:rect>
            </w:pict>
          </mc:Fallback>
        </mc:AlternateConten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45-Month Worst-of NDX/SPX/RTY Contingent Income Callable Securities with 6-Month Initial Non-Call Period </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Indices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indices, including historical performance information, see the accompanying preliminary pricing supplement.</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7" w:type="dxa"/>
            <w:tcBorders/>
            <w:vAlign w:val="center"/>
          </w:tcPr>
          <w:p>
            <w:pPr>
              <w:pStyle w:val="TableContents"/>
              <w:bidi w:val="0"/>
              <w:spacing w:before="0" w:after="283"/>
              <w:jc w:val="left"/>
              <w:rPr>
                <w:sz w:val="18"/>
              </w:rPr>
            </w:pPr>
            <w:r>
              <w:rPr>
                <w:sz w:val="18"/>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You will not receive any contingent quarterly payment for any quarterly monitoring period if the closing level of any underlying index is less than its coupon barrier level on any day during that quarterly monitoring period.</w:t>
            </w:r>
          </w:p>
        </w:tc>
      </w:tr>
    </w:tbl>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8" w:type="dxa"/>
            <w:tcBorders/>
            <w:vAlign w:val="center"/>
          </w:tcPr>
          <w:p>
            <w:pPr>
              <w:pStyle w:val="TableContents"/>
              <w:bidi w:val="0"/>
              <w:spacing w:before="0" w:after="283"/>
              <w:jc w:val="left"/>
              <w:rPr>
                <w:sz w:val="18"/>
              </w:rPr>
            </w:pPr>
            <w:r>
              <w:rPr>
                <w:sz w:val="18"/>
              </w:rPr>
              <w:t>The contingent quarterly payment is based on the closing levels of the underlying indices during the quarterly monitoring periods.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You are exposed to the price risk of all three underlying indices, with respect to all the contingent quarterly payments, if any, and the payment at maturity, if any.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37"/>
        <w:gridCol w:w="9896"/>
      </w:tblGrid>
      <w:tr>
        <w:trPr/>
        <w:tc>
          <w:tcPr>
            <w:tcW w:w="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6" w:type="dxa"/>
            <w:tcBorders/>
            <w:vAlign w:val="center"/>
          </w:tcPr>
          <w:p>
            <w:pPr>
              <w:pStyle w:val="TableContents"/>
              <w:bidi w:val="0"/>
              <w:spacing w:before="0" w:after="283"/>
              <w:jc w:val="left"/>
              <w:rPr>
                <w:sz w:val="18"/>
              </w:rPr>
            </w:pPr>
            <w:r>
              <w:rPr>
                <w:sz w:val="18"/>
              </w:rPr>
              <w:t>Investors will not participate in any appreciation of any underlying index.</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1"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8958" w:type="dxa"/>
        <w:jc w:val="left"/>
        <w:tblInd w:w="0" w:type="dxa"/>
        <w:tblLayout w:type="fixed"/>
        <w:tblCellMar>
          <w:top w:w="0" w:type="dxa"/>
          <w:left w:w="0" w:type="dxa"/>
          <w:bottom w:w="0" w:type="dxa"/>
          <w:right w:w="0" w:type="dxa"/>
        </w:tblCellMar>
      </w:tblPr>
      <w:tblGrid>
        <w:gridCol w:w="38"/>
        <w:gridCol w:w="125"/>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795" w:type="dxa"/>
            <w:tcBorders/>
            <w:vAlign w:val="center"/>
          </w:tcPr>
          <w:p>
            <w:pPr>
              <w:pStyle w:val="TableContents"/>
              <w:bidi w:val="0"/>
              <w:spacing w:before="0" w:after="283"/>
              <w:jc w:val="both"/>
              <w:rPr/>
            </w:pPr>
            <w:r>
              <w:rPr>
                <w:sz w:val="18"/>
              </w:rPr>
              <w:t>The estimated value of the securities does not represent future values of the securities and may differ from others’ estimates</w:t>
            </w:r>
            <w:r>
              <w:rPr/>
              <w:t>.</w:t>
            </w:r>
          </w:p>
        </w:tc>
      </w:tr>
    </w:tbl>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6"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45" w:type="dxa"/>
            <w:tcBorders/>
            <w:vAlign w:val="center"/>
          </w:tcPr>
          <w:p>
            <w:pPr>
              <w:pStyle w:val="TableContents"/>
              <w:bidi w:val="0"/>
              <w:spacing w:before="0" w:after="283"/>
              <w:jc w:val="left"/>
              <w:rPr>
                <w:sz w:val="18"/>
              </w:rPr>
            </w:pPr>
            <w:r>
              <w:rPr>
                <w:sz w:val="18"/>
              </w:rPr>
              <w:t>JPMorgan Chase &amp; Co. is currently one of the companies that make up the SPX Index.</w:t>
            </w:r>
          </w:p>
        </w:tc>
      </w:tr>
    </w:tbl>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21" w:type="dxa"/>
            <w:tcBorders/>
            <w:vAlign w:val="center"/>
          </w:tcPr>
          <w:p>
            <w:pPr>
              <w:pStyle w:val="TableContents"/>
              <w:bidi w:val="0"/>
              <w:spacing w:before="0" w:after="283"/>
              <w:jc w:val="left"/>
              <w:rPr>
                <w:sz w:val="18"/>
              </w:rPr>
            </w:pPr>
            <w:r>
              <w:rPr>
                <w:sz w:val="18"/>
              </w:rPr>
              <w:t>Investing in the securities is not equivalent to investing in any underlying index.</w:t>
            </w:r>
          </w:p>
        </w:tc>
      </w:tr>
    </w:tbl>
    <w:tbl>
      <w:tblPr>
        <w:tblW w:w="5000" w:type="pct"/>
        <w:jc w:val="left"/>
        <w:tblInd w:w="0" w:type="dxa"/>
        <w:tblLayout w:type="fixed"/>
        <w:tblCellMar>
          <w:top w:w="0" w:type="dxa"/>
          <w:left w:w="0" w:type="dxa"/>
          <w:bottom w:w="0" w:type="dxa"/>
          <w:right w:w="0" w:type="dxa"/>
        </w:tblCellMar>
      </w:tblPr>
      <w:tblGrid>
        <w:gridCol w:w="61"/>
        <w:gridCol w:w="203"/>
        <w:gridCol w:w="9941"/>
      </w:tblGrid>
      <w:tr>
        <w:trPr/>
        <w:tc>
          <w:tcPr>
            <w:tcW w:w="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1" w:type="dxa"/>
            <w:tcBorders/>
            <w:vAlign w:val="center"/>
          </w:tcPr>
          <w:p>
            <w:pPr>
              <w:pStyle w:val="TableContents"/>
              <w:bidi w:val="0"/>
              <w:spacing w:before="0" w:after="283"/>
              <w:jc w:val="left"/>
              <w:rPr>
                <w:sz w:val="18"/>
              </w:rPr>
            </w:pPr>
            <w:r>
              <w:rPr>
                <w:sz w:val="18"/>
              </w:rPr>
              <w:t>Adjustments to any underlying index could adversely affect the value of the securities.</w:t>
            </w:r>
          </w:p>
        </w:tc>
      </w:tr>
    </w:tbl>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9" w:type="dxa"/>
            <w:tcBorders/>
            <w:vAlign w:val="center"/>
          </w:tcPr>
          <w:p>
            <w:pPr>
              <w:pStyle w:val="TableContents"/>
              <w:bidi w:val="0"/>
              <w:spacing w:before="0" w:after="283"/>
              <w:jc w:val="left"/>
              <w:rPr>
                <w:sz w:val="18"/>
              </w:rPr>
            </w:pPr>
            <w:r>
              <w:rPr>
                <w:sz w:val="18"/>
              </w:rPr>
              <w:t xml:space="preserve">The securities are subject to risks associated with securities issued by non-U.S. companies with respect to the NDX Index. </w:t>
            </w:r>
          </w:p>
        </w:tc>
      </w:tr>
    </w:tbl>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9" w:type="dxa"/>
            <w:tcBorders/>
            <w:vAlign w:val="center"/>
          </w:tcPr>
          <w:p>
            <w:pPr>
              <w:pStyle w:val="TableContents"/>
              <w:bidi w:val="0"/>
              <w:spacing w:before="0" w:after="283"/>
              <w:jc w:val="left"/>
              <w:rPr>
                <w:sz w:val="18"/>
              </w:rPr>
            </w:pPr>
            <w:r>
              <w:rPr>
                <w:sz w:val="18"/>
              </w:rPr>
              <w:t xml:space="preserve">An investment in the securities is subject to risks associated with small capitalization stocks with respect to the RTY Index. </w:t>
            </w:r>
          </w:p>
        </w:tc>
      </w:tr>
    </w:tbl>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200"/>
        <w:ind w:left="360" w:right="0" w:hanging="0"/>
        <w:jc w:val="left"/>
        <w:rPr>
          <w:caps w:val="false"/>
          <w:smallCaps w:val="false"/>
        </w:rPr>
      </w:pPr>
      <w:r>
        <w:rPr>
          <w:caps w:val="false"/>
          <w:smallCaps w:val="false"/>
        </w:rPr>
        <w:t> </w:t>
      </w:r>
    </w:p>
    <w:p>
      <w:pPr>
        <w:pStyle w:val="TextBody"/>
        <w:bidi w:val="0"/>
        <w:spacing w:before="0" w:after="200"/>
        <w:ind w:left="360" w:right="0" w:hanging="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07650/ea0308006-01_424b2.htm" TargetMode="External"/><Relationship Id="rId3" Type="http://schemas.openxmlformats.org/officeDocument/2006/relationships/hyperlink" Target="http://www.sec.gov/Archives/edgar/data/19617/000121390026107650/ea0308006-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1801</Words>
  <Characters>9864</Characters>
  <CharactersWithSpaces>11530</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