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JP MORGAN PARTNERS BHCA LP</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300" w:type="dxa"/>
            <w:vAlign w:val="bottom"/>
            <w:gridSpan w:val="8"/>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CMGI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GMCI</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72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720" w:type="dxa"/>
            <w:vAlign w:val="bottom"/>
            <w:gridSpan w:val="4"/>
            <w:vMerge w:val="continue"/>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60" w:type="dxa"/>
            <w:vAlign w:val="bottom"/>
            <w:tcBorders>
              <w:bottom w:val="single" w:sz="8" w:color="0000EE"/>
            </w:tcBorders>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17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100" w:type="dxa"/>
            <w:vAlign w:val="bottom"/>
            <w:tcBorders>
              <w:top w:val="single" w:sz="8" w:color="0000EE"/>
            </w:tcBorders>
          </w:tcPr>
          <w:p>
            <w:pPr>
              <w:spacing w:after="0"/>
              <w:rPr>
                <w:sz w:val="8"/>
                <w:szCs w:val="8"/>
                <w:color w:val="auto"/>
              </w:rPr>
            </w:pPr>
          </w:p>
        </w:tc>
        <w:tc>
          <w:tcPr>
            <w:tcW w:w="780" w:type="dxa"/>
            <w:vAlign w:val="bottom"/>
            <w:tcBorders>
              <w:top w:val="single" w:sz="8" w:color="0000EE"/>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Borders>
              <w:bottom w:val="single" w:sz="8" w:color="9A9A9A"/>
            </w:tcBorders>
          </w:tcPr>
          <w:p>
            <w:pPr>
              <w:spacing w:after="0"/>
              <w:rPr>
                <w:sz w:val="6"/>
                <w:szCs w:val="6"/>
                <w:color w:val="auto"/>
              </w:rPr>
            </w:pPr>
          </w:p>
        </w:tc>
        <w:tc>
          <w:tcPr>
            <w:tcW w:w="5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78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00" w:type="dxa"/>
            <w:vAlign w:val="bottom"/>
          </w:tcPr>
          <w:p>
            <w:pPr>
              <w:spacing w:after="0"/>
              <w:rPr>
                <w:sz w:val="6"/>
                <w:szCs w:val="6"/>
                <w:color w:val="auto"/>
              </w:rPr>
            </w:pPr>
          </w:p>
        </w:tc>
        <w:tc>
          <w:tcPr>
            <w:tcW w:w="1240" w:type="dxa"/>
            <w:vAlign w:val="bottom"/>
            <w:gridSpan w:val="2"/>
            <w:vMerge w:val="restart"/>
          </w:tcPr>
          <w:p>
            <w:pPr>
              <w:ind w:left="14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72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16"/>
                <w:szCs w:val="16"/>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80" w:type="dxa"/>
            <w:vAlign w:val="bottom"/>
            <w:gridSpan w:val="9"/>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gridSpan w:val="2"/>
          </w:tcPr>
          <w:p>
            <w:pPr>
              <w:ind w:left="140"/>
              <w:spacing w:after="0" w:line="148" w:lineRule="exact"/>
              <w:rPr>
                <w:sz w:val="20"/>
                <w:szCs w:val="20"/>
                <w:color w:val="auto"/>
              </w:rPr>
            </w:pPr>
            <w:r>
              <w:rPr>
                <w:rFonts w:ascii="Arial" w:cs="Arial" w:eastAsia="Arial" w:hAnsi="Arial"/>
                <w:sz w:val="14"/>
                <w:szCs w:val="14"/>
                <w:color w:val="auto"/>
              </w:rPr>
              <w:t>below)</w:t>
            </w:r>
          </w:p>
        </w:tc>
        <w:tc>
          <w:tcPr>
            <w:tcW w:w="960" w:type="dxa"/>
            <w:vAlign w:val="bottom"/>
          </w:tcPr>
          <w:p>
            <w:pPr>
              <w:ind w:left="540"/>
              <w:spacing w:after="0" w:line="148" w:lineRule="exact"/>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J.P. MORGAN PARTNERS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40" w:type="dxa"/>
            <w:vAlign w:val="bottom"/>
            <w:gridSpan w:val="7"/>
          </w:tcPr>
          <w:p>
            <w:pPr>
              <w:ind w:left="160"/>
              <w:spacing w:after="0"/>
              <w:rPr>
                <w:sz w:val="20"/>
                <w:szCs w:val="20"/>
                <w:color w:val="auto"/>
              </w:rPr>
            </w:pPr>
            <w:r>
              <w:rPr>
                <w:rFonts w:ascii="Arial" w:cs="Arial" w:eastAsia="Arial" w:hAnsi="Arial"/>
                <w:sz w:val="18"/>
                <w:szCs w:val="18"/>
                <w:color w:val="0000FF"/>
              </w:rPr>
              <w:t>08/30/2004</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1221 AVENUE OF THE AMERICAS 40TH</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vMerge w:val="restart"/>
          </w:tcPr>
          <w:p>
            <w:pPr>
              <w:spacing w:after="0"/>
              <w:rPr>
                <w:sz w:val="20"/>
                <w:szCs w:val="20"/>
                <w:color w:val="auto"/>
              </w:rPr>
            </w:pPr>
            <w:r>
              <w:rPr>
                <w:rFonts w:ascii="Arial" w:cs="Arial" w:eastAsia="Arial" w:hAnsi="Arial"/>
                <w:sz w:val="18"/>
                <w:szCs w:val="18"/>
                <w:color w:val="0000FF"/>
              </w:rPr>
              <w:t>FLOOR</w:t>
            </w: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38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gridSpan w:val="2"/>
          </w:tcPr>
          <w:p>
            <w:pPr>
              <w:spacing w:after="0"/>
              <w:rPr>
                <w:sz w:val="2"/>
                <w:szCs w:val="2"/>
                <w:color w:val="auto"/>
              </w:rPr>
            </w:pPr>
          </w:p>
        </w:tc>
        <w:tc>
          <w:tcPr>
            <w:tcW w:w="48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gridSpan w:val="2"/>
          </w:tcPr>
          <w:p>
            <w:pPr>
              <w:spacing w:after="0"/>
              <w:rPr>
                <w:sz w:val="2"/>
                <w:szCs w:val="2"/>
                <w:color w:val="auto"/>
              </w:rPr>
            </w:pPr>
          </w:p>
        </w:tc>
        <w:tc>
          <w:tcPr>
            <w:tcW w:w="2200" w:type="dxa"/>
            <w:vAlign w:val="bottom"/>
            <w:tcBorders>
              <w:bottom w:val="single" w:sz="8" w:color="2C2C2C"/>
            </w:tcBorders>
            <w:gridSpan w:val="4"/>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3240" w:type="dxa"/>
            <w:vAlign w:val="bottom"/>
            <w:tcBorders>
              <w:bottom w:val="single" w:sz="8" w:color="2C2C2C"/>
            </w:tcBorders>
            <w:gridSpan w:val="5"/>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11"/>
          </w:tcPr>
          <w:p>
            <w:pPr>
              <w:spacing w:after="0"/>
              <w:rPr>
                <w:sz w:val="20"/>
                <w:szCs w:val="20"/>
                <w:color w:val="auto"/>
              </w:rPr>
            </w:pPr>
            <w:r>
              <w:rPr>
                <w:rFonts w:ascii="Arial" w:cs="Arial" w:eastAsia="Arial" w:hAnsi="Arial"/>
                <w:sz w:val="14"/>
                <w:szCs w:val="14"/>
                <w:color w:val="auto"/>
              </w:rPr>
              <w:t>4. If Amendment, Date of Original Filed (Month/Day/Year)</w:t>
            </w:r>
          </w:p>
        </w:tc>
        <w:tc>
          <w:tcPr>
            <w:tcW w:w="160" w:type="dxa"/>
            <w:vAlign w:val="bottom"/>
          </w:tcPr>
          <w:p>
            <w:pPr>
              <w:spacing w:after="0"/>
              <w:rPr>
                <w:sz w:val="17"/>
                <w:szCs w:val="17"/>
                <w:color w:val="auto"/>
              </w:rPr>
            </w:pPr>
          </w:p>
        </w:tc>
        <w:tc>
          <w:tcPr>
            <w:tcW w:w="3440" w:type="dxa"/>
            <w:vAlign w:val="bottom"/>
            <w:gridSpan w:val="7"/>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28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gridSpan w:val="2"/>
          </w:tcPr>
          <w:p>
            <w:pPr>
              <w:ind w:left="80"/>
              <w:spacing w:after="0" w:line="102" w:lineRule="exact"/>
              <w:rPr>
                <w:sz w:val="20"/>
                <w:szCs w:val="20"/>
                <w:color w:val="auto"/>
              </w:rPr>
            </w:pPr>
            <w:r>
              <w:rPr>
                <w:rFonts w:ascii="Arial" w:cs="Arial" w:eastAsia="Arial" w:hAnsi="Arial"/>
                <w:sz w:val="11"/>
                <w:szCs w:val="11"/>
                <w:color w:val="auto"/>
              </w:rPr>
              <w:t>Line)</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960" w:type="dxa"/>
            <w:vAlign w:val="bottom"/>
            <w:gridSpan w:val="5"/>
          </w:tcPr>
          <w:p>
            <w:pPr>
              <w:ind w:left="16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960" w:type="dxa"/>
            <w:vAlign w:val="bottom"/>
            <w:gridSpan w:val="5"/>
            <w:vMerge w:val="restart"/>
          </w:tcPr>
          <w:p>
            <w:pPr>
              <w:ind w:left="1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2"/>
            <w:vMerge w:val="restart"/>
          </w:tcPr>
          <w:p>
            <w:pPr>
              <w:ind w:left="40"/>
              <w:spacing w:after="0"/>
              <w:rPr>
                <w:sz w:val="20"/>
                <w:szCs w:val="20"/>
                <w:color w:val="auto"/>
              </w:rPr>
            </w:pPr>
            <w:r>
              <w:rPr>
                <w:rFonts w:ascii="Arial" w:cs="Arial" w:eastAsia="Arial" w:hAnsi="Arial"/>
                <w:sz w:val="18"/>
                <w:szCs w:val="18"/>
                <w:color w:val="0000FF"/>
              </w:rPr>
              <w:t>NY</w:t>
            </w:r>
          </w:p>
        </w:tc>
        <w:tc>
          <w:tcPr>
            <w:tcW w:w="780" w:type="dxa"/>
            <w:vAlign w:val="bottom"/>
            <w:vMerge w:val="restart"/>
          </w:tcPr>
          <w:p>
            <w:pPr>
              <w:spacing w:after="0"/>
              <w:rPr>
                <w:sz w:val="20"/>
                <w:szCs w:val="20"/>
                <w:color w:val="auto"/>
              </w:rPr>
            </w:pPr>
            <w:r>
              <w:rPr>
                <w:rFonts w:ascii="Arial" w:cs="Arial" w:eastAsia="Arial" w:hAnsi="Arial"/>
                <w:sz w:val="18"/>
                <w:szCs w:val="18"/>
                <w:color w:val="0000FF"/>
              </w:rPr>
              <w:t>10020</w:t>
            </w: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restart"/>
          </w:tcPr>
          <w:p>
            <w:pPr>
              <w:ind w:left="100"/>
              <w:spacing w:after="0"/>
              <w:rPr>
                <w:sz w:val="20"/>
                <w:szCs w:val="20"/>
                <w:color w:val="auto"/>
              </w:rPr>
            </w:pPr>
            <w:r>
              <w:rPr>
                <w:rFonts w:ascii="Arial" w:cs="Arial" w:eastAsia="Arial" w:hAnsi="Arial"/>
                <w:sz w:val="18"/>
                <w:szCs w:val="18"/>
                <w:color w:val="0000FF"/>
              </w:rPr>
              <w:t>X</w:t>
            </w:r>
          </w:p>
        </w:tc>
        <w:tc>
          <w:tcPr>
            <w:tcW w:w="296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00" w:type="dxa"/>
            <w:vAlign w:val="bottom"/>
            <w:gridSpan w:val="2"/>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1300" w:type="dxa"/>
            <w:vAlign w:val="bottom"/>
            <w:tcBorders>
              <w:bottom w:val="single" w:sz="8" w:color="9A9A9A"/>
            </w:tcBorders>
            <w:gridSpan w:val="2"/>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880" w:type="dxa"/>
            <w:vAlign w:val="bottom"/>
            <w:tcBorders>
              <w:bottom w:val="single" w:sz="8" w:color="2C2C2C"/>
            </w:tcBorders>
            <w:gridSpan w:val="2"/>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gridSpan w:val="2"/>
          </w:tcPr>
          <w:p>
            <w:pPr>
              <w:spacing w:after="0"/>
              <w:rPr>
                <w:sz w:val="11"/>
                <w:szCs w:val="11"/>
                <w:color w:val="auto"/>
              </w:rPr>
            </w:pPr>
          </w:p>
        </w:tc>
        <w:tc>
          <w:tcPr>
            <w:tcW w:w="480" w:type="dxa"/>
            <w:vAlign w:val="bottom"/>
            <w:tcBorders>
              <w:bottom w:val="single" w:sz="8" w:color="2C2C2C"/>
            </w:tcBorders>
            <w:gridSpan w:val="2"/>
          </w:tcPr>
          <w:p>
            <w:pPr>
              <w:spacing w:after="0"/>
              <w:rPr>
                <w:sz w:val="11"/>
                <w:szCs w:val="11"/>
                <w:color w:val="auto"/>
              </w:rPr>
            </w:pPr>
          </w:p>
        </w:tc>
        <w:tc>
          <w:tcPr>
            <w:tcW w:w="560" w:type="dxa"/>
            <w:vAlign w:val="bottom"/>
            <w:tcBorders>
              <w:bottom w:val="single" w:sz="8" w:color="2C2C2C"/>
            </w:tcBorders>
            <w:gridSpan w:val="2"/>
          </w:tcPr>
          <w:p>
            <w:pPr>
              <w:spacing w:after="0"/>
              <w:rPr>
                <w:sz w:val="11"/>
                <w:szCs w:val="11"/>
                <w:color w:val="auto"/>
              </w:rPr>
            </w:pPr>
          </w:p>
        </w:tc>
        <w:tc>
          <w:tcPr>
            <w:tcW w:w="2360" w:type="dxa"/>
            <w:vAlign w:val="bottom"/>
            <w:tcBorders>
              <w:bottom w:val="single" w:sz="8" w:color="2C2C2C"/>
            </w:tcBorders>
            <w:gridSpan w:val="5"/>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140" w:type="dxa"/>
            <w:vAlign w:val="bottom"/>
            <w:tcBorders>
              <w:top w:val="single" w:sz="8" w:color="2C2C2C"/>
            </w:tcBorders>
            <w:gridSpan w:val="23"/>
          </w:tcPr>
          <w:p>
            <w:pPr>
              <w:jc w:val="center"/>
              <w:ind w:left="87"/>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5"/>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00" w:type="dxa"/>
            <w:vAlign w:val="bottom"/>
            <w:gridSpan w:val="8"/>
          </w:tcPr>
          <w:p>
            <w:pPr>
              <w:ind w:left="76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4"/>
          </w:tcPr>
          <w:p>
            <w:pPr>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6"/>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4"/>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6"/>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00" w:type="dxa"/>
            <w:vAlign w:val="bottom"/>
            <w:gridSpan w:val="8"/>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3"/>
            <w:vMerge w:val="restart"/>
          </w:tcPr>
          <w:p>
            <w:pPr>
              <w:jc w:val="right"/>
              <w:ind w:right="21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3"/>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00" w:type="dxa"/>
            <w:vAlign w:val="bottom"/>
            <w:tcBorders>
              <w:bottom w:val="single" w:sz="8" w:color="2C2C2C"/>
            </w:tcBorders>
            <w:gridSpan w:val="7"/>
          </w:tcPr>
          <w:p>
            <w:pPr>
              <w:ind w:left="860"/>
              <w:spacing w:after="0"/>
              <w:rPr>
                <w:sz w:val="20"/>
                <w:szCs w:val="20"/>
                <w:color w:val="auto"/>
              </w:rPr>
            </w:pPr>
            <w:r>
              <w:rPr>
                <w:rFonts w:ascii="Arial" w:cs="Arial" w:eastAsia="Arial" w:hAnsi="Arial"/>
                <w:sz w:val="18"/>
                <w:szCs w:val="18"/>
                <w:color w:val="0000FF"/>
              </w:rPr>
              <w:t>08/30/2004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120,271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1.15</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3,620,062</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5"/>
          </w:tcPr>
          <w:p>
            <w:pPr>
              <w:ind w:left="60"/>
              <w:spacing w:after="0"/>
              <w:rPr>
                <w:sz w:val="20"/>
                <w:szCs w:val="20"/>
                <w:color w:val="auto"/>
              </w:rPr>
            </w:pPr>
            <w:r>
              <w:rPr>
                <w:rFonts w:ascii="Arial" w:cs="Arial" w:eastAsia="Arial" w:hAnsi="Arial"/>
                <w:sz w:val="18"/>
                <w:szCs w:val="18"/>
                <w:color w:val="0000FF"/>
              </w:rPr>
              <w:t>Common Stock, .01 par value</w:t>
            </w:r>
          </w:p>
        </w:tc>
        <w:tc>
          <w:tcPr>
            <w:tcW w:w="1800" w:type="dxa"/>
            <w:vAlign w:val="bottom"/>
            <w:tcBorders>
              <w:bottom w:val="single" w:sz="8" w:color="2C2C2C"/>
            </w:tcBorders>
            <w:gridSpan w:val="7"/>
          </w:tcPr>
          <w:p>
            <w:pPr>
              <w:ind w:left="860"/>
              <w:spacing w:after="0"/>
              <w:rPr>
                <w:sz w:val="20"/>
                <w:szCs w:val="20"/>
                <w:color w:val="auto"/>
              </w:rPr>
            </w:pPr>
            <w:r>
              <w:rPr>
                <w:rFonts w:ascii="Arial" w:cs="Arial" w:eastAsia="Arial" w:hAnsi="Arial"/>
                <w:sz w:val="18"/>
                <w:szCs w:val="18"/>
                <w:color w:val="0000FF"/>
              </w:rPr>
              <w:t>08/31/2004</w:t>
            </w: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S</w:t>
            </w:r>
          </w:p>
        </w:tc>
        <w:tc>
          <w:tcPr>
            <w:tcW w:w="1100" w:type="dxa"/>
            <w:vAlign w:val="bottom"/>
            <w:tcBorders>
              <w:bottom w:val="single" w:sz="8" w:color="2C2C2C"/>
            </w:tcBorders>
            <w:gridSpan w:val="2"/>
          </w:tcPr>
          <w:p>
            <w:pPr>
              <w:ind w:left="200"/>
              <w:spacing w:after="0"/>
              <w:rPr>
                <w:sz w:val="20"/>
                <w:szCs w:val="20"/>
                <w:color w:val="auto"/>
              </w:rPr>
            </w:pPr>
            <w:r>
              <w:rPr>
                <w:rFonts w:ascii="Arial" w:cs="Arial" w:eastAsia="Arial" w:hAnsi="Arial"/>
                <w:sz w:val="18"/>
                <w:szCs w:val="18"/>
                <w:color w:val="0000FF"/>
              </w:rPr>
              <w:t>209,680</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1.15</w:t>
            </w:r>
          </w:p>
        </w:tc>
        <w:tc>
          <w:tcPr>
            <w:tcW w:w="1240" w:type="dxa"/>
            <w:vAlign w:val="bottom"/>
            <w:tcBorders>
              <w:bottom w:val="single" w:sz="8" w:color="2C2C2C"/>
            </w:tcBorders>
            <w:gridSpan w:val="2"/>
          </w:tcPr>
          <w:p>
            <w:pPr>
              <w:ind w:left="180"/>
              <w:spacing w:after="0"/>
              <w:rPr>
                <w:sz w:val="20"/>
                <w:szCs w:val="20"/>
                <w:color w:val="auto"/>
              </w:rPr>
            </w:pPr>
            <w:r>
              <w:rPr>
                <w:rFonts w:ascii="Arial" w:cs="Arial" w:eastAsia="Arial" w:hAnsi="Arial"/>
                <w:sz w:val="18"/>
                <w:szCs w:val="18"/>
                <w:color w:val="0000FF"/>
              </w:rPr>
              <w:t>3,410,382</w:t>
            </w:r>
            <w:r>
              <w:rPr>
                <w:rFonts w:ascii="Arial" w:cs="Arial" w:eastAsia="Arial" w:hAnsi="Arial"/>
                <w:sz w:val="22"/>
                <w:szCs w:val="22"/>
                <w:color w:val="008000"/>
                <w:vertAlign w:val="superscript"/>
              </w:rPr>
              <w:t>(1)</w:t>
            </w:r>
          </w:p>
        </w:tc>
        <w:tc>
          <w:tcPr>
            <w:tcW w:w="96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2"/>
          </w:tcPr>
          <w:p>
            <w:pPr>
              <w:jc w:val="center"/>
              <w:ind w:left="887"/>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800" w:type="dxa"/>
            <w:vAlign w:val="bottom"/>
            <w:gridSpan w:val="20"/>
          </w:tcPr>
          <w:p>
            <w:pPr>
              <w:jc w:val="center"/>
              <w:ind w:left="249"/>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4"/>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6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2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3"/>
          </w:tcPr>
          <w:p>
            <w:pPr>
              <w:spacing w:after="0"/>
              <w:rPr>
                <w:sz w:val="4"/>
                <w:szCs w:val="4"/>
                <w:color w:val="auto"/>
              </w:rPr>
            </w:pPr>
          </w:p>
        </w:tc>
        <w:tc>
          <w:tcPr>
            <w:tcW w:w="30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gridSpan w:val="4"/>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4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980" w:type="dxa"/>
            <w:vAlign w:val="bottom"/>
            <w:gridSpan w:val="4"/>
          </w:tcPr>
          <w:p>
            <w:pPr>
              <w:ind w:left="100"/>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320" w:type="dxa"/>
            <w:vAlign w:val="bottom"/>
            <w:tcBorders>
              <w:bottom w:val="single" w:sz="8" w:color="2C2C2C"/>
            </w:tcBorders>
            <w:gridSpan w:val="5"/>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6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6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JP MORGAN PARTNERS BHCA LP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J.P. MORGAN PARTNERS</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w w:val="93"/>
              </w:rPr>
              <w:t>1221 AVENUE OF THE AMERICAS 40TH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8"/>
                <w:szCs w:val="18"/>
                <w:color w:val="0000FF"/>
              </w:rPr>
              <w:t>10020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3320" w:type="dxa"/>
            <w:vAlign w:val="bottom"/>
            <w:tcBorders>
              <w:bottom w:val="single" w:sz="8" w:color="2C2C2C"/>
            </w:tcBorders>
            <w:gridSpan w:val="5"/>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300" w:type="dxa"/>
            <w:vAlign w:val="bottom"/>
          </w:tcPr>
          <w:p>
            <w:pPr>
              <w:spacing w:after="0"/>
              <w:rPr>
                <w:sz w:val="7"/>
                <w:szCs w:val="7"/>
                <w:color w:val="auto"/>
              </w:rPr>
            </w:pPr>
          </w:p>
        </w:tc>
        <w:tc>
          <w:tcPr>
            <w:tcW w:w="460" w:type="dxa"/>
            <w:vAlign w:val="bottom"/>
          </w:tcPr>
          <w:p>
            <w:pPr>
              <w:spacing w:after="0"/>
              <w:rPr>
                <w:sz w:val="7"/>
                <w:szCs w:val="7"/>
                <w:color w:val="auto"/>
              </w:rPr>
            </w:pPr>
          </w:p>
        </w:tc>
        <w:tc>
          <w:tcPr>
            <w:tcW w:w="7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JPMP MASTER FUND MANAGER L P</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Borders>
              <w:top w:val="single" w:sz="8" w:color="0000EE"/>
              <w:bottom w:val="single" w:sz="8" w:color="9A9A9A"/>
            </w:tcBorders>
          </w:tcPr>
          <w:p>
            <w:pPr>
              <w:spacing w:after="0"/>
              <w:rPr>
                <w:sz w:val="15"/>
                <w:szCs w:val="15"/>
                <w:color w:val="auto"/>
              </w:rPr>
            </w:pPr>
          </w:p>
        </w:tc>
        <w:tc>
          <w:tcPr>
            <w:tcW w:w="58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(Last)</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(First)</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4"/>
          </w:tcPr>
          <w:p>
            <w:pPr>
              <w:spacing w:after="0"/>
              <w:rPr>
                <w:sz w:val="20"/>
                <w:szCs w:val="20"/>
                <w:color w:val="auto"/>
              </w:rPr>
            </w:pPr>
            <w:r>
              <w:rPr>
                <w:rFonts w:ascii="Arial" w:cs="Arial" w:eastAsia="Arial" w:hAnsi="Arial"/>
                <w:sz w:val="18"/>
                <w:szCs w:val="18"/>
                <w:color w:val="0000FF"/>
              </w:rPr>
              <w:t>JP MORGAN PARTNERS LLC</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w w:val="93"/>
              </w:rPr>
              <w:t>1221 AVENUE OF THE AMERICAS 40TH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tcPr>
          <w:p>
            <w:pPr>
              <w:ind w:left="20"/>
              <w:spacing w:after="0"/>
              <w:rPr>
                <w:sz w:val="20"/>
                <w:szCs w:val="20"/>
                <w:color w:val="auto"/>
              </w:rPr>
            </w:pPr>
            <w:r>
              <w:rPr>
                <w:rFonts w:ascii="Arial" w:cs="Arial" w:eastAsia="Arial" w:hAnsi="Arial"/>
                <w:sz w:val="18"/>
                <w:szCs w:val="18"/>
                <w:color w:val="0000FF"/>
              </w:rPr>
              <w:t>NY</w:t>
            </w:r>
          </w:p>
        </w:tc>
        <w:tc>
          <w:tcPr>
            <w:tcW w:w="1060" w:type="dxa"/>
            <w:vAlign w:val="bottom"/>
            <w:gridSpan w:val="2"/>
          </w:tcPr>
          <w:p>
            <w:pPr>
              <w:ind w:left="380"/>
              <w:spacing w:after="0"/>
              <w:rPr>
                <w:sz w:val="20"/>
                <w:szCs w:val="20"/>
                <w:color w:val="auto"/>
              </w:rPr>
            </w:pPr>
            <w:r>
              <w:rPr>
                <w:rFonts w:ascii="Arial" w:cs="Arial" w:eastAsia="Arial" w:hAnsi="Arial"/>
                <w:sz w:val="18"/>
                <w:szCs w:val="18"/>
                <w:color w:val="0000FF"/>
              </w:rPr>
              <w:t>10020</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0"/>
                <w:szCs w:val="20"/>
                <w:color w:val="auto"/>
              </w:rPr>
            </w:pPr>
            <w:r>
              <w:rPr>
                <w:rFonts w:ascii="Arial" w:cs="Arial" w:eastAsia="Arial" w:hAnsi="Arial"/>
                <w:sz w:val="14"/>
                <w:szCs w:val="14"/>
                <w:color w:val="auto"/>
              </w:rPr>
              <w:t>(City)</w:t>
            </w: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ind w:left="20"/>
              <w:spacing w:after="0"/>
              <w:rPr>
                <w:sz w:val="20"/>
                <w:szCs w:val="20"/>
                <w:color w:val="auto"/>
              </w:rPr>
            </w:pPr>
            <w:r>
              <w:rPr>
                <w:rFonts w:ascii="Arial" w:cs="Arial" w:eastAsia="Arial" w:hAnsi="Arial"/>
                <w:sz w:val="14"/>
                <w:szCs w:val="14"/>
                <w:color w:val="auto"/>
              </w:rPr>
              <w:t>(State)</w:t>
            </w:r>
          </w:p>
        </w:tc>
        <w:tc>
          <w:tcPr>
            <w:tcW w:w="1260" w:type="dxa"/>
            <w:vAlign w:val="bottom"/>
            <w:gridSpan w:val="4"/>
          </w:tcPr>
          <w:p>
            <w:pPr>
              <w:ind w:left="38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36" w:lineRule="exact"/>
        <w:rPr>
          <w:sz w:val="20"/>
          <w:szCs w:val="20"/>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420"/>
          </w:cols>
          <w:pgMar w:left="240" w:top="226" w:right="239" w:bottom="0" w:gutter="0" w:footer="0" w:header="0"/>
          <w:type w:val="continuous"/>
        </w:sectPr>
      </w:pPr>
    </w:p>
    <w:p>
      <w:pPr>
        <w:ind w:left="120"/>
        <w:spacing w:after="0"/>
        <w:rPr>
          <w:rFonts w:ascii="Arial" w:cs="Arial" w:eastAsia="Arial" w:hAnsi="Arial"/>
          <w:sz w:val="19"/>
          <w:szCs w:val="19"/>
          <w:u w:val="single" w:color="auto"/>
          <w:color w:val="0000EE"/>
        </w:rPr>
      </w:pPr>
      <w:hyperlink r:id="rId15">
        <w:r>
          <w:rPr>
            <w:rFonts w:ascii="Arial" w:cs="Arial" w:eastAsia="Arial" w:hAnsi="Arial"/>
            <w:sz w:val="19"/>
            <w:szCs w:val="19"/>
            <w:u w:val="single" w:color="auto"/>
            <w:color w:val="0000EE"/>
          </w:rPr>
          <w:t>JPMP CAPITAL CORP</w:t>
        </w:r>
      </w:hyperlink>
    </w:p>
    <w:p>
      <w:pPr>
        <w:sectPr>
          <w:pgSz w:w="11900" w:h="16838" w:orient="portrait"/>
          <w:cols w:equalWidth="0" w:num="1">
            <w:col w:w="11420"/>
          </w:cols>
          <w:pgMar w:left="240" w:top="226" w:right="239" w:bottom="0" w:gutter="0" w:footer="0" w:header="0"/>
          <w:type w:val="continuous"/>
        </w:sectPr>
      </w:pPr>
    </w:p>
    <w:bookmarkStart w:id="1" w:name="page2"/>
    <w:bookmarkEnd w:id="1"/>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091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4175" cy="3091180"/>
                    </a:xfrm>
                    <a:prstGeom prst="rect">
                      <a:avLst/>
                    </a:prstGeom>
                    <a:noFill/>
                  </pic:spPr>
                </pic:pic>
              </a:graphicData>
            </a:graphic>
          </wp:anchor>
        </w:drawing>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0"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C/O J.P. MORGAN PARTNERS, LLC</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1221 AVENUE OF THE AMERICAS 40TH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tcPr>
          <w:p>
            <w:pPr>
              <w:ind w:left="160"/>
              <w:spacing w:after="0"/>
              <w:rPr>
                <w:sz w:val="20"/>
                <w:szCs w:val="20"/>
                <w:color w:val="auto"/>
              </w:rPr>
            </w:pPr>
            <w:r>
              <w:rPr>
                <w:rFonts w:ascii="Arial" w:cs="Arial" w:eastAsia="Arial" w:hAnsi="Arial"/>
                <w:sz w:val="18"/>
                <w:szCs w:val="18"/>
                <w:color w:val="0000FF"/>
              </w:rPr>
              <w:t>NY</w:t>
            </w:r>
          </w:p>
        </w:tc>
        <w:tc>
          <w:tcPr>
            <w:tcW w:w="1720" w:type="dxa"/>
            <w:vAlign w:val="bottom"/>
          </w:tcPr>
          <w:p>
            <w:pPr>
              <w:ind w:left="300"/>
              <w:spacing w:after="0"/>
              <w:rPr>
                <w:sz w:val="20"/>
                <w:szCs w:val="20"/>
                <w:color w:val="auto"/>
              </w:rPr>
            </w:pPr>
            <w:r>
              <w:rPr>
                <w:rFonts w:ascii="Arial" w:cs="Arial" w:eastAsia="Arial" w:hAnsi="Arial"/>
                <w:sz w:val="18"/>
                <w:szCs w:val="18"/>
                <w:color w:val="0000FF"/>
              </w:rPr>
              <w:t>10020</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20" w:type="dxa"/>
            <w:vAlign w:val="bottom"/>
            <w:tcBorders>
              <w:bottom w:val="single" w:sz="8" w:color="2C2C2C"/>
            </w:tcBorders>
            <w:gridSpan w:val="2"/>
          </w:tcPr>
          <w:p>
            <w:pPr>
              <w:spacing w:after="0"/>
              <w:rPr>
                <w:sz w:val="7"/>
                <w:szCs w:val="7"/>
                <w:color w:val="auto"/>
              </w:rPr>
            </w:pPr>
          </w:p>
        </w:tc>
        <w:tc>
          <w:tcPr>
            <w:tcW w:w="17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720" w:type="dxa"/>
            <w:vAlign w:val="bottom"/>
            <w:gridSpan w:val="3"/>
          </w:tcPr>
          <w:p>
            <w:pPr>
              <w:ind w:left="60"/>
              <w:spacing w:after="0"/>
              <w:rPr>
                <w:sz w:val="20"/>
                <w:szCs w:val="20"/>
                <w:color w:val="auto"/>
              </w:rPr>
            </w:pPr>
            <w:r>
              <w:rPr>
                <w:rFonts w:ascii="Arial" w:cs="Arial" w:eastAsia="Arial" w:hAnsi="Arial"/>
                <w:sz w:val="14"/>
                <w:szCs w:val="14"/>
                <w:color w:val="auto"/>
                <w:w w:val="97"/>
              </w:rPr>
              <w:t>1. Name and Address of Reporting Person</w:t>
            </w:r>
            <w:r>
              <w:rPr>
                <w:rFonts w:ascii="Arial" w:cs="Arial" w:eastAsia="Arial" w:hAnsi="Arial"/>
                <w:sz w:val="22"/>
                <w:szCs w:val="22"/>
                <w:color w:val="auto"/>
                <w:w w:val="97"/>
                <w:vertAlign w:val="superscript"/>
              </w:rPr>
              <w:t>*</w:t>
            </w:r>
          </w:p>
        </w:tc>
        <w:tc>
          <w:tcPr>
            <w:tcW w:w="17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620" w:type="dxa"/>
            <w:vAlign w:val="bottom"/>
            <w:tcBorders>
              <w:bottom w:val="single" w:sz="8" w:color="0000EE"/>
            </w:tcBorders>
            <w:gridSpan w:val="2"/>
          </w:tcPr>
          <w:p>
            <w:pPr>
              <w:spacing w:after="0" w:line="224" w:lineRule="exact"/>
              <w:rPr>
                <w:rFonts w:ascii="Arial" w:cs="Arial" w:eastAsia="Arial" w:hAnsi="Arial"/>
                <w:sz w:val="22"/>
                <w:szCs w:val="22"/>
                <w:color w:val="0000EE"/>
                <w:w w:val="93"/>
              </w:rPr>
            </w:pPr>
            <w:hyperlink r:id="rId17">
              <w:r>
                <w:rPr>
                  <w:rFonts w:ascii="Arial" w:cs="Arial" w:eastAsia="Arial" w:hAnsi="Arial"/>
                  <w:sz w:val="22"/>
                  <w:szCs w:val="22"/>
                  <w:color w:val="0000EE"/>
                  <w:w w:val="93"/>
                </w:rPr>
                <w:t>J P MORGAN CHASE &amp; CO</w:t>
              </w:r>
            </w:hyperlink>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320" w:type="dxa"/>
            <w:vAlign w:val="bottom"/>
            <w:tcBorders>
              <w:bottom w:val="single" w:sz="8" w:color="9A9A9A"/>
            </w:tcBorders>
          </w:tcPr>
          <w:p>
            <w:pPr>
              <w:spacing w:after="0"/>
              <w:rPr>
                <w:sz w:val="15"/>
                <w:szCs w:val="15"/>
                <w:color w:val="auto"/>
              </w:rPr>
            </w:pPr>
          </w:p>
        </w:tc>
        <w:tc>
          <w:tcPr>
            <w:tcW w:w="17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(Last)</w:t>
            </w:r>
          </w:p>
        </w:tc>
        <w:tc>
          <w:tcPr>
            <w:tcW w:w="1320" w:type="dxa"/>
            <w:vAlign w:val="bottom"/>
          </w:tcPr>
          <w:p>
            <w:pPr>
              <w:ind w:left="160"/>
              <w:spacing w:after="0"/>
              <w:rPr>
                <w:sz w:val="20"/>
                <w:szCs w:val="20"/>
                <w:color w:val="auto"/>
              </w:rPr>
            </w:pPr>
            <w:r>
              <w:rPr>
                <w:rFonts w:ascii="Arial" w:cs="Arial" w:eastAsia="Arial" w:hAnsi="Arial"/>
                <w:sz w:val="14"/>
                <w:szCs w:val="14"/>
                <w:color w:val="auto"/>
              </w:rPr>
              <w:t>(First)</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270 PARK AVE</w:t>
            </w:r>
          </w:p>
        </w:tc>
        <w:tc>
          <w:tcPr>
            <w:tcW w:w="13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39TH FL</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4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300" w:type="dxa"/>
            <w:vAlign w:val="bottom"/>
          </w:tcPr>
          <w:p>
            <w:pPr>
              <w:spacing w:after="0"/>
              <w:rPr>
                <w:sz w:val="20"/>
                <w:szCs w:val="20"/>
                <w:color w:val="auto"/>
              </w:rPr>
            </w:pPr>
            <w:r>
              <w:rPr>
                <w:rFonts w:ascii="Arial" w:cs="Arial" w:eastAsia="Arial" w:hAnsi="Arial"/>
                <w:sz w:val="18"/>
                <w:szCs w:val="18"/>
                <w:color w:val="0000FF"/>
              </w:rPr>
              <w:t>NEW YORK</w:t>
            </w:r>
          </w:p>
        </w:tc>
        <w:tc>
          <w:tcPr>
            <w:tcW w:w="1320" w:type="dxa"/>
            <w:vAlign w:val="bottom"/>
          </w:tcPr>
          <w:p>
            <w:pPr>
              <w:ind w:left="160"/>
              <w:spacing w:after="0"/>
              <w:rPr>
                <w:sz w:val="20"/>
                <w:szCs w:val="20"/>
                <w:color w:val="auto"/>
              </w:rPr>
            </w:pPr>
            <w:r>
              <w:rPr>
                <w:rFonts w:ascii="Arial" w:cs="Arial" w:eastAsia="Arial" w:hAnsi="Arial"/>
                <w:sz w:val="18"/>
                <w:szCs w:val="18"/>
                <w:color w:val="0000FF"/>
              </w:rPr>
              <w:t>NY</w:t>
            </w:r>
          </w:p>
        </w:tc>
        <w:tc>
          <w:tcPr>
            <w:tcW w:w="1720" w:type="dxa"/>
            <w:vAlign w:val="bottom"/>
          </w:tcPr>
          <w:p>
            <w:pPr>
              <w:ind w:left="300"/>
              <w:spacing w:after="0"/>
              <w:rPr>
                <w:sz w:val="20"/>
                <w:szCs w:val="20"/>
                <w:color w:val="auto"/>
              </w:rPr>
            </w:pPr>
            <w:r>
              <w:rPr>
                <w:rFonts w:ascii="Arial" w:cs="Arial" w:eastAsia="Arial" w:hAnsi="Arial"/>
                <w:sz w:val="18"/>
                <w:szCs w:val="18"/>
                <w:color w:val="0000FF"/>
              </w:rPr>
              <w:t>10017</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7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30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160"/>
              <w:spacing w:after="0"/>
              <w:rPr>
                <w:sz w:val="20"/>
                <w:szCs w:val="20"/>
                <w:color w:val="auto"/>
              </w:rPr>
            </w:pPr>
            <w:r>
              <w:rPr>
                <w:rFonts w:ascii="Arial" w:cs="Arial" w:eastAsia="Arial" w:hAnsi="Arial"/>
                <w:sz w:val="14"/>
                <w:szCs w:val="14"/>
                <w:color w:val="auto"/>
              </w:rPr>
              <w:t>(State)</w:t>
            </w:r>
          </w:p>
        </w:tc>
        <w:tc>
          <w:tcPr>
            <w:tcW w:w="1820" w:type="dxa"/>
            <w:vAlign w:val="bottom"/>
            <w:gridSpan w:val="2"/>
          </w:tcPr>
          <w:p>
            <w:pPr>
              <w:ind w:left="30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73"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Reporting Person is a party to a certain Stock Transfer Agreement dated as of March 23, 2004 and a certain Stock Selling Agreement dated as of August 2, 2004 (collectively, the "Selling Stockholder Agreements"). As a result thereof, the Reporting Person, Timothy M. Adams, Bain Capital Fund IV, L.P., Bain Capital Partners V, L.P., BankAmerica Investment Corporation, BCIP Associates, BCIP Trust Associates, L.P., BCIP Trust Associates II, BCIP Trust Associates II-B, BCM Capital Partners, L.P., Daniel F. Beck, Canpartners Investments IV, LLC, Rory J. Cowan, Robert T. Dechant, Enterprise Associates, LLC, Vahram V. Erdekian, Sheila M. Flaherty, Fleet National Bank, Trustee of the Alexander S. Moore Trust dated 6/5/96, Fleet National Bank, Trustee of the Abegail L. Moore Trust dated 6/5/96, Harding Holdings, Inc., Information Partners, Deborah A. Keeman, Jeremiah Kelly, Linwood A. Lacy,* (*continue under remarks)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20" w:right="40"/>
        <w:spacing w:after="0" w:line="227" w:lineRule="auto"/>
        <w:rPr>
          <w:sz w:val="20"/>
          <w:szCs w:val="20"/>
          <w:color w:val="auto"/>
        </w:rPr>
      </w:pPr>
      <w:r>
        <w:rPr>
          <w:rFonts w:ascii="Arial" w:cs="Arial" w:eastAsia="Arial" w:hAnsi="Arial"/>
          <w:sz w:val="14"/>
          <w:szCs w:val="14"/>
          <w:color w:val="008000"/>
        </w:rPr>
        <w:t>*Terence M. Leahy, Stephen D.R. Moore, R. Scott Murray, OCM Mezzanine Fund, L.P., Nicholas G. Nomicos, Morton H. Rosenthal,Sankaty Credit Opportunities, L.P., Sankaty High Yield Partners II, L.P., Sankaty High Yield Partners III, L.P., W. Ken Southerland, Randy S. Stone, David A. Tanner and The Murray 2003 Qualified Annuity Trust (the other parties to the Selling Stockholder Agreements) may be deemed to constitute a "group" for purposes of Section 13(d)(3) of the Securities Exchange Act of 1932, as amended (the "Act") with respect to shares of the Issuer's Common Stock representing 12.86% of the Issuer's Common Stock as of August 19, 2004. The Reporting Person disclaims beneficial ownership of any securities held by any other party to the Selling Stockholder Agreements and the filing of this Form 3 shall not be deemed an admission that the Reporting Person or any other person or persons party to the Selling Shareholders Agreements constitute a "group" for purposes of Section 13(d)(3) of the Act or Rule 13d-5 thereunder. See Exhibit 99.1</w:t>
      </w:r>
    </w:p>
    <w:p>
      <w:pPr>
        <w:sectPr>
          <w:pgSz w:w="11900" w:h="16838" w:orient="portrait"/>
          <w:cols w:equalWidth="0" w:num="1">
            <w:col w:w="11360"/>
          </w:cols>
          <w:pgMar w:left="260" w:top="140" w:right="279" w:bottom="1440" w:gutter="0" w:footer="0" w:header="0"/>
        </w:sectPr>
      </w:pPr>
    </w:p>
    <w:p>
      <w:pPr>
        <w:spacing w:after="0" w:line="61"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J.P. Morgan Partners (BHCA),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60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36017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L.P. By: JPMP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0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2509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Manager, L.P., as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252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12522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partner By: JPMP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1487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1487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Corp., as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12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127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/s/ Thomas Syzmoniak 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349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125349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President and Assistant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401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4013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42100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18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5"/>
          <w:szCs w:val="15"/>
          <w:color w:val="0000FF"/>
        </w:rPr>
        <w:t>09/01/2004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00" w:space="140"/>
            <w:col w:w="2220"/>
          </w:cols>
          <w:pgMar w:left="260" w:top="140" w:right="27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360"/>
          </w:cols>
          <w:pgMar w:left="260" w:top="140" w:right="27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42545" cy="37731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42545" cy="3773170"/>
                    </a:xfrm>
                    <a:prstGeom prst="rect">
                      <a:avLst/>
                    </a:prstGeom>
                    <a:noFill/>
                  </pic:spPr>
                </pic:pic>
              </a:graphicData>
            </a:graphic>
          </wp:anchor>
        </w:drawing>
        <w:drawing>
          <wp:anchor simplePos="0" relativeHeight="251657728" behindDoc="1" locked="0" layoutInCell="0" allowOverlap="1">
            <wp:simplePos x="0" y="0"/>
            <wp:positionH relativeFrom="column">
              <wp:posOffset>1364615</wp:posOffset>
            </wp:positionH>
            <wp:positionV relativeFrom="paragraph">
              <wp:posOffset>147955</wp:posOffset>
            </wp:positionV>
            <wp:extent cx="42545" cy="37560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2007870</wp:posOffset>
            </wp:positionH>
            <wp:positionV relativeFrom="paragraph">
              <wp:posOffset>147955</wp:posOffset>
            </wp:positionV>
            <wp:extent cx="42545" cy="37560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2651125</wp:posOffset>
            </wp:positionH>
            <wp:positionV relativeFrom="paragraph">
              <wp:posOffset>147955</wp:posOffset>
            </wp:positionV>
            <wp:extent cx="42545" cy="37560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3585845</wp:posOffset>
            </wp:positionH>
            <wp:positionV relativeFrom="paragraph">
              <wp:posOffset>147955</wp:posOffset>
            </wp:positionV>
            <wp:extent cx="42545" cy="37560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4374515</wp:posOffset>
            </wp:positionH>
            <wp:positionV relativeFrom="paragraph">
              <wp:posOffset>147955</wp:posOffset>
            </wp:positionV>
            <wp:extent cx="42545" cy="3756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5240655</wp:posOffset>
            </wp:positionH>
            <wp:positionV relativeFrom="paragraph">
              <wp:posOffset>147955</wp:posOffset>
            </wp:positionV>
            <wp:extent cx="42545" cy="37560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5961380</wp:posOffset>
            </wp:positionH>
            <wp:positionV relativeFrom="paragraph">
              <wp:posOffset>147955</wp:posOffset>
            </wp:positionV>
            <wp:extent cx="42545" cy="37560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42545" cy="3756025"/>
                    </a:xfrm>
                    <a:prstGeom prst="rect">
                      <a:avLst/>
                    </a:prstGeom>
                    <a:noFill/>
                  </pic:spPr>
                </pic:pic>
              </a:graphicData>
            </a:graphic>
          </wp:anchor>
        </w:drawing>
        <w:drawing>
          <wp:anchor simplePos="0" relativeHeight="251657728" behindDoc="1" locked="0" layoutInCell="0" allowOverlap="1">
            <wp:simplePos x="0" y="0"/>
            <wp:positionH relativeFrom="column">
              <wp:posOffset>7221855</wp:posOffset>
            </wp:positionH>
            <wp:positionV relativeFrom="paragraph">
              <wp:posOffset>139700</wp:posOffset>
            </wp:positionV>
            <wp:extent cx="42545" cy="37731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42545" cy="3773170"/>
                    </a:xfrm>
                    <a:prstGeom prst="rect">
                      <a:avLst/>
                    </a:prstGeom>
                    <a:noFill/>
                  </pic:spPr>
                </pic:pic>
              </a:graphicData>
            </a:graphic>
          </wp:anchor>
        </w:drawing>
        <w:drawing>
          <wp:anchor simplePos="0" relativeHeight="251657728" behindDoc="1" locked="0" layoutInCell="0" allowOverlap="1">
            <wp:simplePos x="0" y="0"/>
            <wp:positionH relativeFrom="column">
              <wp:posOffset>6681470</wp:posOffset>
            </wp:positionH>
            <wp:positionV relativeFrom="paragraph">
              <wp:posOffset>147955</wp:posOffset>
            </wp:positionV>
            <wp:extent cx="42545" cy="37560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42545" cy="3756025"/>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20" w:type="dxa"/>
            <w:vAlign w:val="bottom"/>
            <w:tcBorders>
              <w:top w:val="single" w:sz="8" w:color="808080"/>
            </w:tcBorders>
          </w:tcPr>
          <w:p>
            <w:pPr>
              <w:spacing w:after="0"/>
              <w:rPr>
                <w:sz w:val="21"/>
                <w:szCs w:val="21"/>
                <w:color w:val="auto"/>
              </w:rPr>
            </w:pPr>
          </w:p>
        </w:tc>
        <w:tc>
          <w:tcPr>
            <w:tcW w:w="2180" w:type="dxa"/>
            <w:vAlign w:val="bottom"/>
            <w:tcBorders>
              <w:top w:val="single" w:sz="8" w:color="2C2C2C"/>
            </w:tcBorders>
          </w:tcPr>
          <w:p>
            <w:pPr>
              <w:spacing w:after="0"/>
              <w:rPr>
                <w:sz w:val="21"/>
                <w:szCs w:val="21"/>
                <w:color w:val="auto"/>
              </w:rPr>
            </w:pPr>
          </w:p>
        </w:tc>
        <w:tc>
          <w:tcPr>
            <w:tcW w:w="98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1360" w:type="dxa"/>
            <w:vAlign w:val="bottom"/>
            <w:tcBorders>
              <w:top w:val="single" w:sz="8" w:color="2C2C2C"/>
            </w:tcBorders>
          </w:tcPr>
          <w:p>
            <w:pPr>
              <w:spacing w:after="0"/>
              <w:rPr>
                <w:sz w:val="21"/>
                <w:szCs w:val="21"/>
                <w:color w:val="auto"/>
              </w:rPr>
            </w:pPr>
          </w:p>
        </w:tc>
        <w:tc>
          <w:tcPr>
            <w:tcW w:w="1220" w:type="dxa"/>
            <w:vAlign w:val="bottom"/>
            <w:tcBorders>
              <w:top w:val="single" w:sz="8" w:color="2C2C2C"/>
            </w:tcBorders>
          </w:tcPr>
          <w:p>
            <w:pPr>
              <w:spacing w:after="0"/>
              <w:rPr>
                <w:sz w:val="21"/>
                <w:szCs w:val="21"/>
                <w:color w:val="auto"/>
              </w:rPr>
            </w:pPr>
          </w:p>
        </w:tc>
        <w:tc>
          <w:tcPr>
            <w:tcW w:w="1380" w:type="dxa"/>
            <w:vAlign w:val="bottom"/>
            <w:tcBorders>
              <w:top w:val="single" w:sz="8" w:color="2C2C2C"/>
            </w:tcBorders>
          </w:tcPr>
          <w:p>
            <w:pPr>
              <w:jc w:val="center"/>
              <w:spacing w:after="0"/>
              <w:rPr>
                <w:sz w:val="20"/>
                <w:szCs w:val="20"/>
                <w:color w:val="auto"/>
              </w:rPr>
            </w:pPr>
            <w:r>
              <w:rPr>
                <w:rFonts w:ascii="Arial" w:cs="Arial" w:eastAsia="Arial" w:hAnsi="Arial"/>
                <w:sz w:val="18"/>
                <w:szCs w:val="18"/>
                <w:b w:val="1"/>
                <w:bCs w:val="1"/>
                <w:color w:val="auto"/>
                <w:w w:val="91"/>
              </w:rPr>
              <w:t>Title of</w:t>
            </w:r>
          </w:p>
        </w:tc>
        <w:tc>
          <w:tcPr>
            <w:tcW w:w="1160" w:type="dxa"/>
            <w:vAlign w:val="bottom"/>
            <w:tcBorders>
              <w:top w:val="single" w:sz="8" w:color="2C2C2C"/>
            </w:tcBorders>
          </w:tcPr>
          <w:p>
            <w:pPr>
              <w:spacing w:after="0"/>
              <w:rPr>
                <w:sz w:val="21"/>
                <w:szCs w:val="21"/>
                <w:color w:val="auto"/>
              </w:rPr>
            </w:pPr>
          </w:p>
        </w:tc>
        <w:tc>
          <w:tcPr>
            <w:tcW w:w="112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0"/>
              </w:rPr>
              <w:t>Derivative</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6"/>
              </w:rPr>
              <w:t>Securities and</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91"/>
              </w:rPr>
              <w:t>Title and</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Date of</w:t>
            </w: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8"/>
              </w:rPr>
              <w:t>Amount of</w:t>
            </w: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Earliest</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Issuer Name,</w:t>
            </w:r>
          </w:p>
        </w:tc>
        <w:tc>
          <w:tcPr>
            <w:tcW w:w="12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8"/>
              </w:rPr>
              <w:t>Nature of</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vMerge w:val="restart"/>
          </w:tcPr>
          <w:p>
            <w:pPr>
              <w:ind w:left="280"/>
              <w:spacing w:after="0"/>
              <w:rPr>
                <w:sz w:val="20"/>
                <w:szCs w:val="20"/>
                <w:color w:val="auto"/>
              </w:rPr>
            </w:pPr>
            <w:r>
              <w:rPr>
                <w:rFonts w:ascii="Arial" w:cs="Arial" w:eastAsia="Arial" w:hAnsi="Arial"/>
                <w:sz w:val="18"/>
                <w:szCs w:val="18"/>
                <w:b w:val="1"/>
                <w:bCs w:val="1"/>
                <w:color w:val="auto"/>
              </w:rPr>
              <w:t>Name and Address of</w:t>
            </w:r>
          </w:p>
        </w:tc>
        <w:tc>
          <w:tcPr>
            <w:tcW w:w="9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4"/>
              </w:rPr>
              <w:t>Designated</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86"/>
              </w:rPr>
              <w:t>Transaction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4"/>
              </w:rPr>
              <w:t>Ticker</w:t>
            </w:r>
          </w:p>
        </w:tc>
        <w:tc>
          <w:tcPr>
            <w:tcW w:w="1220" w:type="dxa"/>
            <w:vAlign w:val="bottom"/>
          </w:tcPr>
          <w:p>
            <w:pPr>
              <w:jc w:val="center"/>
              <w:spacing w:after="0"/>
              <w:rPr>
                <w:sz w:val="20"/>
                <w:szCs w:val="20"/>
                <w:color w:val="auto"/>
              </w:rPr>
            </w:pPr>
            <w:r>
              <w:rPr>
                <w:rFonts w:ascii="Arial" w:cs="Arial" w:eastAsia="Arial" w:hAnsi="Arial"/>
                <w:sz w:val="18"/>
                <w:szCs w:val="18"/>
                <w:b w:val="1"/>
                <w:bCs w:val="1"/>
                <w:color w:val="auto"/>
                <w:w w:val="91"/>
              </w:rPr>
              <w:t>Title and</w:t>
            </w:r>
          </w:p>
        </w:tc>
        <w:tc>
          <w:tcPr>
            <w:tcW w:w="1380" w:type="dxa"/>
            <w:vAlign w:val="bottom"/>
          </w:tcPr>
          <w:p>
            <w:pPr>
              <w:jc w:val="center"/>
              <w:spacing w:after="0"/>
              <w:rPr>
                <w:sz w:val="20"/>
                <w:szCs w:val="20"/>
                <w:color w:val="auto"/>
              </w:rPr>
            </w:pPr>
            <w:r>
              <w:rPr>
                <w:rFonts w:ascii="Arial" w:cs="Arial" w:eastAsia="Arial" w:hAnsi="Arial"/>
                <w:sz w:val="18"/>
                <w:szCs w:val="18"/>
                <w:b w:val="1"/>
                <w:bCs w:val="1"/>
                <w:color w:val="auto"/>
                <w:w w:val="89"/>
              </w:rPr>
              <w:t>Underlying</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4"/>
              </w:rPr>
              <w:t>Form:</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Indirect</w:t>
            </w:r>
          </w:p>
        </w:tc>
        <w:tc>
          <w:tcPr>
            <w:tcW w:w="88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Disclaims</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18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1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7"/>
              </w:rPr>
              <w:t>Required to</w:t>
            </w:r>
          </w:p>
        </w:tc>
        <w:tc>
          <w:tcPr>
            <w:tcW w:w="136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9"/>
              </w:rPr>
              <w:t>or Trading</w:t>
            </w:r>
          </w:p>
        </w:tc>
        <w:tc>
          <w:tcPr>
            <w:tcW w:w="12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8"/>
              </w:rPr>
              <w:t>Amount of</w:t>
            </w:r>
          </w:p>
        </w:tc>
        <w:tc>
          <w:tcPr>
            <w:tcW w:w="138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90"/>
              </w:rPr>
              <w:t>Derivative</w:t>
            </w:r>
          </w:p>
        </w:tc>
        <w:tc>
          <w:tcPr>
            <w:tcW w:w="116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92"/>
              </w:rPr>
              <w:t>Direct (D) or</w:t>
            </w:r>
          </w:p>
        </w:tc>
        <w:tc>
          <w:tcPr>
            <w:tcW w:w="1120" w:type="dxa"/>
            <w:vAlign w:val="bottom"/>
          </w:tcPr>
          <w:p>
            <w:pPr>
              <w:jc w:val="center"/>
              <w:spacing w:after="0" w:line="179" w:lineRule="exact"/>
              <w:rPr>
                <w:sz w:val="20"/>
                <w:szCs w:val="20"/>
                <w:color w:val="auto"/>
              </w:rPr>
            </w:pPr>
            <w:r>
              <w:rPr>
                <w:rFonts w:ascii="Arial" w:cs="Arial" w:eastAsia="Arial" w:hAnsi="Arial"/>
                <w:sz w:val="18"/>
                <w:szCs w:val="18"/>
                <w:b w:val="1"/>
                <w:bCs w:val="1"/>
                <w:color w:val="auto"/>
                <w:w w:val="86"/>
              </w:rPr>
              <w:t>Beneficial</w:t>
            </w:r>
          </w:p>
        </w:tc>
        <w:tc>
          <w:tcPr>
            <w:tcW w:w="880" w:type="dxa"/>
            <w:vAlign w:val="bottom"/>
            <w:gridSpan w:val="2"/>
          </w:tcPr>
          <w:p>
            <w:pPr>
              <w:jc w:val="center"/>
              <w:spacing w:after="0" w:line="179" w:lineRule="exact"/>
              <w:rPr>
                <w:sz w:val="20"/>
                <w:szCs w:val="20"/>
                <w:color w:val="auto"/>
              </w:rPr>
            </w:pPr>
            <w:r>
              <w:rPr>
                <w:rFonts w:ascii="Arial" w:cs="Arial" w:eastAsia="Arial" w:hAnsi="Arial"/>
                <w:sz w:val="18"/>
                <w:szCs w:val="18"/>
                <w:b w:val="1"/>
                <w:bCs w:val="1"/>
                <w:color w:val="auto"/>
                <w:w w:val="88"/>
              </w:rPr>
              <w:t>Pecuniary</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180" w:type="dxa"/>
            <w:vAlign w:val="bottom"/>
            <w:tcBorders>
              <w:bottom w:val="single" w:sz="8" w:color="2C2C2C"/>
            </w:tcBorders>
          </w:tcPr>
          <w:p>
            <w:pPr>
              <w:ind w:left="340"/>
              <w:spacing w:after="0" w:line="281" w:lineRule="exact"/>
              <w:rPr>
                <w:sz w:val="20"/>
                <w:szCs w:val="20"/>
                <w:color w:val="auto"/>
              </w:rPr>
            </w:pPr>
            <w:r>
              <w:rPr>
                <w:rFonts w:ascii="Arial" w:cs="Arial" w:eastAsia="Arial" w:hAnsi="Arial"/>
                <w:sz w:val="18"/>
                <w:szCs w:val="18"/>
                <w:b w:val="1"/>
                <w:bCs w:val="1"/>
                <w:color w:val="auto"/>
              </w:rPr>
              <w:t>Reporting Person</w:t>
            </w:r>
            <w:r>
              <w:rPr>
                <w:rFonts w:ascii="Arial" w:cs="Arial" w:eastAsia="Arial" w:hAnsi="Arial"/>
                <w:sz w:val="29"/>
                <w:szCs w:val="29"/>
                <w:b w:val="1"/>
                <w:bCs w:val="1"/>
                <w:color w:val="auto"/>
                <w:vertAlign w:val="superscript"/>
              </w:rPr>
              <w:t>(1)</w:t>
            </w:r>
          </w:p>
        </w:tc>
        <w:tc>
          <w:tcPr>
            <w:tcW w:w="980" w:type="dxa"/>
            <w:vAlign w:val="bottom"/>
            <w:tcBorders>
              <w:bottom w:val="single" w:sz="8" w:color="2C2C2C"/>
            </w:tcBorders>
          </w:tcPr>
          <w:p>
            <w:pPr>
              <w:jc w:val="center"/>
              <w:spacing w:after="0" w:line="281" w:lineRule="exact"/>
              <w:rPr>
                <w:sz w:val="20"/>
                <w:szCs w:val="20"/>
                <w:color w:val="auto"/>
              </w:rPr>
            </w:pPr>
            <w:r>
              <w:rPr>
                <w:rFonts w:ascii="Arial" w:cs="Arial" w:eastAsia="Arial" w:hAnsi="Arial"/>
                <w:sz w:val="18"/>
                <w:szCs w:val="18"/>
                <w:b w:val="1"/>
                <w:bCs w:val="1"/>
                <w:color w:val="auto"/>
                <w:w w:val="87"/>
              </w:rPr>
              <w:t>Reporter</w:t>
            </w:r>
            <w:r>
              <w:rPr>
                <w:rFonts w:ascii="Arial" w:cs="Arial" w:eastAsia="Arial" w:hAnsi="Arial"/>
                <w:sz w:val="29"/>
                <w:szCs w:val="29"/>
                <w:b w:val="1"/>
                <w:bCs w:val="1"/>
                <w:color w:val="auto"/>
                <w:w w:val="87"/>
                <w:vertAlign w:val="superscript"/>
              </w:rPr>
              <w:t>(1)</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87"/>
              </w:rPr>
              <w:t>be Reported</w:t>
            </w:r>
          </w:p>
        </w:tc>
        <w:tc>
          <w:tcPr>
            <w:tcW w:w="13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86"/>
              </w:rPr>
              <w:t>Symbol</w:t>
            </w:r>
          </w:p>
        </w:tc>
        <w:tc>
          <w:tcPr>
            <w:tcW w:w="12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90"/>
              </w:rPr>
              <w:t>Security</w:t>
            </w:r>
          </w:p>
        </w:tc>
        <w:tc>
          <w:tcPr>
            <w:tcW w:w="13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85"/>
              </w:rPr>
              <w:t>Securities</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94"/>
              </w:rPr>
              <w:t>Indirect (I)</w:t>
            </w:r>
          </w:p>
        </w:tc>
        <w:tc>
          <w:tcPr>
            <w:tcW w:w="112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88"/>
              </w:rPr>
              <w:t>Ownership</w:t>
            </w:r>
          </w:p>
        </w:tc>
        <w:tc>
          <w:tcPr>
            <w:tcW w:w="8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b w:val="1"/>
                <w:bCs w:val="1"/>
                <w:color w:val="auto"/>
                <w:w w:val="89"/>
              </w:rPr>
              <w:t>Interest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1"/>
              </w:rPr>
              <w:t>JPMP Master Fund Manager,</w:t>
            </w:r>
          </w:p>
        </w:tc>
        <w:tc>
          <w:tcPr>
            <w:tcW w:w="980" w:type="dxa"/>
            <w:vAlign w:val="bottom"/>
          </w:tcPr>
          <w:p>
            <w:pPr>
              <w:jc w:val="center"/>
              <w:spacing w:after="0"/>
              <w:rPr>
                <w:sz w:val="20"/>
                <w:szCs w:val="20"/>
                <w:color w:val="auto"/>
              </w:rPr>
            </w:pPr>
            <w:r>
              <w:rPr>
                <w:rFonts w:ascii="Arial" w:cs="Arial" w:eastAsia="Arial" w:hAnsi="Arial"/>
                <w:sz w:val="18"/>
                <w:szCs w:val="18"/>
                <w:color w:val="auto"/>
                <w:w w:val="84"/>
              </w:rPr>
              <w:t>J.P. Morgan</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August 30,</w:t>
            </w:r>
          </w:p>
        </w:tc>
        <w:tc>
          <w:tcPr>
            <w:tcW w:w="1360" w:type="dxa"/>
            <w:vAlign w:val="bottom"/>
          </w:tcPr>
          <w:p>
            <w:pPr>
              <w:jc w:val="center"/>
              <w:spacing w:after="0"/>
              <w:rPr>
                <w:sz w:val="20"/>
                <w:szCs w:val="20"/>
                <w:color w:val="auto"/>
              </w:rPr>
            </w:pPr>
            <w:r>
              <w:rPr>
                <w:rFonts w:ascii="Arial" w:cs="Arial" w:eastAsia="Arial" w:hAnsi="Arial"/>
                <w:sz w:val="18"/>
                <w:szCs w:val="18"/>
                <w:color w:val="auto"/>
                <w:w w:val="95"/>
              </w:rPr>
              <w:t>CMGI, Inc.</w:t>
            </w:r>
          </w:p>
        </w:tc>
        <w:tc>
          <w:tcPr>
            <w:tcW w:w="1220" w:type="dxa"/>
            <w:vAlign w:val="bottom"/>
          </w:tcPr>
          <w:p>
            <w:pPr>
              <w:jc w:val="center"/>
              <w:spacing w:after="0"/>
              <w:rPr>
                <w:sz w:val="20"/>
                <w:szCs w:val="20"/>
                <w:color w:val="auto"/>
              </w:rPr>
            </w:pPr>
            <w:r>
              <w:rPr>
                <w:rFonts w:ascii="Arial" w:cs="Arial" w:eastAsia="Arial" w:hAnsi="Arial"/>
                <w:sz w:val="18"/>
                <w:szCs w:val="18"/>
                <w:color w:val="auto"/>
                <w:w w:val="86"/>
              </w:rPr>
              <w:t>See Table I</w:t>
            </w:r>
          </w:p>
        </w:tc>
        <w:tc>
          <w:tcPr>
            <w:tcW w:w="13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160" w:type="dxa"/>
            <w:vAlign w:val="bottom"/>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Pr>
          <w:p>
            <w:pPr>
              <w:jc w:val="center"/>
              <w:spacing w:after="0"/>
              <w:rPr>
                <w:sz w:val="20"/>
                <w:szCs w:val="20"/>
                <w:color w:val="auto"/>
              </w:rPr>
            </w:pPr>
            <w:r>
              <w:rPr>
                <w:rFonts w:ascii="Arial" w:cs="Arial" w:eastAsia="Arial" w:hAnsi="Arial"/>
                <w:sz w:val="18"/>
                <w:szCs w:val="18"/>
                <w:color w:val="auto"/>
                <w:w w:val="81"/>
              </w:rPr>
              <w:t>See</w:t>
            </w: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86"/>
              </w:rPr>
              <w:t>No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L.P.</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Partners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360" w:type="dxa"/>
            <w:vAlign w:val="bottom"/>
          </w:tcPr>
          <w:p>
            <w:pPr>
              <w:jc w:val="center"/>
              <w:spacing w:after="0"/>
              <w:rPr>
                <w:sz w:val="20"/>
                <w:szCs w:val="20"/>
                <w:color w:val="auto"/>
              </w:rPr>
            </w:pPr>
            <w:r>
              <w:rPr>
                <w:rFonts w:ascii="Arial" w:cs="Arial" w:eastAsia="Arial" w:hAnsi="Arial"/>
                <w:sz w:val="18"/>
                <w:szCs w:val="18"/>
                <w:color w:val="auto"/>
              </w:rPr>
              <w:t>(“CMGI”)</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Explanatory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c/o J.P. Morgan Partners,</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(BHCA),</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Note 2 below</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LLC</w:t>
            </w:r>
          </w:p>
        </w:tc>
        <w:tc>
          <w:tcPr>
            <w:tcW w:w="980" w:type="dxa"/>
            <w:vAlign w:val="bottom"/>
          </w:tcPr>
          <w:p>
            <w:pPr>
              <w:jc w:val="center"/>
              <w:spacing w:after="0"/>
              <w:rPr>
                <w:sz w:val="20"/>
                <w:szCs w:val="20"/>
                <w:color w:val="auto"/>
              </w:rPr>
            </w:pPr>
            <w:r>
              <w:rPr>
                <w:rFonts w:ascii="Arial" w:cs="Arial" w:eastAsia="Arial" w:hAnsi="Arial"/>
                <w:sz w:val="18"/>
                <w:szCs w:val="18"/>
                <w:color w:val="auto"/>
                <w:w w:val="81"/>
              </w:rPr>
              <w:t>L.P.</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0"/>
              </w:rPr>
              <w:t>1221 Avenue of the Americas</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 40th Floor</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218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rPr>
              <w:t>New York, NY 10020</w:t>
            </w:r>
          </w:p>
        </w:tc>
        <w:tc>
          <w:tcPr>
            <w:tcW w:w="98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1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JPMP Capital Corp.</w:t>
            </w:r>
          </w:p>
        </w:tc>
        <w:tc>
          <w:tcPr>
            <w:tcW w:w="9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4"/>
              </w:rPr>
              <w:t>J.P. Morgan</w:t>
            </w:r>
          </w:p>
        </w:tc>
        <w:tc>
          <w:tcPr>
            <w:tcW w:w="11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8"/>
              </w:rPr>
              <w:t>August 30,</w:t>
            </w:r>
          </w:p>
        </w:tc>
        <w:tc>
          <w:tcPr>
            <w:tcW w:w="13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5"/>
              </w:rPr>
              <w:t>CMGI, Inc.</w:t>
            </w:r>
          </w:p>
        </w:tc>
        <w:tc>
          <w:tcPr>
            <w:tcW w:w="12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6"/>
              </w:rPr>
              <w:t>See Table I</w:t>
            </w:r>
          </w:p>
        </w:tc>
        <w:tc>
          <w:tcPr>
            <w:tcW w:w="13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9"/>
              </w:rPr>
              <w:t>N/A</w:t>
            </w:r>
          </w:p>
        </w:tc>
        <w:tc>
          <w:tcPr>
            <w:tcW w:w="11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1"/>
              </w:rPr>
              <w:t>See</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c/o J.P. Morgan Partners,</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Partners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360" w:type="dxa"/>
            <w:vAlign w:val="bottom"/>
          </w:tcPr>
          <w:p>
            <w:pPr>
              <w:jc w:val="center"/>
              <w:spacing w:after="0"/>
              <w:rPr>
                <w:sz w:val="20"/>
                <w:szCs w:val="20"/>
                <w:color w:val="auto"/>
              </w:rPr>
            </w:pPr>
            <w:r>
              <w:rPr>
                <w:rFonts w:ascii="Arial" w:cs="Arial" w:eastAsia="Arial" w:hAnsi="Arial"/>
                <w:sz w:val="18"/>
                <w:szCs w:val="18"/>
                <w:color w:val="auto"/>
              </w:rPr>
              <w:t>(“CMGI”)</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Explanatory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LLC</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(BHCA),</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Note 3 below</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w w:val="90"/>
              </w:rPr>
              <w:t>1221 Avenue of the Americas</w:t>
            </w:r>
          </w:p>
        </w:tc>
        <w:tc>
          <w:tcPr>
            <w:tcW w:w="980" w:type="dxa"/>
            <w:vAlign w:val="bottom"/>
          </w:tcPr>
          <w:p>
            <w:pPr>
              <w:jc w:val="center"/>
              <w:spacing w:after="0"/>
              <w:rPr>
                <w:sz w:val="20"/>
                <w:szCs w:val="20"/>
                <w:color w:val="auto"/>
              </w:rPr>
            </w:pPr>
            <w:r>
              <w:rPr>
                <w:rFonts w:ascii="Arial" w:cs="Arial" w:eastAsia="Arial" w:hAnsi="Arial"/>
                <w:sz w:val="18"/>
                <w:szCs w:val="18"/>
                <w:color w:val="auto"/>
                <w:w w:val="81"/>
              </w:rPr>
              <w:t>L.P.</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 40th Floor</w:t>
            </w: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1"/>
                <w:szCs w:val="21"/>
                <w:color w:val="auto"/>
              </w:rPr>
            </w:pPr>
          </w:p>
        </w:tc>
        <w:tc>
          <w:tcPr>
            <w:tcW w:w="218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rPr>
              <w:t>New York, NY 10020</w:t>
            </w:r>
          </w:p>
        </w:tc>
        <w:tc>
          <w:tcPr>
            <w:tcW w:w="98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136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1160" w:type="dxa"/>
            <w:vAlign w:val="bottom"/>
            <w:tcBorders>
              <w:bottom w:val="single" w:sz="8" w:color="808080"/>
            </w:tcBorders>
          </w:tcPr>
          <w:p>
            <w:pPr>
              <w:spacing w:after="0"/>
              <w:rPr>
                <w:sz w:val="21"/>
                <w:szCs w:val="21"/>
                <w:color w:val="auto"/>
              </w:rPr>
            </w:pPr>
          </w:p>
        </w:tc>
        <w:tc>
          <w:tcPr>
            <w:tcW w:w="112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180" w:type="dxa"/>
            <w:vAlign w:val="bottom"/>
            <w:tcBorders>
              <w:top w:val="single" w:sz="8" w:color="2C2C2C"/>
            </w:tcBorders>
          </w:tcPr>
          <w:p>
            <w:pPr>
              <w:ind w:left="20"/>
              <w:spacing w:after="0"/>
              <w:rPr>
                <w:sz w:val="20"/>
                <w:szCs w:val="20"/>
                <w:color w:val="auto"/>
              </w:rPr>
            </w:pPr>
            <w:r>
              <w:rPr>
                <w:rFonts w:ascii="Arial" w:cs="Arial" w:eastAsia="Arial" w:hAnsi="Arial"/>
                <w:sz w:val="18"/>
                <w:szCs w:val="18"/>
                <w:color w:val="auto"/>
              </w:rPr>
              <w:t>J.P. Morgan Chase &amp; Co.</w:t>
            </w:r>
          </w:p>
        </w:tc>
        <w:tc>
          <w:tcPr>
            <w:tcW w:w="9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4"/>
              </w:rPr>
              <w:t>J.P. Morgan</w:t>
            </w:r>
          </w:p>
        </w:tc>
        <w:tc>
          <w:tcPr>
            <w:tcW w:w="11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8"/>
              </w:rPr>
              <w:t>August 30,</w:t>
            </w:r>
          </w:p>
        </w:tc>
        <w:tc>
          <w:tcPr>
            <w:tcW w:w="13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5"/>
              </w:rPr>
              <w:t>CMGI, Inc.</w:t>
            </w:r>
          </w:p>
        </w:tc>
        <w:tc>
          <w:tcPr>
            <w:tcW w:w="12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6"/>
              </w:rPr>
              <w:t>See Table I</w:t>
            </w:r>
          </w:p>
        </w:tc>
        <w:tc>
          <w:tcPr>
            <w:tcW w:w="138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99"/>
              </w:rPr>
              <w:t>N/A</w:t>
            </w:r>
          </w:p>
        </w:tc>
        <w:tc>
          <w:tcPr>
            <w:tcW w:w="11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1"/>
              </w:rPr>
              <w:t>See</w:t>
            </w:r>
          </w:p>
        </w:tc>
        <w:tc>
          <w:tcPr>
            <w:tcW w:w="860" w:type="dxa"/>
            <w:vAlign w:val="bottom"/>
            <w:tcBorders>
              <w:top w:val="single" w:sz="8" w:color="2C2C2C"/>
            </w:tcBorders>
          </w:tcPr>
          <w:p>
            <w:pPr>
              <w:jc w:val="center"/>
              <w:spacing w:after="0"/>
              <w:rPr>
                <w:sz w:val="20"/>
                <w:szCs w:val="20"/>
                <w:color w:val="auto"/>
              </w:rPr>
            </w:pPr>
            <w:r>
              <w:rPr>
                <w:rFonts w:ascii="Arial" w:cs="Arial" w:eastAsia="Arial" w:hAnsi="Arial"/>
                <w:sz w:val="18"/>
                <w:szCs w:val="18"/>
                <w:color w:val="auto"/>
                <w:w w:val="86"/>
              </w:rPr>
              <w:t>No</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270 Park Avenue</w:t>
            </w:r>
          </w:p>
        </w:tc>
        <w:tc>
          <w:tcPr>
            <w:tcW w:w="980" w:type="dxa"/>
            <w:vAlign w:val="bottom"/>
          </w:tcPr>
          <w:p>
            <w:pPr>
              <w:jc w:val="center"/>
              <w:spacing w:after="0"/>
              <w:rPr>
                <w:sz w:val="20"/>
                <w:szCs w:val="20"/>
                <w:color w:val="auto"/>
              </w:rPr>
            </w:pPr>
            <w:r>
              <w:rPr>
                <w:rFonts w:ascii="Arial" w:cs="Arial" w:eastAsia="Arial" w:hAnsi="Arial"/>
                <w:sz w:val="18"/>
                <w:szCs w:val="18"/>
                <w:color w:val="auto"/>
                <w:w w:val="85"/>
              </w:rPr>
              <w:t>Partners</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2004</w:t>
            </w:r>
          </w:p>
        </w:tc>
        <w:tc>
          <w:tcPr>
            <w:tcW w:w="1360" w:type="dxa"/>
            <w:vAlign w:val="bottom"/>
          </w:tcPr>
          <w:p>
            <w:pPr>
              <w:jc w:val="center"/>
              <w:spacing w:after="0"/>
              <w:rPr>
                <w:sz w:val="20"/>
                <w:szCs w:val="20"/>
                <w:color w:val="auto"/>
              </w:rPr>
            </w:pPr>
            <w:r>
              <w:rPr>
                <w:rFonts w:ascii="Arial" w:cs="Arial" w:eastAsia="Arial" w:hAnsi="Arial"/>
                <w:sz w:val="18"/>
                <w:szCs w:val="18"/>
                <w:color w:val="auto"/>
              </w:rPr>
              <w:t>(“CMGI”)</w:t>
            </w: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Explanatory</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Pr>
          <w:p>
            <w:pPr>
              <w:ind w:left="20"/>
              <w:spacing w:after="0" w:line="216" w:lineRule="exact"/>
              <w:rPr>
                <w:sz w:val="20"/>
                <w:szCs w:val="20"/>
                <w:color w:val="auto"/>
              </w:rPr>
            </w:pPr>
            <w:r>
              <w:rPr>
                <w:rFonts w:ascii="Arial" w:cs="Arial" w:eastAsia="Arial" w:hAnsi="Arial"/>
                <w:sz w:val="16"/>
                <w:szCs w:val="16"/>
                <w:color w:val="auto"/>
              </w:rPr>
              <w:t>35</w:t>
            </w:r>
            <w:r>
              <w:rPr>
                <w:rFonts w:ascii="Arial" w:cs="Arial" w:eastAsia="Arial" w:hAnsi="Arial"/>
                <w:sz w:val="25"/>
                <w:szCs w:val="25"/>
                <w:color w:val="auto"/>
                <w:vertAlign w:val="superscript"/>
              </w:rPr>
              <w:t>th</w:t>
            </w:r>
            <w:r>
              <w:rPr>
                <w:rFonts w:ascii="Arial" w:cs="Arial" w:eastAsia="Arial" w:hAnsi="Arial"/>
                <w:sz w:val="16"/>
                <w:szCs w:val="16"/>
                <w:color w:val="auto"/>
              </w:rPr>
              <w:t xml:space="preserve"> Floor</w:t>
            </w:r>
          </w:p>
        </w:tc>
        <w:tc>
          <w:tcPr>
            <w:tcW w:w="980" w:type="dxa"/>
            <w:vAlign w:val="bottom"/>
          </w:tcPr>
          <w:p>
            <w:pPr>
              <w:jc w:val="center"/>
              <w:spacing w:after="0"/>
              <w:rPr>
                <w:sz w:val="20"/>
                <w:szCs w:val="20"/>
                <w:color w:val="auto"/>
              </w:rPr>
            </w:pPr>
            <w:r>
              <w:rPr>
                <w:rFonts w:ascii="Arial" w:cs="Arial" w:eastAsia="Arial" w:hAnsi="Arial"/>
                <w:sz w:val="18"/>
                <w:szCs w:val="18"/>
                <w:color w:val="auto"/>
                <w:w w:val="98"/>
              </w:rPr>
              <w:t>(BHCA),</w:t>
            </w:r>
          </w:p>
        </w:tc>
        <w:tc>
          <w:tcPr>
            <w:tcW w:w="1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Note 4 below</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2180" w:type="dxa"/>
            <w:vAlign w:val="bottom"/>
            <w:tcBorders>
              <w:bottom w:val="single" w:sz="8" w:color="808080"/>
            </w:tcBorders>
          </w:tcPr>
          <w:p>
            <w:pPr>
              <w:ind w:left="20"/>
              <w:spacing w:after="0"/>
              <w:rPr>
                <w:sz w:val="20"/>
                <w:szCs w:val="20"/>
                <w:color w:val="auto"/>
              </w:rPr>
            </w:pPr>
            <w:r>
              <w:rPr>
                <w:rFonts w:ascii="Arial" w:cs="Arial" w:eastAsia="Arial" w:hAnsi="Arial"/>
                <w:sz w:val="18"/>
                <w:szCs w:val="18"/>
                <w:color w:val="auto"/>
              </w:rPr>
              <w:t>New York, NY 10017</w:t>
            </w:r>
          </w:p>
        </w:tc>
        <w:tc>
          <w:tcPr>
            <w:tcW w:w="980" w:type="dxa"/>
            <w:vAlign w:val="bottom"/>
            <w:tcBorders>
              <w:bottom w:val="single" w:sz="8" w:color="808080"/>
            </w:tcBorders>
          </w:tcPr>
          <w:p>
            <w:pPr>
              <w:jc w:val="center"/>
              <w:spacing w:after="0"/>
              <w:rPr>
                <w:sz w:val="20"/>
                <w:szCs w:val="20"/>
                <w:color w:val="auto"/>
              </w:rPr>
            </w:pPr>
            <w:r>
              <w:rPr>
                <w:rFonts w:ascii="Arial" w:cs="Arial" w:eastAsia="Arial" w:hAnsi="Arial"/>
                <w:sz w:val="18"/>
                <w:szCs w:val="18"/>
                <w:color w:val="auto"/>
                <w:w w:val="81"/>
              </w:rPr>
              <w:t>L.P.</w:t>
            </w:r>
          </w:p>
        </w:tc>
        <w:tc>
          <w:tcPr>
            <w:tcW w:w="112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1220" w:type="dxa"/>
            <w:vAlign w:val="bottom"/>
            <w:tcBorders>
              <w:bottom w:val="single" w:sz="8" w:color="808080"/>
            </w:tcBorders>
          </w:tcPr>
          <w:p>
            <w:pPr>
              <w:spacing w:after="0"/>
              <w:rPr>
                <w:sz w:val="24"/>
                <w:szCs w:val="24"/>
                <w:color w:val="auto"/>
              </w:rPr>
            </w:pPr>
          </w:p>
        </w:tc>
        <w:tc>
          <w:tcPr>
            <w:tcW w:w="13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c>
          <w:tcPr>
            <w:tcW w:w="1120" w:type="dxa"/>
            <w:vAlign w:val="bottom"/>
            <w:tcBorders>
              <w:bottom w:val="single" w:sz="8" w:color="808080"/>
            </w:tcBorders>
          </w:tcPr>
          <w:p>
            <w:pPr>
              <w:spacing w:after="0"/>
              <w:rPr>
                <w:sz w:val="24"/>
                <w:szCs w:val="24"/>
                <w:color w:val="auto"/>
              </w:rPr>
            </w:pPr>
          </w:p>
        </w:tc>
        <w:tc>
          <w:tcPr>
            <w:tcW w:w="860" w:type="dxa"/>
            <w:vAlign w:val="bottom"/>
            <w:tcBorders>
              <w:bottom w:val="single" w:sz="8" w:color="808080"/>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200" w:type="dxa"/>
            <w:vAlign w:val="bottom"/>
            <w:tcBorders>
              <w:top w:val="single" w:sz="8" w:color="2C2C2C"/>
            </w:tcBorders>
            <w:gridSpan w:val="2"/>
          </w:tcPr>
          <w:p>
            <w:pPr>
              <w:spacing w:after="0"/>
              <w:rPr>
                <w:sz w:val="20"/>
                <w:szCs w:val="20"/>
                <w:color w:val="auto"/>
              </w:rPr>
            </w:pPr>
            <w:r>
              <w:rPr>
                <w:rFonts w:ascii="Arial" w:cs="Arial" w:eastAsia="Arial" w:hAnsi="Arial"/>
                <w:sz w:val="18"/>
                <w:szCs w:val="18"/>
                <w:color w:val="auto"/>
              </w:rPr>
              <w:t>Explanatory Note:</w:t>
            </w:r>
          </w:p>
        </w:tc>
        <w:tc>
          <w:tcPr>
            <w:tcW w:w="980" w:type="dxa"/>
            <w:vAlign w:val="bottom"/>
            <w:tcBorders>
              <w:top w:val="single" w:sz="8" w:color="2C2C2C"/>
            </w:tcBorders>
          </w:tcPr>
          <w:p>
            <w:pPr>
              <w:spacing w:after="0"/>
              <w:rPr>
                <w:sz w:val="24"/>
                <w:szCs w:val="24"/>
                <w:color w:val="auto"/>
              </w:rPr>
            </w:pPr>
          </w:p>
        </w:tc>
        <w:tc>
          <w:tcPr>
            <w:tcW w:w="1120" w:type="dxa"/>
            <w:vAlign w:val="bottom"/>
            <w:tcBorders>
              <w:top w:val="single" w:sz="8" w:color="2C2C2C"/>
            </w:tcBorders>
          </w:tcPr>
          <w:p>
            <w:pPr>
              <w:spacing w:after="0"/>
              <w:rPr>
                <w:sz w:val="24"/>
                <w:szCs w:val="24"/>
                <w:color w:val="auto"/>
              </w:rPr>
            </w:pPr>
          </w:p>
        </w:tc>
        <w:tc>
          <w:tcPr>
            <w:tcW w:w="1360" w:type="dxa"/>
            <w:vAlign w:val="bottom"/>
            <w:tcBorders>
              <w:top w:val="single" w:sz="8" w:color="2C2C2C"/>
            </w:tcBorders>
          </w:tcPr>
          <w:p>
            <w:pPr>
              <w:spacing w:after="0"/>
              <w:rPr>
                <w:sz w:val="24"/>
                <w:szCs w:val="24"/>
                <w:color w:val="auto"/>
              </w:rPr>
            </w:pPr>
          </w:p>
        </w:tc>
        <w:tc>
          <w:tcPr>
            <w:tcW w:w="1220" w:type="dxa"/>
            <w:vAlign w:val="bottom"/>
            <w:tcBorders>
              <w:top w:val="single" w:sz="8" w:color="2C2C2C"/>
            </w:tcBorders>
          </w:tcPr>
          <w:p>
            <w:pPr>
              <w:spacing w:after="0"/>
              <w:rPr>
                <w:sz w:val="24"/>
                <w:szCs w:val="24"/>
                <w:color w:val="auto"/>
              </w:rPr>
            </w:pPr>
          </w:p>
        </w:tc>
        <w:tc>
          <w:tcPr>
            <w:tcW w:w="1380" w:type="dxa"/>
            <w:vAlign w:val="bottom"/>
            <w:tcBorders>
              <w:top w:val="single" w:sz="8" w:color="2C2C2C"/>
            </w:tcBorders>
          </w:tcPr>
          <w:p>
            <w:pPr>
              <w:spacing w:after="0"/>
              <w:rPr>
                <w:sz w:val="24"/>
                <w:szCs w:val="24"/>
                <w:color w:val="auto"/>
              </w:rPr>
            </w:pPr>
          </w:p>
        </w:tc>
        <w:tc>
          <w:tcPr>
            <w:tcW w:w="1160" w:type="dxa"/>
            <w:vAlign w:val="bottom"/>
            <w:tcBorders>
              <w:top w:val="single" w:sz="8" w:color="2C2C2C"/>
            </w:tcBorders>
          </w:tcPr>
          <w:p>
            <w:pPr>
              <w:spacing w:after="0"/>
              <w:rPr>
                <w:sz w:val="24"/>
                <w:szCs w:val="24"/>
                <w:color w:val="auto"/>
              </w:rPr>
            </w:pPr>
          </w:p>
        </w:tc>
        <w:tc>
          <w:tcPr>
            <w:tcW w:w="1120" w:type="dxa"/>
            <w:vAlign w:val="bottom"/>
            <w:tcBorders>
              <w:top w:val="single" w:sz="8" w:color="2C2C2C"/>
            </w:tcBorders>
          </w:tcPr>
          <w:p>
            <w:pPr>
              <w:spacing w:after="0"/>
              <w:rPr>
                <w:sz w:val="24"/>
                <w:szCs w:val="24"/>
                <w:color w:val="auto"/>
              </w:rPr>
            </w:pPr>
          </w:p>
        </w:tc>
        <w:tc>
          <w:tcPr>
            <w:tcW w:w="860" w:type="dxa"/>
            <w:vAlign w:val="bottom"/>
            <w:tcBorders>
              <w:top w:val="single" w:sz="8" w:color="2C2C2C"/>
            </w:tcBorders>
          </w:tcPr>
          <w:p>
            <w:pPr>
              <w:spacing w:after="0"/>
              <w:rPr>
                <w:sz w:val="24"/>
                <w:szCs w:val="24"/>
                <w:color w:val="auto"/>
              </w:rPr>
            </w:pPr>
          </w:p>
        </w:tc>
        <w:tc>
          <w:tcPr>
            <w:tcW w:w="20" w:type="dxa"/>
            <w:vAlign w:val="bottom"/>
            <w:tcBorders>
              <w:top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340" w:right="100" w:hanging="332"/>
        <w:spacing w:after="0" w:line="254"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Designated Reporter is executing this report on behalf of all Reporting Persons, each of whom has authorized it to do so. Each of the Reporting Persons disclaims beneficial ownership of the Issuer’s securities to the extent it exceeds such Person’s pecuniary interest.</w:t>
      </w:r>
    </w:p>
    <w:p>
      <w:pPr>
        <w:ind w:left="340" w:right="20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 Morgan Partners (BHCA), L.P. (“JPM BHCA”), a portion of which may be deemed attributable to the Reporting Person because it is the sole general partner of JPM BHCA.</w:t>
      </w:r>
    </w:p>
    <w:p>
      <w:pPr>
        <w:spacing w:after="0" w:line="1" w:lineRule="exact"/>
        <w:rPr>
          <w:rFonts w:ascii="Arial" w:cs="Arial" w:eastAsia="Arial" w:hAnsi="Arial"/>
          <w:sz w:val="16"/>
          <w:szCs w:val="16"/>
          <w:color w:val="auto"/>
        </w:rPr>
      </w:pPr>
    </w:p>
    <w:p>
      <w:pPr>
        <w:ind w:left="340" w:right="160" w:hanging="332"/>
        <w:spacing w:after="0" w:line="281"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JPM BHCA, a portion of which may be deemed attributable to the Reporting Person because it is the general partner of JPMP Master Fund Manager, L.P. (“MF Manager”), the sole general partner of JPM BHCA. The actual pro rata portion of such beneficial ownership that may be deemed to be attributable to the Reporting Person is not readily determinable because it is subject to several variables, including the internal rates of return and vesting of interests within JPM BHCA and MF Manager.</w:t>
      </w:r>
    </w:p>
    <w:p>
      <w:pPr>
        <w:spacing w:after="0" w:line="2" w:lineRule="exact"/>
        <w:rPr>
          <w:rFonts w:ascii="Arial" w:cs="Arial" w:eastAsia="Arial" w:hAnsi="Arial"/>
          <w:sz w:val="16"/>
          <w:szCs w:val="16"/>
          <w:color w:val="auto"/>
        </w:rPr>
      </w:pPr>
    </w:p>
    <w:p>
      <w:pPr>
        <w:ind w:left="340" w:right="320" w:hanging="332"/>
        <w:spacing w:after="0" w:line="295"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amount shown in Table I represents the beneficial ownership of the Issuer’s equity securities by JPM BHCA, a portion of which may be deemed attributable to the Reporting Person because it is the sole stockholder of JPMP Capital Corp. and of Chatham Ventures, Inc., the limited partner of JPM BHCA. The actual pro rata portion of such beneficial ownership that may be attributable to the Reporting Person is not readily determinable because it is subject to several variables, including the internal rates of return and vesting of interests within JPM BHCA and MF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402590</wp:posOffset>
            </wp:positionV>
            <wp:extent cx="7267575"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12" Type="http://schemas.openxmlformats.org/officeDocument/2006/relationships/hyperlink" Target="http://www.sec.gov/cgi-bin/browse-edgar?action=getcompany&amp;CIK=0001106607" TargetMode="External"/><Relationship Id="rId13" Type="http://schemas.openxmlformats.org/officeDocument/2006/relationships/hyperlink" Target="http://www.sec.gov/cgi-bin/browse-edgar?action=getcompany&amp;CIK=0000914712" TargetMode="External"/><Relationship Id="rId14" Type="http://schemas.openxmlformats.org/officeDocument/2006/relationships/hyperlink" Target="http://www.sec.gov/cgi-bin/browse-edgar?action=getcompany&amp;CIK=0001243235" TargetMode="External"/><Relationship Id="rId15" Type="http://schemas.openxmlformats.org/officeDocument/2006/relationships/hyperlink" Target="http://www.sec.gov/cgi-bin/browse-edgar?action=getcompany&amp;CIK=0001243236" TargetMode="External"/><Relationship Id="rId17" Type="http://schemas.openxmlformats.org/officeDocument/2006/relationships/hyperlink" Target="http://www.sec.gov/cgi-bin/browse-edgar?action=getcompany&amp;CIK=000001961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2019-12-12T22:37:48Z</dcterms:created>
  <dcterms:modified xsi:type="dcterms:W3CDTF">2019-12-12T22:37:48Z</dcterms:modified>
</cp:coreProperties>
</file>