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0"/>
        </w:trPr>
        <w:tc>
          <w:tcPr>
            <w:tcW w:w="7220" w:type="dxa"/>
            <w:vAlign w:val="bottom"/>
            <w:vMerge w:val="restart"/>
          </w:tcPr>
          <w:p>
            <w:pPr>
              <w:spacing w:after="0"/>
              <w:rPr>
                <w:sz w:val="20"/>
                <w:szCs w:val="20"/>
                <w:color w:val="auto"/>
              </w:rPr>
            </w:pPr>
            <w:r>
              <w:rPr>
                <w:rFonts w:ascii="Verdana" w:cs="Verdana" w:eastAsia="Verdana" w:hAnsi="Verdana"/>
                <w:sz w:val="27"/>
                <w:szCs w:val="27"/>
                <w:b w:val="1"/>
                <w:bCs w:val="1"/>
                <w:color w:val="BB0826"/>
              </w:rPr>
              <w:t>JPMorgan Chase Financial Company LLC</w:t>
            </w:r>
          </w:p>
        </w:tc>
        <w:tc>
          <w:tcPr>
            <w:tcW w:w="4020" w:type="dxa"/>
            <w:vAlign w:val="bottom"/>
          </w:tcPr>
          <w:p>
            <w:pPr>
              <w:jc w:val="right"/>
              <w:spacing w:after="0"/>
              <w:rPr>
                <w:sz w:val="20"/>
                <w:szCs w:val="20"/>
                <w:color w:val="auto"/>
              </w:rPr>
            </w:pPr>
            <w:r>
              <w:rPr>
                <w:rFonts w:ascii="Verdana" w:cs="Verdana" w:eastAsia="Verdana" w:hAnsi="Verdana"/>
                <w:sz w:val="13"/>
                <w:szCs w:val="13"/>
                <w:color w:val="auto"/>
              </w:rPr>
              <w:t>Filed Pursuant to Rule 433</w:t>
            </w:r>
          </w:p>
        </w:tc>
        <w:tc>
          <w:tcPr>
            <w:tcW w:w="0" w:type="dxa"/>
            <w:vAlign w:val="bottom"/>
          </w:tcPr>
          <w:p>
            <w:pPr>
              <w:spacing w:after="0"/>
              <w:rPr>
                <w:sz w:val="1"/>
                <w:szCs w:val="1"/>
                <w:color w:val="auto"/>
              </w:rPr>
            </w:pPr>
          </w:p>
        </w:tc>
      </w:tr>
      <w:tr>
        <w:trPr>
          <w:trHeight w:val="149"/>
        </w:trPr>
        <w:tc>
          <w:tcPr>
            <w:tcW w:w="7220" w:type="dxa"/>
            <w:vAlign w:val="bottom"/>
            <w:vMerge w:val="continue"/>
          </w:tcPr>
          <w:p>
            <w:pPr>
              <w:spacing w:after="0"/>
              <w:rPr>
                <w:sz w:val="12"/>
                <w:szCs w:val="12"/>
                <w:color w:val="auto"/>
              </w:rPr>
            </w:pPr>
          </w:p>
        </w:tc>
        <w:tc>
          <w:tcPr>
            <w:tcW w:w="4020" w:type="dxa"/>
            <w:vAlign w:val="bottom"/>
          </w:tcPr>
          <w:p>
            <w:pPr>
              <w:jc w:val="right"/>
              <w:spacing w:after="0" w:line="149" w:lineRule="exact"/>
              <w:rPr>
                <w:sz w:val="20"/>
                <w:szCs w:val="20"/>
                <w:color w:val="auto"/>
              </w:rPr>
            </w:pPr>
            <w:r>
              <w:rPr>
                <w:rFonts w:ascii="Verdana" w:cs="Verdana" w:eastAsia="Verdana" w:hAnsi="Verdana"/>
                <w:sz w:val="13"/>
                <w:szCs w:val="13"/>
                <w:color w:val="auto"/>
              </w:rPr>
              <w:t>Registration Statement Nos. 333-270004 and</w:t>
            </w:r>
          </w:p>
        </w:tc>
        <w:tc>
          <w:tcPr>
            <w:tcW w:w="0" w:type="dxa"/>
            <w:vAlign w:val="bottom"/>
          </w:tcPr>
          <w:p>
            <w:pPr>
              <w:spacing w:after="0"/>
              <w:rPr>
                <w:sz w:val="1"/>
                <w:szCs w:val="1"/>
                <w:color w:val="auto"/>
              </w:rPr>
            </w:pPr>
          </w:p>
        </w:tc>
      </w:tr>
      <w:tr>
        <w:trPr>
          <w:trHeight w:val="165"/>
        </w:trPr>
        <w:tc>
          <w:tcPr>
            <w:tcW w:w="7220" w:type="dxa"/>
            <w:vAlign w:val="bottom"/>
            <w:vMerge w:val="restart"/>
          </w:tcPr>
          <w:p>
            <w:pPr>
              <w:spacing w:after="0"/>
              <w:rPr>
                <w:sz w:val="20"/>
                <w:szCs w:val="20"/>
                <w:color w:val="auto"/>
              </w:rPr>
            </w:pPr>
            <w:r>
              <w:rPr>
                <w:rFonts w:ascii="Verdana" w:cs="Verdana" w:eastAsia="Verdana" w:hAnsi="Verdana"/>
                <w:sz w:val="16"/>
                <w:szCs w:val="16"/>
                <w:b w:val="1"/>
                <w:bCs w:val="1"/>
                <w:i w:val="1"/>
                <w:iCs w:val="1"/>
                <w:color w:val="BB0826"/>
              </w:rPr>
              <w:t>Fully and Unconditionally Guaranteed by JPMorgan Chase &amp; Co.</w:t>
            </w:r>
          </w:p>
        </w:tc>
        <w:tc>
          <w:tcPr>
            <w:tcW w:w="4020" w:type="dxa"/>
            <w:vAlign w:val="bottom"/>
          </w:tcPr>
          <w:p>
            <w:pPr>
              <w:jc w:val="right"/>
              <w:spacing w:after="0"/>
              <w:rPr>
                <w:sz w:val="20"/>
                <w:szCs w:val="20"/>
                <w:color w:val="auto"/>
              </w:rPr>
            </w:pPr>
            <w:r>
              <w:rPr>
                <w:rFonts w:ascii="Verdana" w:cs="Verdana" w:eastAsia="Verdana" w:hAnsi="Verdana"/>
                <w:sz w:val="13"/>
                <w:szCs w:val="13"/>
                <w:color w:val="auto"/>
              </w:rPr>
              <w:t>333-270004-01</w:t>
            </w:r>
          </w:p>
        </w:tc>
        <w:tc>
          <w:tcPr>
            <w:tcW w:w="0" w:type="dxa"/>
            <w:vAlign w:val="bottom"/>
          </w:tcPr>
          <w:p>
            <w:pPr>
              <w:spacing w:after="0"/>
              <w:rPr>
                <w:sz w:val="1"/>
                <w:szCs w:val="1"/>
                <w:color w:val="auto"/>
              </w:rPr>
            </w:pPr>
          </w:p>
        </w:tc>
      </w:tr>
      <w:tr>
        <w:trPr>
          <w:trHeight w:val="132"/>
        </w:trPr>
        <w:tc>
          <w:tcPr>
            <w:tcW w:w="7220" w:type="dxa"/>
            <w:vAlign w:val="bottom"/>
            <w:vMerge w:val="continue"/>
          </w:tcPr>
          <w:p>
            <w:pPr>
              <w:spacing w:after="0"/>
              <w:rPr>
                <w:sz w:val="11"/>
                <w:szCs w:val="11"/>
                <w:color w:val="auto"/>
              </w:rPr>
            </w:pPr>
          </w:p>
        </w:tc>
        <w:tc>
          <w:tcPr>
            <w:tcW w:w="4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5362575</wp:posOffset>
            </wp:positionH>
            <wp:positionV relativeFrom="paragraph">
              <wp:posOffset>-90170</wp:posOffset>
            </wp:positionV>
            <wp:extent cx="156908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9085" cy="411480"/>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Verdana" w:cs="Verdana" w:eastAsia="Verdana" w:hAnsi="Verdana"/>
          <w:sz w:val="20"/>
          <w:szCs w:val="20"/>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745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300" w:lineRule="exact"/>
        <w:rPr>
          <w:sz w:val="24"/>
          <w:szCs w:val="24"/>
          <w:color w:val="auto"/>
        </w:rPr>
      </w:pPr>
    </w:p>
    <w:p>
      <w:pPr>
        <w:ind w:left="100" w:right="640"/>
        <w:spacing w:after="0" w:line="270" w:lineRule="auto"/>
        <w:rPr>
          <w:sz w:val="20"/>
          <w:szCs w:val="20"/>
          <w:color w:val="auto"/>
        </w:rPr>
      </w:pPr>
      <w:r>
        <w:rPr>
          <w:rFonts w:ascii="Verdana" w:cs="Verdana" w:eastAsia="Verdana" w:hAnsi="Verdana"/>
          <w:sz w:val="16"/>
          <w:szCs w:val="16"/>
          <w:color w:val="FFFFFF"/>
        </w:rPr>
        <w:t>Market Linked Securities — Auto-Callable with Leveraged Upside Participation, Contingent Absolute Return and Fixed Percentage Buffered Downside</w:t>
      </w:r>
    </w:p>
    <w:p>
      <w:pPr>
        <w:spacing w:after="0" w:line="2" w:lineRule="exact"/>
        <w:rPr>
          <w:sz w:val="24"/>
          <w:szCs w:val="24"/>
          <w:color w:val="auto"/>
        </w:rPr>
      </w:pPr>
    </w:p>
    <w:p>
      <w:pPr>
        <w:ind w:left="100"/>
        <w:spacing w:after="0"/>
        <w:rPr>
          <w:sz w:val="20"/>
          <w:szCs w:val="20"/>
          <w:color w:val="auto"/>
        </w:rPr>
      </w:pPr>
      <w:r>
        <w:rPr>
          <w:rFonts w:ascii="Verdana" w:cs="Verdana" w:eastAsia="Verdana" w:hAnsi="Verdana"/>
          <w:sz w:val="16"/>
          <w:szCs w:val="16"/>
          <w:color w:val="FFFFFF"/>
        </w:rPr>
        <w:t>Principal at Risk Securities Linked to the iShares</w:t>
      </w:r>
      <w:r>
        <w:rPr>
          <w:rFonts w:ascii="Verdana" w:cs="Verdana" w:eastAsia="Verdana" w:hAnsi="Verdana"/>
          <w:sz w:val="26"/>
          <w:szCs w:val="26"/>
          <w:color w:val="FFFFFF"/>
          <w:vertAlign w:val="superscript"/>
        </w:rPr>
        <w:t>®</w:t>
      </w:r>
      <w:r>
        <w:rPr>
          <w:rFonts w:ascii="Verdana" w:cs="Verdana" w:eastAsia="Verdana" w:hAnsi="Verdana"/>
          <w:sz w:val="16"/>
          <w:szCs w:val="16"/>
          <w:color w:val="FFFFFF"/>
        </w:rPr>
        <w:t xml:space="preserve"> Bitcoin Trust ETF due December 1, 2027</w:t>
      </w:r>
    </w:p>
    <w:p>
      <w:pPr>
        <w:ind w:left="100"/>
        <w:spacing w:after="0"/>
        <w:rPr>
          <w:sz w:val="20"/>
          <w:szCs w:val="20"/>
          <w:color w:val="auto"/>
        </w:rPr>
      </w:pPr>
      <w:r>
        <w:rPr>
          <w:rFonts w:ascii="Verdana" w:cs="Verdana" w:eastAsia="Verdana" w:hAnsi="Verdana"/>
          <w:sz w:val="16"/>
          <w:szCs w:val="16"/>
          <w:color w:val="FFFFFF"/>
        </w:rPr>
        <w:t>Fact Sheet dated November 24, 2025 to Preliminary Pricing Supplement dated November 24, 2025</w:t>
      </w:r>
    </w:p>
    <w:p>
      <w:pPr>
        <w:sectPr>
          <w:pgSz w:w="11900" w:h="16838" w:orient="portrait"/>
          <w:cols w:equalWidth="0" w:num="1">
            <w:col w:w="11240"/>
          </w:cols>
          <w:pgMar w:left="320" w:top="211" w:right="339" w:bottom="1440" w:gutter="0" w:footer="0" w:header="0"/>
        </w:sectPr>
      </w:pPr>
    </w:p>
    <w:p>
      <w:pPr>
        <w:spacing w:after="0" w:line="117"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Summary of Terms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88690" cy="642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64204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1900" w:type="dxa"/>
            <w:vAlign w:val="bottom"/>
            <w:tcBorders>
              <w:top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Issuer:</w:t>
            </w:r>
          </w:p>
        </w:tc>
        <w:tc>
          <w:tcPr>
            <w:tcW w:w="3600" w:type="dxa"/>
            <w:vAlign w:val="bottom"/>
            <w:tcBorders>
              <w:top w:val="single" w:sz="8" w:color="auto"/>
              <w:bottom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JPMorgan Chase Financial Company LLC</w:t>
            </w: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3600" w:type="dxa"/>
            <w:vAlign w:val="bottom"/>
            <w:tcBorders>
              <w:bottom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JPMorgan Chase &amp; C0.</w:t>
            </w:r>
          </w:p>
        </w:tc>
      </w:tr>
      <w:tr>
        <w:trPr>
          <w:trHeight w:val="223"/>
        </w:trPr>
        <w:tc>
          <w:tcPr>
            <w:tcW w:w="1900" w:type="dxa"/>
            <w:vAlign w:val="bottom"/>
            <w:tcBorders>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Fund:</w:t>
            </w:r>
          </w:p>
        </w:tc>
        <w:tc>
          <w:tcPr>
            <w:tcW w:w="3600" w:type="dxa"/>
            <w:vAlign w:val="bottom"/>
            <w:tcBorders>
              <w:bottom w:val="single" w:sz="8" w:color="auto"/>
            </w:tcBorders>
            <w:gridSpan w:val="7"/>
          </w:tcPr>
          <w:p>
            <w:pPr>
              <w:ind w:left="100"/>
              <w:spacing w:after="0" w:line="223" w:lineRule="exact"/>
              <w:rPr>
                <w:sz w:val="20"/>
                <w:szCs w:val="20"/>
                <w:color w:val="auto"/>
              </w:rPr>
            </w:pPr>
            <w:r>
              <w:rPr>
                <w:rFonts w:ascii="Georgia" w:cs="Georgia" w:eastAsia="Georgia" w:hAnsi="Georgia"/>
                <w:sz w:val="14"/>
                <w:szCs w:val="14"/>
                <w:color w:val="auto"/>
              </w:rPr>
              <w:t>iShares</w:t>
            </w:r>
            <w:r>
              <w:rPr>
                <w:rFonts w:ascii="Georgia" w:cs="Georgia" w:eastAsia="Georgia" w:hAnsi="Georgia"/>
                <w:sz w:val="26"/>
                <w:szCs w:val="26"/>
                <w:color w:val="auto"/>
                <w:vertAlign w:val="superscript"/>
              </w:rPr>
              <w:t>®</w:t>
            </w:r>
            <w:r>
              <w:rPr>
                <w:rFonts w:ascii="Georgia" w:cs="Georgia" w:eastAsia="Georgia" w:hAnsi="Georgia"/>
                <w:sz w:val="14"/>
                <w:szCs w:val="14"/>
                <w:color w:val="auto"/>
              </w:rPr>
              <w:t xml:space="preserve"> Bitcoin Trust ETF (Bloomberg ticker: IBIT)</w:t>
            </w:r>
          </w:p>
        </w:tc>
      </w:tr>
      <w:tr>
        <w:trPr>
          <w:trHeight w:val="183"/>
        </w:trPr>
        <w:tc>
          <w:tcPr>
            <w:tcW w:w="1900" w:type="dxa"/>
            <w:vAlign w:val="bottom"/>
            <w:tcBorders>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November 26, 2025</w:t>
            </w:r>
          </w:p>
        </w:tc>
      </w:tr>
      <w:tr>
        <w:trPr>
          <w:trHeight w:val="183"/>
        </w:trPr>
        <w:tc>
          <w:tcPr>
            <w:tcW w:w="1900" w:type="dxa"/>
            <w:vAlign w:val="bottom"/>
            <w:tcBorders>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December 2, 2025</w:t>
            </w:r>
          </w:p>
        </w:tc>
      </w:tr>
      <w:tr>
        <w:trPr>
          <w:trHeight w:val="183"/>
        </w:trPr>
        <w:tc>
          <w:tcPr>
            <w:tcW w:w="1900" w:type="dxa"/>
            <w:vAlign w:val="bottom"/>
            <w:tcBorders>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Final Calculation Day</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November 26, 2027</w:t>
            </w:r>
          </w:p>
        </w:tc>
      </w:tr>
      <w:tr>
        <w:trPr>
          <w:trHeight w:val="183"/>
        </w:trPr>
        <w:tc>
          <w:tcPr>
            <w:tcW w:w="1900" w:type="dxa"/>
            <w:vAlign w:val="bottom"/>
            <w:tcBorders>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December 1, 2027</w:t>
            </w: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3600" w:type="dxa"/>
            <w:vAlign w:val="bottom"/>
            <w:tcBorders>
              <w:bottom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58"/>
        </w:trPr>
        <w:tc>
          <w:tcPr>
            <w:tcW w:w="1900" w:type="dxa"/>
            <w:vAlign w:val="bottom"/>
            <w:tcBorders>
              <w:right w:val="single" w:sz="8" w:color="auto"/>
            </w:tcBorders>
          </w:tcPr>
          <w:p>
            <w:pPr>
              <w:ind w:left="120"/>
              <w:spacing w:after="0"/>
              <w:rPr>
                <w:sz w:val="20"/>
                <w:szCs w:val="20"/>
                <w:color w:val="auto"/>
              </w:rPr>
            </w:pPr>
            <w:r>
              <w:rPr>
                <w:rFonts w:ascii="Georgia" w:cs="Georgia" w:eastAsia="Georgia" w:hAnsi="Georgia"/>
                <w:sz w:val="14"/>
                <w:szCs w:val="14"/>
                <w:color w:val="auto"/>
              </w:rPr>
              <w:t>Automatic Call:</w:t>
            </w: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If the fund closing price of the Fund on the call date</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is greater than or equal to the starting price, the</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securities will be automatically called, and on the call</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settlement date, investors will receive the principal</w:t>
            </w: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 xml:space="preserve">amount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the call premium.</w:t>
            </w:r>
          </w:p>
        </w:tc>
      </w:tr>
      <w:tr>
        <w:trPr>
          <w:trHeight w:val="158"/>
        </w:trPr>
        <w:tc>
          <w:tcPr>
            <w:tcW w:w="1900" w:type="dxa"/>
            <w:vAlign w:val="bottom"/>
            <w:tcBorders>
              <w:right w:val="single" w:sz="8" w:color="auto"/>
            </w:tcBorders>
          </w:tcPr>
          <w:p>
            <w:pPr>
              <w:ind w:left="120"/>
              <w:spacing w:after="0"/>
              <w:rPr>
                <w:sz w:val="20"/>
                <w:szCs w:val="20"/>
                <w:color w:val="auto"/>
              </w:rPr>
            </w:pPr>
            <w:r>
              <w:rPr>
                <w:rFonts w:ascii="Georgia" w:cs="Georgia" w:eastAsia="Georgia" w:hAnsi="Georgia"/>
                <w:sz w:val="14"/>
                <w:szCs w:val="14"/>
                <w:color w:val="auto"/>
              </w:rPr>
              <w:t>Call Premium:</w:t>
            </w: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At least 19.70% of the principal amount (the actual</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call premium will be provided in the pricing</w:t>
            </w: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supplement)</w:t>
            </w:r>
          </w:p>
        </w:tc>
      </w:tr>
      <w:tr>
        <w:trPr>
          <w:trHeight w:val="183"/>
        </w:trPr>
        <w:tc>
          <w:tcPr>
            <w:tcW w:w="1900" w:type="dxa"/>
            <w:vAlign w:val="bottom"/>
            <w:tcBorders>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December 2, 2026</w:t>
            </w:r>
          </w:p>
        </w:tc>
      </w:tr>
      <w:tr>
        <w:trPr>
          <w:trHeight w:val="183"/>
        </w:trPr>
        <w:tc>
          <w:tcPr>
            <w:tcW w:w="1900" w:type="dxa"/>
            <w:vAlign w:val="bottom"/>
            <w:tcBorders>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1"/>
                <w:szCs w:val="21"/>
                <w:color w:val="auto"/>
                <w:vertAlign w:val="superscript"/>
              </w:rPr>
              <w:t>1,2</w:t>
            </w:r>
            <w:r>
              <w:rPr>
                <w:rFonts w:ascii="Georgia" w:cs="Georgia" w:eastAsia="Georgia" w:hAnsi="Georgia"/>
                <w:sz w:val="13"/>
                <w:szCs w:val="13"/>
                <w:color w:val="auto"/>
              </w:rPr>
              <w:t>:</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Three business days after the call date</w:t>
            </w:r>
          </w:p>
        </w:tc>
      </w:tr>
      <w:tr>
        <w:trPr>
          <w:trHeight w:val="158"/>
        </w:trPr>
        <w:tc>
          <w:tcPr>
            <w:tcW w:w="1900" w:type="dxa"/>
            <w:vAlign w:val="bottom"/>
            <w:tcBorders>
              <w:right w:val="single" w:sz="8" w:color="auto"/>
            </w:tcBorders>
          </w:tcPr>
          <w:p>
            <w:pPr>
              <w:ind w:left="120"/>
              <w:spacing w:after="0"/>
              <w:rPr>
                <w:sz w:val="20"/>
                <w:szCs w:val="20"/>
                <w:color w:val="auto"/>
              </w:rPr>
            </w:pPr>
            <w:r>
              <w:rPr>
                <w:rFonts w:ascii="Georgia" w:cs="Georgia" w:eastAsia="Georgia" w:hAnsi="Georgia"/>
                <w:sz w:val="14"/>
                <w:szCs w:val="14"/>
                <w:color w:val="auto"/>
              </w:rPr>
              <w:t>Maturity Payment</w:t>
            </w: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If the securities are not automatically called on the</w:t>
            </w:r>
          </w:p>
        </w:tc>
      </w:tr>
      <w:tr>
        <w:trPr>
          <w:trHeight w:val="146"/>
        </w:trPr>
        <w:tc>
          <w:tcPr>
            <w:tcW w:w="1900" w:type="dxa"/>
            <w:vAlign w:val="bottom"/>
            <w:tcBorders>
              <w:right w:val="single" w:sz="8" w:color="auto"/>
            </w:tcBorders>
          </w:tcPr>
          <w:p>
            <w:pPr>
              <w:ind w:left="120"/>
              <w:spacing w:after="0" w:line="146" w:lineRule="exact"/>
              <w:rPr>
                <w:sz w:val="20"/>
                <w:szCs w:val="20"/>
                <w:color w:val="auto"/>
              </w:rPr>
            </w:pPr>
            <w:r>
              <w:rPr>
                <w:rFonts w:ascii="Georgia" w:cs="Georgia" w:eastAsia="Georgia" w:hAnsi="Georgia"/>
                <w:sz w:val="14"/>
                <w:szCs w:val="14"/>
                <w:color w:val="auto"/>
              </w:rPr>
              <w:t>Amount:</w:t>
            </w:r>
          </w:p>
        </w:tc>
        <w:tc>
          <w:tcPr>
            <w:tcW w:w="3600" w:type="dxa"/>
            <w:vAlign w:val="bottom"/>
            <w:gridSpan w:val="7"/>
          </w:tcPr>
          <w:p>
            <w:pPr>
              <w:ind w:left="100"/>
              <w:spacing w:after="0" w:line="146" w:lineRule="exact"/>
              <w:rPr>
                <w:sz w:val="20"/>
                <w:szCs w:val="20"/>
                <w:color w:val="auto"/>
              </w:rPr>
            </w:pPr>
            <w:r>
              <w:rPr>
                <w:rFonts w:ascii="Georgia" w:cs="Georgia" w:eastAsia="Georgia" w:hAnsi="Georgia"/>
                <w:sz w:val="14"/>
                <w:szCs w:val="14"/>
                <w:color w:val="auto"/>
              </w:rPr>
              <w:t>call date, the “maturity payment amount” per</w:t>
            </w: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46"/>
        </w:trPr>
        <w:tc>
          <w:tcPr>
            <w:tcW w:w="1900" w:type="dxa"/>
            <w:vAlign w:val="bottom"/>
            <w:tcBorders>
              <w:right w:val="single" w:sz="8" w:color="auto"/>
            </w:tcBorders>
          </w:tcPr>
          <w:p>
            <w:pPr>
              <w:spacing w:after="0"/>
              <w:rPr>
                <w:sz w:val="12"/>
                <w:szCs w:val="12"/>
                <w:color w:val="auto"/>
              </w:rPr>
            </w:pPr>
          </w:p>
        </w:tc>
        <w:tc>
          <w:tcPr>
            <w:tcW w:w="3600" w:type="dxa"/>
            <w:vAlign w:val="bottom"/>
            <w:gridSpan w:val="7"/>
          </w:tcPr>
          <w:p>
            <w:pPr>
              <w:ind w:left="100"/>
              <w:spacing w:after="0" w:line="146" w:lineRule="exact"/>
              <w:rPr>
                <w:sz w:val="20"/>
                <w:szCs w:val="20"/>
                <w:color w:val="auto"/>
              </w:rPr>
            </w:pPr>
            <w:r>
              <w:rPr>
                <w:rFonts w:ascii="Georgia" w:cs="Georgia" w:eastAsia="Georgia" w:hAnsi="Georgia"/>
                <w:sz w:val="14"/>
                <w:szCs w:val="14"/>
                <w:color w:val="auto"/>
              </w:rPr>
              <w:t>security will equal:</w:t>
            </w:r>
          </w:p>
        </w:tc>
      </w:tr>
      <w:tr>
        <w:trPr>
          <w:trHeight w:val="174"/>
        </w:trPr>
        <w:tc>
          <w:tcPr>
            <w:tcW w:w="1900" w:type="dxa"/>
            <w:vAlign w:val="bottom"/>
            <w:tcBorders>
              <w:right w:val="single" w:sz="8" w:color="auto"/>
            </w:tcBorders>
          </w:tcPr>
          <w:p>
            <w:pPr>
              <w:spacing w:after="0"/>
              <w:rPr>
                <w:sz w:val="15"/>
                <w:szCs w:val="15"/>
                <w:color w:val="auto"/>
              </w:rPr>
            </w:pPr>
          </w:p>
        </w:tc>
        <w:tc>
          <w:tcPr>
            <w:tcW w:w="360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w:t>
            </w:r>
            <w:r>
              <w:rPr>
                <w:rFonts w:ascii="Georgia" w:cs="Georgia" w:eastAsia="Georgia" w:hAnsi="Georgia"/>
                <w:sz w:val="14"/>
                <w:szCs w:val="14"/>
                <w:color w:val="auto"/>
              </w:rPr>
              <w:t>if the ending price is greater than the starting</w:t>
            </w:r>
          </w:p>
        </w:tc>
      </w:tr>
      <w:tr>
        <w:trPr>
          <w:trHeight w:val="162"/>
        </w:trPr>
        <w:tc>
          <w:tcPr>
            <w:tcW w:w="19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5"/>
          </w:tcPr>
          <w:p>
            <w:pPr>
              <w:spacing w:after="0"/>
              <w:rPr>
                <w:sz w:val="20"/>
                <w:szCs w:val="20"/>
                <w:color w:val="auto"/>
              </w:rPr>
            </w:pPr>
            <w:r>
              <w:rPr>
                <w:rFonts w:ascii="Georgia" w:cs="Georgia" w:eastAsia="Georgia" w:hAnsi="Georgia"/>
                <w:sz w:val="14"/>
                <w:szCs w:val="14"/>
                <w:color w:val="auto"/>
              </w:rPr>
              <w:t>price:</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$1,000 + ($1,000 × fund return × upside</w:t>
            </w:r>
          </w:p>
        </w:tc>
      </w:tr>
      <w:tr>
        <w:trPr>
          <w:trHeight w:val="150"/>
        </w:trPr>
        <w:tc>
          <w:tcPr>
            <w:tcW w:w="1900" w:type="dxa"/>
            <w:vAlign w:val="bottom"/>
            <w:tcBorders>
              <w:right w:val="single" w:sz="8" w:color="auto"/>
            </w:tcBorders>
          </w:tcPr>
          <w:p>
            <w:pPr>
              <w:spacing w:after="0"/>
              <w:rPr>
                <w:sz w:val="13"/>
                <w:szCs w:val="13"/>
                <w:color w:val="auto"/>
              </w:rPr>
            </w:pPr>
          </w:p>
        </w:tc>
        <w:tc>
          <w:tcPr>
            <w:tcW w:w="3600" w:type="dxa"/>
            <w:vAlign w:val="bottom"/>
            <w:gridSpan w:val="7"/>
          </w:tcPr>
          <w:p>
            <w:pPr>
              <w:ind w:left="100"/>
              <w:spacing w:after="0" w:line="150" w:lineRule="exact"/>
              <w:rPr>
                <w:sz w:val="20"/>
                <w:szCs w:val="20"/>
                <w:color w:val="auto"/>
              </w:rPr>
            </w:pPr>
            <w:r>
              <w:rPr>
                <w:rFonts w:ascii="Georgia" w:cs="Georgia" w:eastAsia="Georgia" w:hAnsi="Georgia"/>
                <w:sz w:val="14"/>
                <w:szCs w:val="14"/>
                <w:color w:val="auto"/>
              </w:rPr>
              <w:t>participation rate);</w:t>
            </w:r>
          </w:p>
        </w:tc>
      </w:tr>
      <w:tr>
        <w:trPr>
          <w:trHeight w:val="174"/>
        </w:trPr>
        <w:tc>
          <w:tcPr>
            <w:tcW w:w="1900" w:type="dxa"/>
            <w:vAlign w:val="bottom"/>
            <w:tcBorders>
              <w:right w:val="single" w:sz="8" w:color="auto"/>
            </w:tcBorders>
          </w:tcPr>
          <w:p>
            <w:pPr>
              <w:spacing w:after="0"/>
              <w:rPr>
                <w:sz w:val="15"/>
                <w:szCs w:val="15"/>
                <w:color w:val="auto"/>
              </w:rPr>
            </w:pPr>
          </w:p>
        </w:tc>
        <w:tc>
          <w:tcPr>
            <w:tcW w:w="360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w:t>
            </w:r>
            <w:r>
              <w:rPr>
                <w:rFonts w:ascii="Georgia" w:cs="Georgia" w:eastAsia="Georgia" w:hAnsi="Georgia"/>
                <w:sz w:val="14"/>
                <w:szCs w:val="14"/>
                <w:color w:val="auto"/>
              </w:rPr>
              <w:t>if the ending price is less than or equal to the</w:t>
            </w:r>
          </w:p>
        </w:tc>
      </w:tr>
      <w:tr>
        <w:trPr>
          <w:trHeight w:val="162"/>
        </w:trPr>
        <w:tc>
          <w:tcPr>
            <w:tcW w:w="19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5"/>
          </w:tcPr>
          <w:p>
            <w:pPr>
              <w:spacing w:after="0"/>
              <w:rPr>
                <w:sz w:val="20"/>
                <w:szCs w:val="20"/>
                <w:color w:val="auto"/>
              </w:rPr>
            </w:pPr>
            <w:r>
              <w:rPr>
                <w:rFonts w:ascii="Georgia" w:cs="Georgia" w:eastAsia="Georgia" w:hAnsi="Georgia"/>
                <w:sz w:val="14"/>
                <w:szCs w:val="14"/>
                <w:color w:val="auto"/>
              </w:rPr>
              <w:t>starting price, but greater than or equal to the</w:t>
            </w:r>
          </w:p>
        </w:tc>
      </w:tr>
      <w:tr>
        <w:trPr>
          <w:trHeight w:val="162"/>
        </w:trPr>
        <w:tc>
          <w:tcPr>
            <w:tcW w:w="19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5"/>
          </w:tcPr>
          <w:p>
            <w:pPr>
              <w:spacing w:after="0"/>
              <w:rPr>
                <w:sz w:val="20"/>
                <w:szCs w:val="20"/>
                <w:color w:val="auto"/>
              </w:rPr>
            </w:pPr>
            <w:r>
              <w:rPr>
                <w:rFonts w:ascii="Georgia" w:cs="Georgia" w:eastAsia="Georgia" w:hAnsi="Georgia"/>
                <w:sz w:val="14"/>
                <w:szCs w:val="14"/>
                <w:color w:val="auto"/>
              </w:rPr>
              <w:t>threshold price:</w:t>
            </w:r>
          </w:p>
        </w:tc>
      </w:tr>
      <w:tr>
        <w:trPr>
          <w:trHeight w:val="150"/>
        </w:trPr>
        <w:tc>
          <w:tcPr>
            <w:tcW w:w="1900" w:type="dxa"/>
            <w:vAlign w:val="bottom"/>
            <w:tcBorders>
              <w:right w:val="single" w:sz="8" w:color="auto"/>
            </w:tcBorders>
          </w:tcPr>
          <w:p>
            <w:pPr>
              <w:spacing w:after="0"/>
              <w:rPr>
                <w:sz w:val="13"/>
                <w:szCs w:val="13"/>
                <w:color w:val="auto"/>
              </w:rPr>
            </w:pPr>
          </w:p>
        </w:tc>
        <w:tc>
          <w:tcPr>
            <w:tcW w:w="3600" w:type="dxa"/>
            <w:vAlign w:val="bottom"/>
            <w:gridSpan w:val="7"/>
          </w:tcPr>
          <w:p>
            <w:pPr>
              <w:ind w:left="200"/>
              <w:spacing w:after="0" w:line="150" w:lineRule="exact"/>
              <w:rPr>
                <w:sz w:val="20"/>
                <w:szCs w:val="20"/>
                <w:color w:val="auto"/>
              </w:rPr>
            </w:pPr>
            <w:r>
              <w:rPr>
                <w:rFonts w:ascii="Georgia" w:cs="Georgia" w:eastAsia="Georgia" w:hAnsi="Georgia"/>
                <w:sz w:val="14"/>
                <w:szCs w:val="14"/>
                <w:color w:val="auto"/>
              </w:rPr>
              <w:t>$1,000 + ($1,000 × absolute fund return); or</w:t>
            </w:r>
          </w:p>
        </w:tc>
      </w:tr>
      <w:tr>
        <w:trPr>
          <w:trHeight w:val="174"/>
        </w:trPr>
        <w:tc>
          <w:tcPr>
            <w:tcW w:w="1900" w:type="dxa"/>
            <w:vAlign w:val="bottom"/>
            <w:tcBorders>
              <w:right w:val="single" w:sz="8" w:color="auto"/>
            </w:tcBorders>
          </w:tcPr>
          <w:p>
            <w:pPr>
              <w:spacing w:after="0"/>
              <w:rPr>
                <w:sz w:val="15"/>
                <w:szCs w:val="15"/>
                <w:color w:val="auto"/>
              </w:rPr>
            </w:pPr>
          </w:p>
        </w:tc>
        <w:tc>
          <w:tcPr>
            <w:tcW w:w="360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w:t>
            </w:r>
            <w:r>
              <w:rPr>
                <w:rFonts w:ascii="Georgia" w:cs="Georgia" w:eastAsia="Georgia" w:hAnsi="Georgia"/>
                <w:sz w:val="14"/>
                <w:szCs w:val="14"/>
                <w:color w:val="auto"/>
              </w:rPr>
              <w:t>if the ending price is less than the threshold</w:t>
            </w:r>
          </w:p>
        </w:tc>
      </w:tr>
      <w:tr>
        <w:trPr>
          <w:trHeight w:val="162"/>
        </w:trPr>
        <w:tc>
          <w:tcPr>
            <w:tcW w:w="19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5"/>
          </w:tcPr>
          <w:p>
            <w:pPr>
              <w:spacing w:after="0"/>
              <w:rPr>
                <w:sz w:val="20"/>
                <w:szCs w:val="20"/>
                <w:color w:val="auto"/>
              </w:rPr>
            </w:pPr>
            <w:r>
              <w:rPr>
                <w:rFonts w:ascii="Georgia" w:cs="Georgia" w:eastAsia="Georgia" w:hAnsi="Georgia"/>
                <w:sz w:val="14"/>
                <w:szCs w:val="14"/>
                <w:color w:val="auto"/>
              </w:rPr>
              <w:t>price:</w:t>
            </w: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$1,000 + [$1,000 × (fund return + buffer amount)]</w:t>
            </w:r>
          </w:p>
        </w:tc>
      </w:tr>
      <w:tr>
        <w:trPr>
          <w:trHeight w:val="158"/>
        </w:trPr>
        <w:tc>
          <w:tcPr>
            <w:tcW w:w="1900" w:type="dxa"/>
            <w:vAlign w:val="bottom"/>
            <w:tcBorders>
              <w:right w:val="single" w:sz="8" w:color="auto"/>
            </w:tcBorders>
          </w:tcPr>
          <w:p>
            <w:pPr>
              <w:ind w:left="120"/>
              <w:spacing w:after="0"/>
              <w:rPr>
                <w:sz w:val="20"/>
                <w:szCs w:val="20"/>
                <w:color w:val="auto"/>
              </w:rPr>
            </w:pPr>
            <w:r>
              <w:rPr>
                <w:rFonts w:ascii="Georgia" w:cs="Georgia" w:eastAsia="Georgia" w:hAnsi="Georgia"/>
                <w:sz w:val="14"/>
                <w:szCs w:val="14"/>
                <w:color w:val="auto"/>
              </w:rPr>
              <w:t>Starting Price:</w:t>
            </w: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The fund closing price of the Fund on the pricing</w:t>
            </w: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date</w:t>
            </w:r>
          </w:p>
        </w:tc>
      </w:tr>
      <w:tr>
        <w:trPr>
          <w:trHeight w:val="158"/>
        </w:trPr>
        <w:tc>
          <w:tcPr>
            <w:tcW w:w="1900" w:type="dxa"/>
            <w:vAlign w:val="bottom"/>
            <w:tcBorders>
              <w:right w:val="single" w:sz="8" w:color="auto"/>
            </w:tcBorders>
          </w:tcPr>
          <w:p>
            <w:pPr>
              <w:ind w:left="120"/>
              <w:spacing w:after="0"/>
              <w:rPr>
                <w:sz w:val="20"/>
                <w:szCs w:val="20"/>
                <w:color w:val="auto"/>
              </w:rPr>
            </w:pPr>
            <w:r>
              <w:rPr>
                <w:rFonts w:ascii="Georgia" w:cs="Georgia" w:eastAsia="Georgia" w:hAnsi="Georgia"/>
                <w:sz w:val="14"/>
                <w:szCs w:val="14"/>
                <w:color w:val="auto"/>
              </w:rPr>
              <w:t>Ending Price:</w:t>
            </w: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The fund closing price of the Fund on the final</w:t>
            </w: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calculation day</w:t>
            </w:r>
          </w:p>
        </w:tc>
      </w:tr>
      <w:tr>
        <w:trPr>
          <w:trHeight w:val="158"/>
        </w:trPr>
        <w:tc>
          <w:tcPr>
            <w:tcW w:w="1900" w:type="dxa"/>
            <w:vAlign w:val="bottom"/>
            <w:tcBorders>
              <w:right w:val="single" w:sz="8" w:color="auto"/>
            </w:tcBorders>
          </w:tcPr>
          <w:p>
            <w:pPr>
              <w:ind w:left="120"/>
              <w:spacing w:after="0"/>
              <w:rPr>
                <w:sz w:val="20"/>
                <w:szCs w:val="20"/>
                <w:color w:val="auto"/>
              </w:rPr>
            </w:pPr>
            <w:r>
              <w:rPr>
                <w:rFonts w:ascii="Georgia" w:cs="Georgia" w:eastAsia="Georgia" w:hAnsi="Georgia"/>
                <w:sz w:val="14"/>
                <w:szCs w:val="14"/>
                <w:color w:val="auto"/>
              </w:rPr>
              <w:t>Upside Participation</w:t>
            </w:r>
          </w:p>
        </w:tc>
        <w:tc>
          <w:tcPr>
            <w:tcW w:w="520" w:type="dxa"/>
            <w:vAlign w:val="bottom"/>
            <w:gridSpan w:val="2"/>
          </w:tcPr>
          <w:p>
            <w:pPr>
              <w:ind w:left="100"/>
              <w:spacing w:after="0"/>
              <w:rPr>
                <w:sz w:val="20"/>
                <w:szCs w:val="20"/>
                <w:color w:val="auto"/>
              </w:rPr>
            </w:pPr>
            <w:r>
              <w:rPr>
                <w:rFonts w:ascii="Georgia" w:cs="Georgia" w:eastAsia="Georgia" w:hAnsi="Georgia"/>
                <w:sz w:val="14"/>
                <w:szCs w:val="14"/>
                <w:color w:val="auto"/>
              </w:rPr>
              <w:t>125%</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1900" w:type="dxa"/>
            <w:vAlign w:val="bottom"/>
            <w:tcBorders>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Rate:</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5"/>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Absolute Fund Return:</w:t>
            </w:r>
          </w:p>
        </w:tc>
        <w:tc>
          <w:tcPr>
            <w:tcW w:w="3600" w:type="dxa"/>
            <w:vAlign w:val="bottom"/>
            <w:tcBorders>
              <w:bottom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The absolute value of the fund return</w:t>
            </w:r>
          </w:p>
        </w:tc>
      </w:tr>
      <w:tr>
        <w:trPr>
          <w:trHeight w:val="179"/>
        </w:trPr>
        <w:tc>
          <w:tcPr>
            <w:tcW w:w="1900" w:type="dxa"/>
            <w:vAlign w:val="bottom"/>
            <w:tcBorders>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Buffer Amount:</w:t>
            </w:r>
          </w:p>
        </w:tc>
        <w:tc>
          <w:tcPr>
            <w:tcW w:w="520" w:type="dxa"/>
            <w:vAlign w:val="bottom"/>
            <w:tcBorders>
              <w:bottom w:val="single" w:sz="8" w:color="auto"/>
            </w:tcBorders>
            <w:gridSpan w:val="2"/>
          </w:tcPr>
          <w:p>
            <w:pPr>
              <w:ind w:left="100"/>
              <w:spacing w:after="0" w:line="179" w:lineRule="exact"/>
              <w:rPr>
                <w:sz w:val="20"/>
                <w:szCs w:val="20"/>
                <w:color w:val="auto"/>
              </w:rPr>
            </w:pPr>
            <w:r>
              <w:rPr>
                <w:rFonts w:ascii="Georgia" w:cs="Georgia" w:eastAsia="Georgia" w:hAnsi="Georgia"/>
                <w:sz w:val="14"/>
                <w:szCs w:val="14"/>
                <w:color w:val="auto"/>
              </w:rPr>
              <w:t>2</w:t>
            </w:r>
            <w:r>
              <w:rPr>
                <w:rFonts w:ascii="Georgia" w:cs="Georgia" w:eastAsia="Georgia" w:hAnsi="Georgia"/>
                <w:sz w:val="16"/>
                <w:szCs w:val="16"/>
                <w:color w:val="auto"/>
              </w:rPr>
              <w:t>0%</w:t>
            </w:r>
          </w:p>
        </w:tc>
        <w:tc>
          <w:tcPr>
            <w:tcW w:w="4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3"/>
        </w:trPr>
        <w:tc>
          <w:tcPr>
            <w:tcW w:w="1900" w:type="dxa"/>
            <w:vAlign w:val="bottom"/>
            <w:tcBorders>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Threshold Price:</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8</w:t>
            </w:r>
            <w:r>
              <w:rPr>
                <w:rFonts w:ascii="Georgia" w:cs="Georgia" w:eastAsia="Georgia" w:hAnsi="Georgia"/>
                <w:sz w:val="16"/>
                <w:szCs w:val="16"/>
                <w:color w:val="auto"/>
              </w:rPr>
              <w:t>0</w:t>
            </w:r>
            <w:r>
              <w:rPr>
                <w:rFonts w:ascii="Georgia" w:cs="Georgia" w:eastAsia="Georgia" w:hAnsi="Georgia"/>
                <w:sz w:val="14"/>
                <w:szCs w:val="14"/>
                <w:color w:val="auto"/>
              </w:rPr>
              <w:t>% of the starting price</w:t>
            </w:r>
          </w:p>
        </w:tc>
      </w:tr>
      <w:tr>
        <w:trPr>
          <w:trHeight w:val="159"/>
        </w:trPr>
        <w:tc>
          <w:tcPr>
            <w:tcW w:w="1900" w:type="dxa"/>
            <w:vAlign w:val="bottom"/>
            <w:tcBorders>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Fund Return:</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(ending price – starting price) / starting price</w:t>
            </w:r>
          </w:p>
        </w:tc>
      </w:tr>
      <w:tr>
        <w:trPr>
          <w:trHeight w:val="149"/>
        </w:trPr>
        <w:tc>
          <w:tcPr>
            <w:tcW w:w="1900" w:type="dxa"/>
            <w:vAlign w:val="bottom"/>
            <w:tcBorders>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Calculation Agent:</w:t>
            </w:r>
          </w:p>
        </w:tc>
        <w:tc>
          <w:tcPr>
            <w:tcW w:w="3600" w:type="dxa"/>
            <w:vAlign w:val="bottom"/>
            <w:tcBorders>
              <w:bottom w:val="single" w:sz="8" w:color="auto"/>
            </w:tcBorders>
            <w:gridSpan w:val="7"/>
          </w:tcPr>
          <w:p>
            <w:pPr>
              <w:ind w:left="100"/>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900" w:type="dxa"/>
            <w:vAlign w:val="bottom"/>
            <w:tcBorders>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Denominations:</w:t>
            </w: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$1,000 and any integral multiple of $1,000</w:t>
            </w:r>
          </w:p>
        </w:tc>
      </w:tr>
      <w:tr>
        <w:trPr>
          <w:trHeight w:val="155"/>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CUSIP:</w:t>
            </w:r>
          </w:p>
        </w:tc>
        <w:tc>
          <w:tcPr>
            <w:tcW w:w="3600" w:type="dxa"/>
            <w:vAlign w:val="bottom"/>
            <w:tcBorders>
              <w:bottom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48136LUV9</w:t>
            </w:r>
          </w:p>
        </w:tc>
      </w:tr>
      <w:tr>
        <w:trPr>
          <w:trHeight w:val="159"/>
        </w:trPr>
        <w:tc>
          <w:tcPr>
            <w:tcW w:w="1900" w:type="dxa"/>
            <w:vAlign w:val="bottom"/>
            <w:tcBorders>
              <w:right w:val="single" w:sz="8" w:color="auto"/>
            </w:tcBorders>
          </w:tcPr>
          <w:p>
            <w:pPr>
              <w:ind w:left="120"/>
              <w:spacing w:after="0"/>
              <w:rPr>
                <w:sz w:val="20"/>
                <w:szCs w:val="20"/>
                <w:color w:val="auto"/>
              </w:rPr>
            </w:pPr>
            <w:r>
              <w:rPr>
                <w:rFonts w:ascii="Georgia" w:cs="Georgia" w:eastAsia="Georgia" w:hAnsi="Georgia"/>
                <w:sz w:val="14"/>
                <w:szCs w:val="14"/>
                <w:color w:val="auto"/>
              </w:rPr>
              <w:t>Fees and Commissions:</w:t>
            </w: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Up to 2.325% for Wells Fargo Securities, LLC</w:t>
            </w:r>
          </w:p>
        </w:tc>
      </w:tr>
      <w:tr>
        <w:trPr>
          <w:trHeight w:val="145"/>
        </w:trPr>
        <w:tc>
          <w:tcPr>
            <w:tcW w:w="1900" w:type="dxa"/>
            <w:vAlign w:val="bottom"/>
            <w:tcBorders>
              <w:right w:val="single" w:sz="8" w:color="auto"/>
            </w:tcBorders>
          </w:tcPr>
          <w:p>
            <w:pPr>
              <w:spacing w:after="0"/>
              <w:rPr>
                <w:sz w:val="12"/>
                <w:szCs w:val="12"/>
                <w:color w:val="auto"/>
              </w:rPr>
            </w:pPr>
          </w:p>
        </w:tc>
        <w:tc>
          <w:tcPr>
            <w:tcW w:w="3600" w:type="dxa"/>
            <w:vAlign w:val="bottom"/>
            <w:gridSpan w:val="7"/>
          </w:tcPr>
          <w:p>
            <w:pPr>
              <w:ind w:left="100"/>
              <w:spacing w:after="0" w:line="146" w:lineRule="exact"/>
              <w:rPr>
                <w:sz w:val="20"/>
                <w:szCs w:val="20"/>
                <w:color w:val="auto"/>
              </w:rPr>
            </w:pPr>
            <w:r>
              <w:rPr>
                <w:rFonts w:ascii="Georgia" w:cs="Georgia" w:eastAsia="Georgia" w:hAnsi="Georgia"/>
                <w:sz w:val="14"/>
                <w:szCs w:val="14"/>
                <w:color w:val="auto"/>
              </w:rPr>
              <w:t>(“WFS”); WFS has advised us that dealers, including</w:t>
            </w: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142"/>
        </w:trPr>
        <w:tc>
          <w:tcPr>
            <w:tcW w:w="1900" w:type="dxa"/>
            <w:vAlign w:val="bottom"/>
            <w:tcBorders>
              <w:right w:val="single" w:sz="8" w:color="auto"/>
            </w:tcBorders>
          </w:tcPr>
          <w:p>
            <w:pPr>
              <w:spacing w:after="0"/>
              <w:rPr>
                <w:sz w:val="12"/>
                <w:szCs w:val="12"/>
                <w:color w:val="auto"/>
              </w:rPr>
            </w:pPr>
          </w:p>
        </w:tc>
        <w:tc>
          <w:tcPr>
            <w:tcW w:w="3600" w:type="dxa"/>
            <w:vAlign w:val="bottom"/>
            <w:gridSpan w:val="7"/>
          </w:tcPr>
          <w:p>
            <w:pPr>
              <w:ind w:left="100"/>
              <w:spacing w:after="0" w:line="142" w:lineRule="exact"/>
              <w:rPr>
                <w:sz w:val="20"/>
                <w:szCs w:val="20"/>
                <w:color w:val="auto"/>
              </w:rPr>
            </w:pPr>
            <w:r>
              <w:rPr>
                <w:rFonts w:ascii="Georgia" w:cs="Georgia" w:eastAsia="Georgia" w:hAnsi="Georgia"/>
                <w:sz w:val="14"/>
                <w:szCs w:val="14"/>
                <w:color w:val="auto"/>
              </w:rPr>
              <w:t>Wells Fargo Advisors (“WFA”), may receive 1.75% of</w:t>
            </w: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158"/>
        </w:trPr>
        <w:tc>
          <w:tcPr>
            <w:tcW w:w="1900" w:type="dxa"/>
            <w:vAlign w:val="bottom"/>
            <w:tcBorders>
              <w:right w:val="single" w:sz="8" w:color="auto"/>
            </w:tcBorders>
          </w:tcPr>
          <w:p>
            <w:pPr>
              <w:spacing w:after="0"/>
              <w:rPr>
                <w:sz w:val="13"/>
                <w:szCs w:val="13"/>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WFS’s fee, and WFA may also receive a distribution</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expense fee of 0.075%. In addition, with respect of</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certain securities sold in this offering, JPMS may pay</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a fee of up to 0.20% to selected dealers in</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consideration for marketing and other services in</w:t>
            </w:r>
          </w:p>
        </w:tc>
      </w:tr>
      <w:tr>
        <w:trPr>
          <w:trHeight w:val="162"/>
        </w:trPr>
        <w:tc>
          <w:tcPr>
            <w:tcW w:w="1900" w:type="dxa"/>
            <w:vAlign w:val="bottom"/>
            <w:tcBorders>
              <w:right w:val="single" w:sz="8" w:color="auto"/>
            </w:tcBorders>
          </w:tcPr>
          <w:p>
            <w:pPr>
              <w:spacing w:after="0"/>
              <w:rPr>
                <w:sz w:val="14"/>
                <w:szCs w:val="14"/>
                <w:color w:val="auto"/>
              </w:rPr>
            </w:pPr>
          </w:p>
        </w:tc>
        <w:tc>
          <w:tcPr>
            <w:tcW w:w="3600" w:type="dxa"/>
            <w:vAlign w:val="bottom"/>
            <w:gridSpan w:val="7"/>
          </w:tcPr>
          <w:p>
            <w:pPr>
              <w:ind w:left="100"/>
              <w:spacing w:after="0"/>
              <w:rPr>
                <w:sz w:val="20"/>
                <w:szCs w:val="20"/>
                <w:color w:val="auto"/>
              </w:rPr>
            </w:pPr>
            <w:r>
              <w:rPr>
                <w:rFonts w:ascii="Georgia" w:cs="Georgia" w:eastAsia="Georgia" w:hAnsi="Georgia"/>
                <w:sz w:val="14"/>
                <w:szCs w:val="14"/>
                <w:color w:val="auto"/>
              </w:rPr>
              <w:t>connection with the distribution of the securities to</w:t>
            </w:r>
          </w:p>
        </w:tc>
      </w:tr>
      <w:tr>
        <w:trPr>
          <w:trHeight w:val="159"/>
        </w:trPr>
        <w:tc>
          <w:tcPr>
            <w:tcW w:w="1900" w:type="dxa"/>
            <w:vAlign w:val="bottom"/>
            <w:tcBorders>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gridSpan w:val="7"/>
          </w:tcPr>
          <w:p>
            <w:pPr>
              <w:ind w:left="100"/>
              <w:spacing w:after="0"/>
              <w:rPr>
                <w:sz w:val="20"/>
                <w:szCs w:val="20"/>
                <w:color w:val="auto"/>
              </w:rPr>
            </w:pPr>
            <w:r>
              <w:rPr>
                <w:rFonts w:ascii="Georgia" w:cs="Georgia" w:eastAsia="Georgia" w:hAnsi="Georgia"/>
                <w:sz w:val="14"/>
                <w:szCs w:val="14"/>
                <w:color w:val="auto"/>
              </w:rPr>
              <w:t>other dealers.</w:t>
            </w:r>
          </w:p>
        </w:tc>
      </w:tr>
      <w:tr>
        <w:trPr>
          <w:trHeight w:val="156"/>
        </w:trPr>
        <w:tc>
          <w:tcPr>
            <w:tcW w:w="1900" w:type="dxa"/>
            <w:vAlign w:val="bottom"/>
            <w:tcBorders>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Tax Considerations:</w:t>
            </w:r>
          </w:p>
        </w:tc>
        <w:tc>
          <w:tcPr>
            <w:tcW w:w="3600" w:type="dxa"/>
            <w:vAlign w:val="bottom"/>
            <w:tcBorders>
              <w:bottom w:val="single" w:sz="8" w:color="auto"/>
            </w:tcBorders>
            <w:gridSpan w:val="7"/>
          </w:tcPr>
          <w:p>
            <w:pPr>
              <w:ind w:left="100"/>
              <w:spacing w:after="0" w:line="156" w:lineRule="exact"/>
              <w:rPr>
                <w:sz w:val="20"/>
                <w:szCs w:val="20"/>
                <w:color w:val="auto"/>
              </w:rPr>
            </w:pPr>
            <w:r>
              <w:rPr>
                <w:rFonts w:ascii="Georgia" w:cs="Georgia" w:eastAsia="Georgia" w:hAnsi="Georgia"/>
                <w:sz w:val="14"/>
                <w:szCs w:val="14"/>
                <w:color w:val="auto"/>
              </w:rPr>
              <w:t>See the preliminary pricing supplement.</w:t>
            </w:r>
          </w:p>
        </w:tc>
      </w:tr>
    </w:tbl>
    <w:p>
      <w:pPr>
        <w:ind w:left="120"/>
        <w:spacing w:after="0" w:line="199" w:lineRule="auto"/>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p>
      <w:pPr>
        <w:ind w:left="120"/>
        <w:spacing w:after="0"/>
        <w:rPr>
          <w:sz w:val="20"/>
          <w:szCs w:val="20"/>
          <w:color w:val="auto"/>
        </w:rPr>
      </w:pPr>
      <w:r>
        <w:rPr>
          <w:rFonts w:ascii="Georgia" w:cs="Georgia" w:eastAsia="Georgia" w:hAnsi="Georgia"/>
          <w:sz w:val="22"/>
          <w:szCs w:val="22"/>
          <w:color w:val="auto"/>
          <w:vertAlign w:val="superscript"/>
        </w:rPr>
        <w:t>2</w:t>
      </w:r>
      <w:r>
        <w:rPr>
          <w:rFonts w:ascii="Georgia" w:cs="Georgia" w:eastAsia="Georgia" w:hAnsi="Georgia"/>
          <w:sz w:val="13"/>
          <w:szCs w:val="13"/>
          <w:color w:val="auto"/>
        </w:rPr>
        <w:t xml:space="preserve"> Subject to postponement or early acceleration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80"/>
        <w:spacing w:after="0"/>
        <w:rPr>
          <w:sz w:val="20"/>
          <w:szCs w:val="20"/>
          <w:color w:val="auto"/>
        </w:rPr>
      </w:pPr>
      <w:r>
        <w:rPr>
          <w:rFonts w:ascii="Verdana" w:cs="Verdana" w:eastAsia="Verdana" w:hAnsi="Verdana"/>
          <w:sz w:val="20"/>
          <w:szCs w:val="20"/>
          <w:color w:val="8F8F8F"/>
        </w:rPr>
        <w:t>Hypothetical Payout Profile*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166370</wp:posOffset>
            </wp:positionH>
            <wp:positionV relativeFrom="paragraph">
              <wp:posOffset>-1905</wp:posOffset>
            </wp:positionV>
            <wp:extent cx="3154680" cy="2057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4680" cy="2057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right="460"/>
        <w:spacing w:after="0" w:line="248" w:lineRule="auto"/>
        <w:rPr>
          <w:sz w:val="20"/>
          <w:szCs w:val="20"/>
          <w:color w:val="auto"/>
        </w:rPr>
      </w:pPr>
      <w:r>
        <w:rPr>
          <w:rFonts w:ascii="Georgia" w:cs="Georgia" w:eastAsia="Georgia" w:hAnsi="Georgia"/>
          <w:sz w:val="14"/>
          <w:szCs w:val="14"/>
          <w:color w:val="auto"/>
        </w:rPr>
        <w:t>*Assumes a call premium equal to the lowest possible call premium that may be determined on the pricing date</w:t>
      </w:r>
    </w:p>
    <w:p>
      <w:pPr>
        <w:spacing w:after="0" w:line="49" w:lineRule="exact"/>
        <w:rPr>
          <w:sz w:val="24"/>
          <w:szCs w:val="24"/>
          <w:color w:val="auto"/>
        </w:rPr>
      </w:pPr>
    </w:p>
    <w:p>
      <w:pPr>
        <w:spacing w:after="0" w:line="245" w:lineRule="auto"/>
        <w:rPr>
          <w:sz w:val="20"/>
          <w:szCs w:val="20"/>
          <w:color w:val="auto"/>
        </w:rPr>
      </w:pPr>
      <w:r>
        <w:rPr>
          <w:rFonts w:ascii="Georgia" w:cs="Georgia" w:eastAsia="Georgia" w:hAnsi="Georgia"/>
          <w:sz w:val="14"/>
          <w:szCs w:val="14"/>
          <w:b w:val="1"/>
          <w:bCs w:val="1"/>
          <w:color w:val="auto"/>
        </w:rPr>
        <w:t>If the securities are automatically called, the positive return on the securities will be limited to the call premium, even if the fund closing price of the Fund on the call date significantly exceeds the starting price. If the securities are automatically called, you will not have the opportunity to participate in any appreciation of the Fund at the upside participation rate or earn any positive return from any depreciation of the Fund due to the absolute fund return feature.</w:t>
      </w:r>
    </w:p>
    <w:p>
      <w:pPr>
        <w:spacing w:after="0" w:line="51" w:lineRule="exact"/>
        <w:rPr>
          <w:sz w:val="24"/>
          <w:szCs w:val="24"/>
          <w:color w:val="auto"/>
        </w:rPr>
      </w:pPr>
    </w:p>
    <w:p>
      <w:pPr>
        <w:ind w:right="20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and the ending price is less than the threshold price, you will have 1-to-1 downside exposure to the decrease in the price of the Fund in excess of the buffer amount and you will lose some and possibly up to 80%, of the principal amount of your securities at maturity.</w:t>
      </w:r>
    </w:p>
    <w:p>
      <w:pPr>
        <w:spacing w:after="0" w:line="52" w:lineRule="exact"/>
        <w:rPr>
          <w:sz w:val="24"/>
          <w:szCs w:val="24"/>
          <w:color w:val="auto"/>
        </w:rPr>
      </w:pPr>
    </w:p>
    <w:p>
      <w:pPr>
        <w:ind w:right="24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268" w:lineRule="exact"/>
        <w:rPr>
          <w:sz w:val="24"/>
          <w:szCs w:val="24"/>
          <w:color w:val="auto"/>
        </w:rPr>
      </w:pPr>
    </w:p>
    <w:p>
      <w:pPr>
        <w:ind w:right="2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$950.90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spacing w:after="0" w:line="268" w:lineRule="exact"/>
        <w:rPr>
          <w:sz w:val="24"/>
          <w:szCs w:val="24"/>
          <w:color w:val="auto"/>
        </w:rPr>
      </w:pPr>
    </w:p>
    <w:p>
      <w:pPr>
        <w:ind w:right="2300"/>
        <w:spacing w:after="0" w:line="246" w:lineRule="auto"/>
        <w:rPr>
          <w:rFonts w:ascii="Georgia" w:cs="Georgia" w:eastAsia="Georgia" w:hAnsi="Georgia"/>
          <w:sz w:val="14"/>
          <w:szCs w:val="14"/>
          <w:u w:val="single" w:color="auto"/>
          <w:color w:val="0000EE"/>
        </w:rPr>
      </w:pPr>
      <w:r>
        <w:rPr>
          <w:rFonts w:ascii="Georgia" w:cs="Georgia" w:eastAsia="Georgia" w:hAnsi="Georgia"/>
          <w:sz w:val="14"/>
          <w:szCs w:val="14"/>
          <w:color w:val="auto"/>
        </w:rPr>
        <w:t xml:space="preserve">Preliminary Pricing Supplement: </w:t>
      </w:r>
      <w:hyperlink r:id="rId12">
        <w:r>
          <w:rPr>
            <w:rFonts w:ascii="Georgia" w:cs="Georgia" w:eastAsia="Georgia" w:hAnsi="Georgia"/>
            <w:sz w:val="14"/>
            <w:szCs w:val="14"/>
            <w:u w:val="single" w:color="auto"/>
            <w:color w:val="0000EE"/>
          </w:rPr>
          <w:t>http://www.sec.gov/Archives/edgar/data/19617/</w:t>
        </w:r>
      </w:hyperlink>
      <w:r>
        <w:rPr>
          <w:rFonts w:ascii="Georgia" w:cs="Georgia" w:eastAsia="Georgia" w:hAnsi="Georgia"/>
          <w:sz w:val="14"/>
          <w:szCs w:val="14"/>
          <w:u w:val="single" w:color="auto"/>
          <w:color w:val="0000EE"/>
        </w:rPr>
        <w:t xml:space="preserve"> </w:t>
      </w:r>
      <w:hyperlink r:id="rId12">
        <w:r>
          <w:rPr>
            <w:rFonts w:ascii="Georgia" w:cs="Georgia" w:eastAsia="Georgia" w:hAnsi="Georgia"/>
            <w:sz w:val="14"/>
            <w:szCs w:val="14"/>
            <w:u w:val="single" w:color="auto"/>
            <w:color w:val="0000EE"/>
          </w:rPr>
          <w:t>000121390025113947/ea0266888-01_424b2.htm</w:t>
        </w:r>
      </w:hyperlink>
    </w:p>
    <w:p>
      <w:pPr>
        <w:spacing w:after="0" w:line="1414" w:lineRule="exact"/>
        <w:rPr>
          <w:sz w:val="20"/>
          <w:szCs w:val="20"/>
          <w:color w:val="auto"/>
        </w:rPr>
      </w:pPr>
    </w:p>
    <w:p>
      <w:pPr>
        <w:sectPr>
          <w:pgSz w:w="11900" w:h="16838" w:orient="portrait"/>
          <w:cols w:equalWidth="0" w:num="2">
            <w:col w:w="5500" w:space="240"/>
            <w:col w:w="5500"/>
          </w:cols>
          <w:pgMar w:left="320" w:top="211" w:right="339" w:bottom="1440" w:gutter="0" w:footer="0" w:header="0"/>
          <w:type w:val="continuous"/>
        </w:sect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51" w:lineRule="exact"/>
        <w:rPr>
          <w:sz w:val="20"/>
          <w:szCs w:val="20"/>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prospectus addendum and product supplement.</w:t>
      </w:r>
    </w:p>
    <w:p>
      <w:pPr>
        <w:sectPr>
          <w:pgSz w:w="11900" w:h="16838" w:orient="portrait"/>
          <w:cols w:equalWidth="0" w:num="1">
            <w:col w:w="11240"/>
          </w:cols>
          <w:pgMar w:left="320" w:top="211"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543" w:right="359" w:bottom="1440" w:gutter="0" w:footer="0" w:header="0"/>
        </w:sectPr>
      </w:pPr>
    </w:p>
    <w:p>
      <w:pPr>
        <w:spacing w:after="0" w:line="109" w:lineRule="exact"/>
        <w:rPr>
          <w:sz w:val="20"/>
          <w:szCs w:val="20"/>
          <w:color w:val="auto"/>
        </w:rPr>
      </w:pPr>
    </w:p>
    <w:p>
      <w:pPr>
        <w:ind w:left="420" w:hanging="315"/>
        <w:spacing w:after="0" w:line="257"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Is Less Than the Threshold Price, You Will Lose Up to 80% of the Principal Amount of Your Securities at Maturity.</w:t>
      </w:r>
    </w:p>
    <w:p>
      <w:pPr>
        <w:spacing w:after="0" w:line="20" w:lineRule="exact"/>
        <w:rPr>
          <w:rFonts w:ascii="Times New Roman" w:cs="Times New Roman" w:eastAsia="Times New Roman" w:hAnsi="Times New Roman"/>
          <w:sz w:val="16"/>
          <w:szCs w:val="16"/>
          <w:color w:val="auto"/>
        </w:rPr>
      </w:pPr>
    </w:p>
    <w:p>
      <w:pPr>
        <w:ind w:left="420" w:hanging="315"/>
        <w:spacing w:after="0" w:line="257"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Your Potential for a Positive Return from Depreciation of the Fund Is Limited.</w:t>
      </w:r>
    </w:p>
    <w:p>
      <w:pPr>
        <w:spacing w:after="0" w:line="34" w:lineRule="exact"/>
        <w:rPr>
          <w:rFonts w:ascii="Times New Roman" w:cs="Times New Roman" w:eastAsia="Times New Roman" w:hAnsi="Times New Roman"/>
          <w:sz w:val="16"/>
          <w:szCs w:val="16"/>
          <w:color w:val="auto"/>
        </w:rPr>
      </w:pPr>
    </w:p>
    <w:p>
      <w:pPr>
        <w:ind w:left="420" w:right="10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Automatically Called, the Return on the Securities Will Be Limited to the Call Premium.</w:t>
      </w:r>
    </w:p>
    <w:p>
      <w:pPr>
        <w:spacing w:after="0" w:line="27" w:lineRule="exact"/>
        <w:rPr>
          <w:rFonts w:ascii="Times New Roman" w:cs="Times New Roman" w:eastAsia="Times New Roman" w:hAnsi="Times New Roman"/>
          <w:sz w:val="16"/>
          <w:szCs w:val="16"/>
          <w:color w:val="auto"/>
        </w:rPr>
      </w:pPr>
    </w:p>
    <w:p>
      <w:pPr>
        <w:ind w:left="440" w:hanging="335"/>
        <w:spacing w:after="0"/>
        <w:tabs>
          <w:tab w:leader="none" w:pos="44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Times New Roman" w:cs="Times New Roman" w:eastAsia="Times New Roman" w:hAnsi="Times New Roman"/>
          <w:sz w:val="16"/>
          <w:szCs w:val="16"/>
          <w:color w:val="auto"/>
        </w:rPr>
      </w:pPr>
    </w:p>
    <w:p>
      <w:pPr>
        <w:ind w:left="420" w:right="34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We May Accelerate Your Securities if a Liquidation Event Occurs.</w:t>
      </w:r>
    </w:p>
    <w:p>
      <w:pPr>
        <w:spacing w:after="0" w:line="29" w:lineRule="exact"/>
        <w:rPr>
          <w:rFonts w:ascii="Times New Roman" w:cs="Times New Roman" w:eastAsia="Times New Roman" w:hAnsi="Times New Roman"/>
          <w:sz w:val="16"/>
          <w:szCs w:val="16"/>
          <w:color w:val="auto"/>
        </w:rPr>
      </w:pPr>
    </w:p>
    <w:p>
      <w:pPr>
        <w:ind w:left="420" w:right="20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20" w:right="66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13" w:lineRule="exact"/>
        <w:rPr>
          <w:rFonts w:ascii="Times New Roman" w:cs="Times New Roman" w:eastAsia="Times New Roman" w:hAnsi="Times New Roman"/>
          <w:sz w:val="16"/>
          <w:szCs w:val="16"/>
          <w:color w:val="auto"/>
        </w:rPr>
      </w:pPr>
    </w:p>
    <w:p>
      <w:pPr>
        <w:ind w:left="440" w:hanging="335"/>
        <w:spacing w:after="0"/>
        <w:tabs>
          <w:tab w:leader="none" w:pos="44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Volatility Risk</w:t>
      </w:r>
    </w:p>
    <w:p>
      <w:pPr>
        <w:spacing w:after="0" w:line="60" w:lineRule="exact"/>
        <w:rPr>
          <w:rFonts w:ascii="Times New Roman" w:cs="Times New Roman" w:eastAsia="Times New Roman" w:hAnsi="Times New Roman"/>
          <w:sz w:val="16"/>
          <w:szCs w:val="16"/>
          <w:color w:val="auto"/>
        </w:rPr>
      </w:pPr>
    </w:p>
    <w:p>
      <w:pPr>
        <w:ind w:left="420" w:right="10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Interest Payments or Rights With Respect to the Fund or Its Underlying Asset.</w:t>
      </w:r>
    </w:p>
    <w:p>
      <w:pPr>
        <w:spacing w:after="0" w:line="27" w:lineRule="exact"/>
        <w:rPr>
          <w:rFonts w:ascii="Times New Roman" w:cs="Times New Roman" w:eastAsia="Times New Roman" w:hAnsi="Times New Roman"/>
          <w:sz w:val="16"/>
          <w:szCs w:val="16"/>
          <w:color w:val="auto"/>
        </w:rPr>
      </w:pPr>
    </w:p>
    <w:p>
      <w:pPr>
        <w:ind w:left="440" w:hanging="335"/>
        <w:spacing w:after="0"/>
        <w:tabs>
          <w:tab w:leader="none" w:pos="44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46"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29" w:lineRule="exact"/>
        <w:rPr>
          <w:rFonts w:ascii="Times New Roman" w:cs="Times New Roman" w:eastAsia="Times New Roman" w:hAnsi="Times New Roman"/>
          <w:sz w:val="16"/>
          <w:szCs w:val="16"/>
          <w:color w:val="auto"/>
        </w:rPr>
      </w:pPr>
    </w:p>
    <w:p>
      <w:pPr>
        <w:ind w:left="420" w:right="6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13" w:lineRule="exact"/>
        <w:rPr>
          <w:rFonts w:ascii="Times New Roman" w:cs="Times New Roman" w:eastAsia="Times New Roman" w:hAnsi="Times New Roman"/>
          <w:sz w:val="16"/>
          <w:szCs w:val="16"/>
          <w:color w:val="auto"/>
        </w:rPr>
      </w:pPr>
    </w:p>
    <w:p>
      <w:pPr>
        <w:ind w:left="440" w:hanging="335"/>
        <w:spacing w:after="0"/>
        <w:tabs>
          <w:tab w:leader="none" w:pos="44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jc w:val="both"/>
        <w:ind w:left="420" w:right="28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9" w:lineRule="exact"/>
        <w:rPr>
          <w:rFonts w:ascii="Times New Roman" w:cs="Times New Roman" w:eastAsia="Times New Roman" w:hAnsi="Times New Roman"/>
          <w:sz w:val="16"/>
          <w:szCs w:val="16"/>
          <w:color w:val="auto"/>
        </w:rPr>
      </w:pPr>
    </w:p>
    <w:p>
      <w:pPr>
        <w:ind w:left="420" w:right="140" w:hanging="315"/>
        <w:spacing w:after="0" w:line="257"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20" w:lineRule="exact"/>
        <w:rPr>
          <w:rFonts w:ascii="Times New Roman" w:cs="Times New Roman" w:eastAsia="Times New Roman" w:hAnsi="Times New Roman"/>
          <w:sz w:val="16"/>
          <w:szCs w:val="16"/>
          <w:color w:val="auto"/>
        </w:rPr>
      </w:pPr>
    </w:p>
    <w:p>
      <w:pPr>
        <w:ind w:left="420" w:right="840" w:hanging="315"/>
        <w:spacing w:after="0" w:line="26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420" w:hanging="315"/>
        <w:spacing w:after="0" w:line="254" w:lineRule="auto"/>
        <w:tabs>
          <w:tab w:leader="none" w:pos="425"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19" w:right="500" w:hanging="319"/>
        <w:spacing w:after="0" w:line="264" w:lineRule="auto"/>
        <w:tabs>
          <w:tab w:leader="none" w:pos="324"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19" w:right="100" w:hanging="319"/>
        <w:spacing w:after="0" w:line="264" w:lineRule="auto"/>
        <w:tabs>
          <w:tab w:leader="none" w:pos="324"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9" w:lineRule="exact"/>
        <w:rPr>
          <w:rFonts w:ascii="Times New Roman" w:cs="Times New Roman" w:eastAsia="Times New Roman" w:hAnsi="Times New Roman"/>
          <w:sz w:val="16"/>
          <w:szCs w:val="16"/>
          <w:color w:val="auto"/>
        </w:rPr>
      </w:pPr>
    </w:p>
    <w:p>
      <w:pPr>
        <w:ind w:left="319" w:right="100" w:hanging="319"/>
        <w:spacing w:after="0" w:line="250" w:lineRule="auto"/>
        <w:tabs>
          <w:tab w:leader="none" w:pos="324"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Fund Is Not an Investment Company or Commodity Pool and Will Not Be Subject to Regulation Under the Investment Company Act of 1940, As Amended, or the Commodity Exchange Act.</w:t>
      </w:r>
    </w:p>
    <w:p>
      <w:pPr>
        <w:spacing w:after="0" w:line="7" w:lineRule="exact"/>
        <w:rPr>
          <w:rFonts w:ascii="Times New Roman" w:cs="Times New Roman" w:eastAsia="Times New Roman" w:hAnsi="Times New Roman"/>
          <w:sz w:val="16"/>
          <w:szCs w:val="16"/>
          <w:color w:val="auto"/>
        </w:rPr>
      </w:pPr>
    </w:p>
    <w:p>
      <w:pPr>
        <w:ind w:left="319" w:hanging="319"/>
        <w:spacing w:after="0"/>
        <w:tabs>
          <w:tab w:leader="none" w:pos="31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There Are Risks Associated with the Fund.</w:t>
      </w:r>
    </w:p>
    <w:p>
      <w:pPr>
        <w:spacing w:after="0" w:line="19" w:lineRule="exact"/>
        <w:rPr>
          <w:rFonts w:ascii="Times New Roman" w:cs="Times New Roman" w:eastAsia="Times New Roman" w:hAnsi="Times New Roman"/>
          <w:sz w:val="16"/>
          <w:szCs w:val="16"/>
          <w:color w:val="auto"/>
        </w:rPr>
      </w:pPr>
    </w:p>
    <w:p>
      <w:pPr>
        <w:ind w:left="319" w:right="120" w:hanging="319"/>
        <w:spacing w:after="0" w:line="250" w:lineRule="auto"/>
        <w:tabs>
          <w:tab w:leader="none" w:pos="324"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Performance and Market Value of the Fund, Particularly During Periods of Market Volatility, May Not Correlate with the Performance of the Fund’s Fund Underlying Index As Well As the Net Asset Value Per Share.</w:t>
      </w:r>
    </w:p>
    <w:p>
      <w:pPr>
        <w:spacing w:after="0" w:line="7" w:lineRule="exact"/>
        <w:rPr>
          <w:rFonts w:ascii="Times New Roman" w:cs="Times New Roman" w:eastAsia="Times New Roman" w:hAnsi="Times New Roman"/>
          <w:sz w:val="16"/>
          <w:szCs w:val="16"/>
          <w:color w:val="auto"/>
        </w:rPr>
      </w:pPr>
    </w:p>
    <w:p>
      <w:pPr>
        <w:ind w:left="279" w:hanging="279"/>
        <w:spacing w:after="0"/>
        <w:tabs>
          <w:tab w:leader="none" w:pos="27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Limited Trading History</w:t>
      </w:r>
    </w:p>
    <w:p>
      <w:pPr>
        <w:spacing w:after="0" w:line="19" w:lineRule="exact"/>
        <w:rPr>
          <w:rFonts w:ascii="Times New Roman" w:cs="Times New Roman" w:eastAsia="Times New Roman" w:hAnsi="Times New Roman"/>
          <w:sz w:val="16"/>
          <w:szCs w:val="16"/>
          <w:color w:val="auto"/>
        </w:rPr>
      </w:pPr>
    </w:p>
    <w:p>
      <w:pPr>
        <w:ind w:left="319" w:right="880" w:hanging="319"/>
        <w:spacing w:after="0" w:line="264" w:lineRule="auto"/>
        <w:tabs>
          <w:tab w:leader="none" w:pos="324"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29" w:lineRule="exact"/>
        <w:rPr>
          <w:rFonts w:ascii="Times New Roman" w:cs="Times New Roman" w:eastAsia="Times New Roman" w:hAnsi="Times New Roman"/>
          <w:sz w:val="16"/>
          <w:szCs w:val="16"/>
          <w:color w:val="auto"/>
        </w:rPr>
      </w:pPr>
    </w:p>
    <w:p>
      <w:pPr>
        <w:ind w:left="319" w:right="320" w:hanging="319"/>
        <w:spacing w:after="0" w:line="264" w:lineRule="auto"/>
        <w:tabs>
          <w:tab w:leader="none" w:pos="324"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Risks Relating to Bitcoin and the Bitcoin Network.</w:t>
      </w:r>
    </w:p>
    <w:p>
      <w:pPr>
        <w:spacing w:after="0" w:line="15" w:lineRule="exact"/>
        <w:rPr>
          <w:rFonts w:ascii="Times New Roman" w:cs="Times New Roman" w:eastAsia="Times New Roman" w:hAnsi="Times New Roman"/>
          <w:sz w:val="16"/>
          <w:szCs w:val="16"/>
          <w:color w:val="auto"/>
        </w:rPr>
      </w:pPr>
    </w:p>
    <w:p>
      <w:pPr>
        <w:ind w:left="319" w:right="340" w:hanging="319"/>
        <w:spacing w:after="0" w:line="253" w:lineRule="auto"/>
        <w:tabs>
          <w:tab w:leader="none" w:pos="324"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the Fund and Therefore the Securities Are Subject to the Risks Associated with the Fund, Each as Discussed in the Accompanying Preliminary Pricing Supplement and Product Supplement.</w:t>
      </w:r>
    </w:p>
    <w:p>
      <w:pPr>
        <w:spacing w:after="0" w:line="3008" w:lineRule="exact"/>
        <w:rPr>
          <w:sz w:val="20"/>
          <w:szCs w:val="20"/>
          <w:color w:val="auto"/>
        </w:rPr>
      </w:pPr>
    </w:p>
    <w:p>
      <w:pPr>
        <w:sectPr>
          <w:pgSz w:w="11900" w:h="16838" w:orient="portrait"/>
          <w:cols w:equalWidth="0" w:num="2">
            <w:col w:w="5520" w:space="201"/>
            <w:col w:w="5499"/>
          </w:cols>
          <w:pgMar w:left="320" w:top="543" w:right="35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sectPr>
          <w:pgSz w:w="11900" w:h="16838" w:orient="portrait"/>
          <w:cols w:equalWidth="0" w:num="1">
            <w:col w:w="11220"/>
          </w:cols>
          <w:pgMar w:left="320" w:top="543" w:right="359" w:bottom="144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3" Type="http://schemas.openxmlformats.org/officeDocument/2006/relationships/image" Target="media/image5.png"/><Relationship Id="rId12" Type="http://schemas.openxmlformats.org/officeDocument/2006/relationships/hyperlink" Target="http://www.sec.gov/Archives/edgar/data/19617/000121390025113947/ea0266888-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2025-11-25T05:47:32Z</dcterms:created>
  <dcterms:modified xsi:type="dcterms:W3CDTF">2025-11-25T05:47:32Z</dcterms:modified>
</cp:coreProperties>
</file>