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 Russell 2000 ®   Index and S&amp;P 500 ®   Index  Pricing Date:   October 16, 2026  Final Review Date:   September 18, 2028  Maturity Date:   September 21, 2028  Review Dates:   Monthly  Contingent Interest Rate:   [9.25%-11.25%]* per annum, paid monthly at a rate of between 0.77083% and 0.9375%*, if applicable  Interest Barrier/Trigger Value :   With respect to each Underlying, an amount that represents 70.00% of its Initial Value  CUSIP:   46661PJ57  Preliminary Pricing Supplement:   http://sp.jpmorgan.com/document/cusip/46661PJ57/doctype/Product_Termsheet/document.pdf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9.25% per annum Contingent Interest Rate)  60.00%   $1,007.7083  40.00%   $1,007.7083  20.00%   $1,007.7083  5.00%   $1,007.7083  0.00%   $1,007.7083  -5.00%   $1,007.7083  -20.00%   $1,007.7083  -30.00%   $1,007.7083  -30.01%   $699.9000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between $7.7083 and $9.375 (equivalent to a Contingent Interest Rate of between 9.25% and 11.25% per annum, payable at a rate of between 0.77083% and 0.9375%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   The notes are subject to the risks associated with small capitalization stocks with respect to the Russell 2000 ®   Index.  ●   The notes are subject to risks associated with the technology sector with respect to the Nasdaq-100 ®  Technology Sector Index SM .  ●   The notes are subject to risks associated with non-U.S. securities with respect to the Nasdaq-100 ®  Technology Sector Index SM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1606</Words>
  <Characters>8397</Characters>
  <CharactersWithSpaces>10207</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