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5735-01_fwp.htm"/>
      <w:bookmarkStart w:id="1" w:name="ksea0305735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16,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6-Year SX5E/TPX/UKX/SMI/AS51 Basket Market-Linked Notes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notes.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720" w:type="dxa"/>
                              <w:jc w:val="left"/>
                              <w:tblInd w:w="0" w:type="dxa"/>
                              <w:tblLayout w:type="fixed"/>
                              <w:tblCellMar>
                                <w:top w:w="0" w:type="dxa"/>
                                <w:left w:w="0" w:type="dxa"/>
                                <w:bottom w:w="0" w:type="dxa"/>
                                <w:right w:w="0" w:type="dxa"/>
                              </w:tblCellMar>
                            </w:tblPr>
                            <w:tblGrid>
                              <w:gridCol w:w="725"/>
                              <w:gridCol w:w="3995"/>
                            </w:tblGrid>
                            <w:tr>
                              <w:trPr/>
                              <w:tc>
                                <w:tcPr>
                                  <w:tcW w:w="72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Issuer: </w:t>
                                  </w:r>
                                </w:p>
                              </w:tc>
                              <w:tc>
                                <w:tcPr>
                                  <w:tcW w:w="39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Guarantor:</w:t>
                                  </w:r>
                                </w:p>
                              </w:tc>
                              <w:tc>
                                <w:tcPr>
                                  <w:tcW w:w="399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&amp; Co.</w:t>
                                  </w:r>
                                </w:p>
                              </w:tc>
                            </w:tr>
                          </w:tbl>
                          <w:tbl>
                            <w:tblPr>
                              <w:tblW w:w="4625" w:type="dxa"/>
                              <w:jc w:val="left"/>
                              <w:tblInd w:w="0" w:type="dxa"/>
                              <w:tblLayout w:type="fixed"/>
                              <w:tblCellMar>
                                <w:top w:w="0" w:type="dxa"/>
                                <w:left w:w="0" w:type="dxa"/>
                                <w:bottom w:w="0" w:type="dxa"/>
                                <w:right w:w="0" w:type="dxa"/>
                              </w:tblCellMar>
                            </w:tblPr>
                            <w:tblGrid>
                              <w:gridCol w:w="515"/>
                              <w:gridCol w:w="2750"/>
                              <w:gridCol w:w="710"/>
                              <w:gridCol w:w="650"/>
                            </w:tblGrid>
                            <w:tr>
                              <w:trPr/>
                              <w:tc>
                                <w:tcPr>
                                  <w:tcW w:w="51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Basket:</w:t>
                                  </w:r>
                                </w:p>
                              </w:tc>
                              <w:tc>
                                <w:tcPr>
                                  <w:tcW w:w="275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Underlying indices</w:t>
                                  </w:r>
                                </w:p>
                              </w:tc>
                              <w:tc>
                                <w:tcPr>
                                  <w:tcW w:w="71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Bloomberg</w:t>
                                    <w:br/>
                                    <w:t>ticker</w:t>
                                    <w:br/>
                                    <w:t>symbol</w:t>
                                  </w:r>
                                </w:p>
                              </w:tc>
                              <w:tc>
                                <w:tcPr>
                                  <w:tcW w:w="65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Basket</w:t>
                                    <w:br/>
                                    <w:t>weighting</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EURO STOXX 50</w:t>
                                  </w:r>
                                  <w:r>
                                    <w:rPr>
                                      <w:rFonts w:ascii="Arial;Helvetica;Sans-Serif" w:hAnsi="Arial;Helvetica;Sans-Serif"/>
                                      <w:b w:val="false"/>
                                      <w:i w:val="false"/>
                                      <w:caps w:val="false"/>
                                      <w:smallCaps w:val="false"/>
                                      <w:position w:val="5"/>
                                      <w:sz w:val="11"/>
                                      <w:sz w:val="14"/>
                                    </w:rPr>
                                    <w:t>®</w:t>
                                  </w:r>
                                  <w:r>
                                    <w:rPr>
                                      <w:rFonts w:ascii="Arial;Helvetica;Sans-Serif" w:hAnsi="Arial;Helvetica;Sans-Serif"/>
                                      <w:b w:val="false"/>
                                      <w:i w:val="false"/>
                                      <w:caps w:val="false"/>
                                      <w:smallCaps w:val="false"/>
                                      <w:sz w:val="14"/>
                                    </w:rPr>
                                    <w:t xml:space="preserve"> Index (the “SX5E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SX5E</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TOPIX</w:t>
                                  </w:r>
                                  <w:r>
                                    <w:rPr>
                                      <w:rFonts w:ascii="Arial;Helvetica;Sans-Serif" w:hAnsi="Arial;Helvetica;Sans-Serif"/>
                                      <w:b w:val="false"/>
                                      <w:i w:val="false"/>
                                      <w:caps w:val="false"/>
                                      <w:smallCaps w:val="false"/>
                                      <w:position w:val="5"/>
                                      <w:sz w:val="11"/>
                                      <w:sz w:val="14"/>
                                    </w:rPr>
                                    <w:t>®</w:t>
                                  </w:r>
                                  <w:r>
                                    <w:rPr>
                                      <w:rFonts w:ascii="Arial;Helvetica;Sans-Serif" w:hAnsi="Arial;Helvetica;Sans-Serif"/>
                                      <w:b w:val="false"/>
                                      <w:i w:val="false"/>
                                      <w:caps w:val="false"/>
                                      <w:smallCaps w:val="false"/>
                                      <w:sz w:val="14"/>
                                    </w:rPr>
                                    <w:t xml:space="preserve"> Index (the “TPX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TPX</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FTSE</w:t>
                                  </w:r>
                                  <w:r>
                                    <w:rPr>
                                      <w:rFonts w:ascii="Arial;Helvetica;Sans-Serif" w:hAnsi="Arial;Helvetica;Sans-Serif"/>
                                      <w:b w:val="false"/>
                                      <w:i w:val="false"/>
                                      <w:caps w:val="false"/>
                                      <w:smallCaps w:val="false"/>
                                      <w:position w:val="5"/>
                                      <w:sz w:val="11"/>
                                      <w:sz w:val="14"/>
                                    </w:rPr>
                                    <w:t xml:space="preserve">® </w:t>
                                  </w:r>
                                  <w:r>
                                    <w:rPr>
                                      <w:rFonts w:ascii="Arial;Helvetica;Sans-Serif" w:hAnsi="Arial;Helvetica;Sans-Serif"/>
                                      <w:b w:val="false"/>
                                      <w:i w:val="false"/>
                                      <w:caps w:val="false"/>
                                      <w:smallCaps w:val="false"/>
                                      <w:sz w:val="14"/>
                                    </w:rPr>
                                    <w:t>100 Index (the “UKX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UKX</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17.50%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Swiss Market Index (the “SMI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SMI</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S&amp;P/ASX 200 Index (the “AS51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AS51</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7.50%</w:t>
                                  </w:r>
                                </w:p>
                              </w:tc>
                            </w:tr>
                          </w:tbl>
                          <w:tbl>
                            <w:tblPr>
                              <w:tblW w:w="10205" w:type="dxa"/>
                              <w:jc w:val="left"/>
                              <w:tblInd w:w="0" w:type="dxa"/>
                              <w:tblLayout w:type="fixed"/>
                              <w:tblCellMar>
                                <w:top w:w="0" w:type="dxa"/>
                                <w:left w:w="0" w:type="dxa"/>
                                <w:bottom w:w="0" w:type="dxa"/>
                                <w:right w:w="0" w:type="dxa"/>
                              </w:tblCellMar>
                            </w:tblPr>
                            <w:tblGrid>
                              <w:gridCol w:w="1735"/>
                              <w:gridCol w:w="8470"/>
                            </w:tblGrid>
                            <w:tr>
                              <w:trPr/>
                              <w:tc>
                                <w:tcPr>
                                  <w:tcW w:w="1735" w:type="dxa"/>
                                  <w:tcBorders/>
                                  <w:vAlign w:val="center"/>
                                </w:tcPr>
                                <w:p>
                                  <w:pPr>
                                    <w:pStyle w:val="TableContents"/>
                                    <w:bidi w:val="0"/>
                                    <w:spacing w:before="0" w:after="283"/>
                                    <w:ind w:left="249" w:right="249" w:hanging="0"/>
                                    <w:jc w:val="left"/>
                                    <w:rPr>
                                      <w:caps w:val="false"/>
                                      <w:smallCaps w:val="false"/>
                                    </w:rPr>
                                  </w:pPr>
                                  <w:r>
                                    <w:rPr>
                                      <w:caps w:val="false"/>
                                      <w:smallCaps w:val="false"/>
                                    </w:rPr>
                                    <w:t>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We refer to the SX5E Index, the TPX Index, the UKX Index, the SMI Index and the AS51 Index as the underlying indices.  Because the SX5E Index makes up 40% of the basket, we expect that generally the market value of your notes and your payment at maturity will depend significantly on the performance of the SX5E Index.</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Payment at maturity: </w:t>
                                  </w:r>
                                </w:p>
                              </w:tc>
                              <w:tc>
                                <w:tcPr>
                                  <w:tcW w:w="8470"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supplemental redemption amount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no event will the payment at maturity be less than the stated principal amount of $1,000 per note. You are entitled to repayment of principal in full at maturity, subject to the credit risks of JPMorgan Financial and JPMorgan Chase &amp; Co.</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Supplemental </w:t>
                                    <w:br/>
                                    <w:t>redemption amount:</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participation rate × basket percent increase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Basket percent </w:t>
                                    <w:br/>
                                    <w:t>increase:</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(final basket value – initial basket value) / initial basket value</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Initial basket value: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Set equal to 100 on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Final basket value: </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basket closing value on the valuation date</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Initial index value: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With respect to each underlying index, the closing level of that underlying index on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Final index value: </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With respect to each underlying index, the closing level of that underlying index on the valuation date</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Participation rate: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At least 143.00%</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Stated principal</w:t>
                                    <w:br/>
                                    <w:t>amount:</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per note</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Issue price:</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per note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Pricing date:</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Expected to be September 30, 2026</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Original issue date (settlement date):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business days after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Valuation date</w:t>
                                  </w:r>
                                  <w:r>
                                    <w:rPr>
                                      <w:rFonts w:ascii="Arial;Helvetica;Sans-Serif" w:hAnsi="Arial;Helvetica;Sans-Serif"/>
                                      <w:b/>
                                      <w:i w:val="false"/>
                                      <w:caps w:val="false"/>
                                      <w:smallCaps w:val="false"/>
                                      <w:color w:val="296DC1"/>
                                      <w:position w:val="5"/>
                                      <w:sz w:val="11"/>
                                      <w:sz w:val="14"/>
                                    </w:rPr>
                                    <w:t>†</w:t>
                                  </w:r>
                                  <w:r>
                                    <w:rPr>
                                      <w:rFonts w:ascii="Arial;Helvetica;Sans-Serif" w:hAnsi="Arial;Helvetica;Sans-Serif"/>
                                      <w:b/>
                                      <w:i w:val="false"/>
                                      <w:caps w:val="false"/>
                                      <w:smallCaps w:val="false"/>
                                      <w:color w:val="296DC1"/>
                                      <w:sz w:val="14"/>
                                    </w:rPr>
                                    <w:t>:</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September 30, 2032</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Maturity date</w:t>
                                  </w:r>
                                  <w:r>
                                    <w:rPr>
                                      <w:rFonts w:ascii="Arial;Helvetica;Sans-Serif" w:hAnsi="Arial;Helvetica;Sans-Serif"/>
                                      <w:b/>
                                      <w:i w:val="false"/>
                                      <w:caps w:val="false"/>
                                      <w:smallCaps w:val="false"/>
                                      <w:color w:val="296DC1"/>
                                      <w:position w:val="5"/>
                                      <w:sz w:val="11"/>
                                      <w:sz w:val="14"/>
                                    </w:rPr>
                                    <w:t>†</w:t>
                                  </w:r>
                                  <w:r>
                                    <w:rPr>
                                      <w:rFonts w:ascii="Arial;Helvetica;Sans-Serif" w:hAnsi="Arial;Helvetica;Sans-Serif"/>
                                      <w:b/>
                                      <w:i w:val="false"/>
                                      <w:caps w:val="false"/>
                                      <w:smallCaps w:val="false"/>
                                      <w:color w:val="296DC1"/>
                                      <w:sz w:val="14"/>
                                    </w:rPr>
                                    <w:t xml:space="preserv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October 5, 2032</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CUSIP / ISIN:</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46661MXY5 / US46661MXY55</w:t>
                                  </w:r>
                                </w:p>
                              </w:tc>
                            </w:tr>
                            <w:tr>
                              <w:trPr/>
                              <w:tc>
                                <w:tcPr>
                                  <w:tcW w:w="173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Preliminary pricing supplement: </w:t>
                                  </w:r>
                                </w:p>
                              </w:tc>
                              <w:tc>
                                <w:tcPr>
                                  <w:tcW w:w="8470" w:type="dxa"/>
                                  <w:tcBorders/>
                                  <w:shd w:fill="FFFFFF" w:val="clear"/>
                                  <w:vAlign w:val="center"/>
                                </w:tcPr>
                                <w:p>
                                  <w:pPr>
                                    <w:pStyle w:val="TableContents"/>
                                    <w:bidi w:val="0"/>
                                    <w:spacing w:before="0" w:after="283"/>
                                    <w:jc w:val="left"/>
                                    <w:rPr/>
                                  </w:pPr>
                                  <w:hyperlink r:id="rId2">
                                    <w:r>
                                      <w:rPr>
                                        <w:rStyle w:val="InternetLink"/>
                                        <w:rFonts w:ascii="Arial;Helvetica;Sans-Serif" w:hAnsi="Arial;Helvetica;Sans-Serif"/>
                                        <w:b w:val="false"/>
                                        <w:i w:val="false"/>
                                        <w:caps w:val="false"/>
                                        <w:smallCaps w:val="false"/>
                                        <w:sz w:val="14"/>
                                      </w:rPr>
                                      <w:t>http://www.sec.gov/Archives/edgar/data/19617/000121390026100433/</w:t>
                                      <w:br/>
                                      <w:t>ea0305689-01_424b2.htm</w:t>
                                    </w:r>
                                  </w:hyperlink>
                                </w:p>
                              </w:tc>
                            </w:tr>
                          </w:tbl>
                          <w:p>
                            <w:pPr>
                              <w:pStyle w:val="TextBody"/>
                              <w:bidi w:val="0"/>
                              <w:spacing w:before="0" w:after="4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notes on the pricing date will be provided in the pricing supplement and will not be less than $920.00 per $1,000 stated principal amount note. For information about the estimated value of the notes, which likely will be lower than the price you paid for the notes, please see the hyperlink above.</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notes is subject to the credit risk of JPMorgan Financial, as issuer of the notes, and the credit risk of JPMorgan Chase &amp; Co., as guarantor of the notes.</w:t>
                            </w:r>
                          </w:p>
                          <w:p>
                            <w:pPr>
                              <w:pStyle w:val="TextBody"/>
                              <w:bidi w:val="0"/>
                              <w:spacing w:before="0" w:after="4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720" w:type="dxa"/>
                        <w:jc w:val="left"/>
                        <w:tblInd w:w="0" w:type="dxa"/>
                        <w:tblLayout w:type="fixed"/>
                        <w:tblCellMar>
                          <w:top w:w="0" w:type="dxa"/>
                          <w:left w:w="0" w:type="dxa"/>
                          <w:bottom w:w="0" w:type="dxa"/>
                          <w:right w:w="0" w:type="dxa"/>
                        </w:tblCellMar>
                      </w:tblPr>
                      <w:tblGrid>
                        <w:gridCol w:w="725"/>
                        <w:gridCol w:w="3995"/>
                      </w:tblGrid>
                      <w:tr>
                        <w:trPr/>
                        <w:tc>
                          <w:tcPr>
                            <w:tcW w:w="72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Issuer: </w:t>
                            </w:r>
                          </w:p>
                        </w:tc>
                        <w:tc>
                          <w:tcPr>
                            <w:tcW w:w="39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Guarantor:</w:t>
                            </w:r>
                          </w:p>
                        </w:tc>
                        <w:tc>
                          <w:tcPr>
                            <w:tcW w:w="3995"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JPMorgan Chase &amp; Co.</w:t>
                            </w:r>
                          </w:p>
                        </w:tc>
                      </w:tr>
                    </w:tbl>
                    <w:tbl>
                      <w:tblPr>
                        <w:tblW w:w="4625" w:type="dxa"/>
                        <w:jc w:val="left"/>
                        <w:tblInd w:w="0" w:type="dxa"/>
                        <w:tblLayout w:type="fixed"/>
                        <w:tblCellMar>
                          <w:top w:w="0" w:type="dxa"/>
                          <w:left w:w="0" w:type="dxa"/>
                          <w:bottom w:w="0" w:type="dxa"/>
                          <w:right w:w="0" w:type="dxa"/>
                        </w:tblCellMar>
                      </w:tblPr>
                      <w:tblGrid>
                        <w:gridCol w:w="515"/>
                        <w:gridCol w:w="2750"/>
                        <w:gridCol w:w="710"/>
                        <w:gridCol w:w="650"/>
                      </w:tblGrid>
                      <w:tr>
                        <w:trPr/>
                        <w:tc>
                          <w:tcPr>
                            <w:tcW w:w="51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Basket:</w:t>
                            </w:r>
                          </w:p>
                        </w:tc>
                        <w:tc>
                          <w:tcPr>
                            <w:tcW w:w="275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Underlying indices</w:t>
                            </w:r>
                          </w:p>
                        </w:tc>
                        <w:tc>
                          <w:tcPr>
                            <w:tcW w:w="71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Bloomberg</w:t>
                              <w:br/>
                              <w:t>ticker</w:t>
                              <w:br/>
                              <w:t>symbol</w:t>
                            </w:r>
                          </w:p>
                        </w:tc>
                        <w:tc>
                          <w:tcPr>
                            <w:tcW w:w="65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Basket</w:t>
                              <w:br/>
                              <w:t>weighting</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EURO STOXX 50</w:t>
                            </w:r>
                            <w:r>
                              <w:rPr>
                                <w:rFonts w:ascii="Arial;Helvetica;Sans-Serif" w:hAnsi="Arial;Helvetica;Sans-Serif"/>
                                <w:b w:val="false"/>
                                <w:i w:val="false"/>
                                <w:caps w:val="false"/>
                                <w:smallCaps w:val="false"/>
                                <w:position w:val="5"/>
                                <w:sz w:val="11"/>
                                <w:sz w:val="14"/>
                              </w:rPr>
                              <w:t>®</w:t>
                            </w:r>
                            <w:r>
                              <w:rPr>
                                <w:rFonts w:ascii="Arial;Helvetica;Sans-Serif" w:hAnsi="Arial;Helvetica;Sans-Serif"/>
                                <w:b w:val="false"/>
                                <w:i w:val="false"/>
                                <w:caps w:val="false"/>
                                <w:smallCaps w:val="false"/>
                                <w:sz w:val="14"/>
                              </w:rPr>
                              <w:t xml:space="preserve"> Index (the “SX5E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SX5E</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TOPIX</w:t>
                            </w:r>
                            <w:r>
                              <w:rPr>
                                <w:rFonts w:ascii="Arial;Helvetica;Sans-Serif" w:hAnsi="Arial;Helvetica;Sans-Serif"/>
                                <w:b w:val="false"/>
                                <w:i w:val="false"/>
                                <w:caps w:val="false"/>
                                <w:smallCaps w:val="false"/>
                                <w:position w:val="5"/>
                                <w:sz w:val="11"/>
                                <w:sz w:val="14"/>
                              </w:rPr>
                              <w:t>®</w:t>
                            </w:r>
                            <w:r>
                              <w:rPr>
                                <w:rFonts w:ascii="Arial;Helvetica;Sans-Serif" w:hAnsi="Arial;Helvetica;Sans-Serif"/>
                                <w:b w:val="false"/>
                                <w:i w:val="false"/>
                                <w:caps w:val="false"/>
                                <w:smallCaps w:val="false"/>
                                <w:sz w:val="14"/>
                              </w:rPr>
                              <w:t xml:space="preserve"> Index (the “TPX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TPX</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FTSE</w:t>
                            </w:r>
                            <w:r>
                              <w:rPr>
                                <w:rFonts w:ascii="Arial;Helvetica;Sans-Serif" w:hAnsi="Arial;Helvetica;Sans-Serif"/>
                                <w:b w:val="false"/>
                                <w:i w:val="false"/>
                                <w:caps w:val="false"/>
                                <w:smallCaps w:val="false"/>
                                <w:position w:val="5"/>
                                <w:sz w:val="11"/>
                                <w:sz w:val="14"/>
                              </w:rPr>
                              <w:t xml:space="preserve">® </w:t>
                            </w:r>
                            <w:r>
                              <w:rPr>
                                <w:rFonts w:ascii="Arial;Helvetica;Sans-Serif" w:hAnsi="Arial;Helvetica;Sans-Serif"/>
                                <w:b w:val="false"/>
                                <w:i w:val="false"/>
                                <w:caps w:val="false"/>
                                <w:smallCaps w:val="false"/>
                                <w:sz w:val="14"/>
                              </w:rPr>
                              <w:t>100 Index (the “UKX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UKX</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17.50%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Swiss Market Index (the “SMI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SMI</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tc>
                      </w:tr>
                      <w:tr>
                        <w:trPr/>
                        <w:tc>
                          <w:tcPr>
                            <w:tcW w:w="51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S&amp;P/ASX 200 Index (the “AS51 Index”)</w:t>
                            </w:r>
                          </w:p>
                        </w:tc>
                        <w:tc>
                          <w:tcPr>
                            <w:tcW w:w="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AS51</w:t>
                            </w:r>
                          </w:p>
                        </w:tc>
                        <w:tc>
                          <w:tcPr>
                            <w:tcW w:w="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7.50%</w:t>
                            </w:r>
                          </w:p>
                        </w:tc>
                      </w:tr>
                    </w:tbl>
                    <w:tbl>
                      <w:tblPr>
                        <w:tblW w:w="10205" w:type="dxa"/>
                        <w:jc w:val="left"/>
                        <w:tblInd w:w="0" w:type="dxa"/>
                        <w:tblLayout w:type="fixed"/>
                        <w:tblCellMar>
                          <w:top w:w="0" w:type="dxa"/>
                          <w:left w:w="0" w:type="dxa"/>
                          <w:bottom w:w="0" w:type="dxa"/>
                          <w:right w:w="0" w:type="dxa"/>
                        </w:tblCellMar>
                      </w:tblPr>
                      <w:tblGrid>
                        <w:gridCol w:w="1735"/>
                        <w:gridCol w:w="8470"/>
                      </w:tblGrid>
                      <w:tr>
                        <w:trPr/>
                        <w:tc>
                          <w:tcPr>
                            <w:tcW w:w="1735" w:type="dxa"/>
                            <w:tcBorders/>
                            <w:vAlign w:val="center"/>
                          </w:tcPr>
                          <w:p>
                            <w:pPr>
                              <w:pStyle w:val="TableContents"/>
                              <w:bidi w:val="0"/>
                              <w:spacing w:before="0" w:after="283"/>
                              <w:ind w:left="249" w:right="249" w:hanging="0"/>
                              <w:jc w:val="left"/>
                              <w:rPr>
                                <w:caps w:val="false"/>
                                <w:smallCaps w:val="false"/>
                              </w:rPr>
                            </w:pPr>
                            <w:r>
                              <w:rPr>
                                <w:caps w:val="false"/>
                                <w:smallCaps w:val="false"/>
                              </w:rPr>
                              <w:t>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We refer to the SX5E Index, the TPX Index, the UKX Index, the SMI Index and the AS51 Index as the underlying indices.  Because the SX5E Index makes up 40% of the basket, we expect that generally the market value of your notes and your payment at maturity will depend significantly on the performance of the SX5E Index.</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Payment at maturity: </w:t>
                            </w:r>
                          </w:p>
                        </w:tc>
                        <w:tc>
                          <w:tcPr>
                            <w:tcW w:w="8470"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supplemental redemption amount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no event will the payment at maturity be less than the stated principal amount of $1,000 per note. You are entitled to repayment of principal in full at maturity, subject to the credit risks of JPMorgan Financial and JPMorgan Chase &amp; Co.</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Supplemental </w:t>
                              <w:br/>
                              <w:t>redemption amount:</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participation rate × basket percent increase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Basket percent </w:t>
                              <w:br/>
                              <w:t>increase:</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(final basket value – initial basket value) / initial basket value</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Initial basket value: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Set equal to 100 on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Final basket value: </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basket closing value on the valuation date</w:t>
                            </w:r>
                          </w:p>
                        </w:tc>
                      </w:tr>
                      <w:tr>
                        <w:trPr/>
                        <w:tc>
                          <w:tcPr>
                            <w:tcW w:w="1735" w:type="dxa"/>
                            <w:tcBorders/>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Initial index value: </w:t>
                            </w:r>
                          </w:p>
                        </w:tc>
                        <w:tc>
                          <w:tcPr>
                            <w:tcW w:w="8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With respect to each underlying index, the closing level of that underlying index on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Final index value: </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With respect to each underlying index, the closing level of that underlying index on the valuation date</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Participation rate: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At least 143.00%</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Stated principal</w:t>
                              <w:br/>
                              <w:t>amount:</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per note</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Issue price:</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per note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Pricing date:</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Expected to be September 30, 2026</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Original issue date (settlement date):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business days after the pricing date</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Valuation date</w:t>
                            </w:r>
                            <w:r>
                              <w:rPr>
                                <w:rFonts w:ascii="Arial;Helvetica;Sans-Serif" w:hAnsi="Arial;Helvetica;Sans-Serif"/>
                                <w:b/>
                                <w:i w:val="false"/>
                                <w:caps w:val="false"/>
                                <w:smallCaps w:val="false"/>
                                <w:color w:val="296DC1"/>
                                <w:position w:val="5"/>
                                <w:sz w:val="11"/>
                                <w:sz w:val="14"/>
                              </w:rPr>
                              <w:t>†</w:t>
                            </w:r>
                            <w:r>
                              <w:rPr>
                                <w:rFonts w:ascii="Arial;Helvetica;Sans-Serif" w:hAnsi="Arial;Helvetica;Sans-Serif"/>
                                <w:b/>
                                <w:i w:val="false"/>
                                <w:caps w:val="false"/>
                                <w:smallCaps w:val="false"/>
                                <w:color w:val="296DC1"/>
                                <w:sz w:val="14"/>
                              </w:rPr>
                              <w:t>:</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September 30, 2032</w:t>
                            </w:r>
                          </w:p>
                        </w:tc>
                      </w:tr>
                      <w:tr>
                        <w:trPr/>
                        <w:tc>
                          <w:tcPr>
                            <w:tcW w:w="1735" w:type="dxa"/>
                            <w:tcBorders/>
                            <w:shd w:fill="FFFFFF"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Maturity date</w:t>
                            </w:r>
                            <w:r>
                              <w:rPr>
                                <w:rFonts w:ascii="Arial;Helvetica;Sans-Serif" w:hAnsi="Arial;Helvetica;Sans-Serif"/>
                                <w:b/>
                                <w:i w:val="false"/>
                                <w:caps w:val="false"/>
                                <w:smallCaps w:val="false"/>
                                <w:color w:val="296DC1"/>
                                <w:position w:val="5"/>
                                <w:sz w:val="11"/>
                                <w:sz w:val="14"/>
                              </w:rPr>
                              <w:t>†</w:t>
                            </w:r>
                            <w:r>
                              <w:rPr>
                                <w:rFonts w:ascii="Arial;Helvetica;Sans-Serif" w:hAnsi="Arial;Helvetica;Sans-Serif"/>
                                <w:b/>
                                <w:i w:val="false"/>
                                <w:caps w:val="false"/>
                                <w:smallCaps w:val="false"/>
                                <w:color w:val="296DC1"/>
                                <w:sz w:val="14"/>
                              </w:rPr>
                              <w:t xml:space="preserve">: </w:t>
                            </w:r>
                          </w:p>
                        </w:tc>
                        <w:tc>
                          <w:tcPr>
                            <w:tcW w:w="84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October 5, 2032</w:t>
                            </w:r>
                          </w:p>
                        </w:tc>
                      </w:tr>
                      <w:tr>
                        <w:trPr/>
                        <w:tc>
                          <w:tcPr>
                            <w:tcW w:w="1735" w:type="dxa"/>
                            <w:tcBorders/>
                            <w:shd w:fill="DCEBF4" w:val="clear"/>
                            <w:vAlign w:val="center"/>
                          </w:tcPr>
                          <w:p>
                            <w:pPr>
                              <w:pStyle w:val="TableContents"/>
                              <w:bidi w:val="0"/>
                              <w:spacing w:before="0" w:after="283"/>
                              <w:ind w:left="249" w:right="249" w:hanging="0"/>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CUSIP / ISIN:</w:t>
                            </w:r>
                          </w:p>
                        </w:tc>
                        <w:tc>
                          <w:tcPr>
                            <w:tcW w:w="8470"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46661MXY5 / US46661MXY55</w:t>
                            </w:r>
                          </w:p>
                        </w:tc>
                      </w:tr>
                      <w:tr>
                        <w:trPr/>
                        <w:tc>
                          <w:tcPr>
                            <w:tcW w:w="1735"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 xml:space="preserve">Preliminary pricing supplement: </w:t>
                            </w:r>
                          </w:p>
                        </w:tc>
                        <w:tc>
                          <w:tcPr>
                            <w:tcW w:w="8470" w:type="dxa"/>
                            <w:tcBorders/>
                            <w:shd w:fill="FFFFFF" w:val="clear"/>
                            <w:vAlign w:val="center"/>
                          </w:tcPr>
                          <w:p>
                            <w:pPr>
                              <w:pStyle w:val="TableContents"/>
                              <w:bidi w:val="0"/>
                              <w:spacing w:before="0" w:after="283"/>
                              <w:jc w:val="left"/>
                              <w:rPr/>
                            </w:pPr>
                            <w:hyperlink r:id="rId3">
                              <w:r>
                                <w:rPr>
                                  <w:rStyle w:val="InternetLink"/>
                                  <w:rFonts w:ascii="Arial;Helvetica;Sans-Serif" w:hAnsi="Arial;Helvetica;Sans-Serif"/>
                                  <w:b w:val="false"/>
                                  <w:i w:val="false"/>
                                  <w:caps w:val="false"/>
                                  <w:smallCaps w:val="false"/>
                                  <w:sz w:val="14"/>
                                </w:rPr>
                                <w:t>http://www.sec.gov/Archives/edgar/data/19617/000121390026100433/</w:t>
                                <w:br/>
                                <w:t>ea0305689-01_424b2.htm</w:t>
                              </w:r>
                            </w:hyperlink>
                          </w:p>
                        </w:tc>
                      </w:tr>
                    </w:tbl>
                    <w:p>
                      <w:pPr>
                        <w:pStyle w:val="TextBody"/>
                        <w:bidi w:val="0"/>
                        <w:spacing w:before="0" w:after="4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notes on the pricing date will be provided in the pricing supplement and will not be less than $920.00 per $1,000 stated principal amount note. For information about the estimated value of the notes, which likely will be lower than the price you paid for the notes, please see the hyperlink above.</w:t>
                      </w:r>
                    </w:p>
                    <w:p>
                      <w:pPr>
                        <w:pStyle w:val="TextBody"/>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notes is subject to the credit risk of JPMorgan Financial, as issuer of the notes, and the credit risk of JPMorgan Chase &amp; Co., as guarantor of the notes.</w:t>
                      </w:r>
                    </w:p>
                    <w:p>
                      <w:pPr>
                        <w:pStyle w:val="TextBody"/>
                        <w:bidi w:val="0"/>
                        <w:spacing w:before="0" w:after="4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8930005"/>
                <wp:effectExtent l="0" t="0" r="0" b="0"/>
                <wp:wrapSquare wrapText="left"/>
                <wp:docPr id="2" name="Frame2"/>
                <a:graphic xmlns:a="http://schemas.openxmlformats.org/drawingml/2006/main">
                  <a:graphicData uri="http://schemas.microsoft.com/office/word/2010/wordprocessingShape">
                    <wps:wsp>
                      <wps:cNvSpPr txBox="1"/>
                      <wps:spPr>
                        <a:xfrm>
                          <a:off x="0" y="0"/>
                          <a:ext cx="3175000" cy="8930005"/>
                        </a:xfrm>
                        <a:prstGeom prst="rect"/>
                        <a:solidFill>
                          <a:srgbClr val="FFFFFF"/>
                        </a:solidFill>
                      </wps:spPr>
                      <wps:txbx>
                        <w:txbxContent>
                          <w:tbl>
                            <w:tblPr>
                              <w:tblW w:w="6825" w:type="dxa"/>
                              <w:jc w:val="left"/>
                              <w:tblInd w:w="0" w:type="dxa"/>
                              <w:tblLayout w:type="fixed"/>
                              <w:tblCellMar>
                                <w:top w:w="0" w:type="dxa"/>
                                <w:left w:w="0" w:type="dxa"/>
                                <w:bottom w:w="0" w:type="dxa"/>
                                <w:right w:w="0" w:type="dxa"/>
                              </w:tblCellMar>
                            </w:tblPr>
                            <w:tblGrid>
                              <w:gridCol w:w="6825"/>
                            </w:tblGrid>
                            <w:tr>
                              <w:trPr/>
                              <w:tc>
                                <w:tcPr>
                                  <w:tcW w:w="6825"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Notes Payoff Diagram*</w:t>
                                  </w:r>
                                </w:p>
                              </w:tc>
                            </w:tr>
                            <w:tr>
                              <w:trPr/>
                              <w:tc>
                                <w:tcPr>
                                  <w:tcW w:w="6825" w:type="dxa"/>
                                  <w:tcBorders/>
                                  <w:vAlign w:val="center"/>
                                </w:tcPr>
                                <w:p>
                                  <w:pPr>
                                    <w:pStyle w:val="TableContents"/>
                                    <w:bidi w:val="0"/>
                                    <w:spacing w:before="0" w:after="283"/>
                                    <w:jc w:val="center"/>
                                    <w:rPr/>
                                  </w:pPr>
                                  <w:r>
                                    <w:rPr/>
                                    <w:drawing>
                                      <wp:inline distT="0" distB="0" distL="0" distR="0">
                                        <wp:extent cx="4314825" cy="2486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314825" cy="248602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430"/>
                              <w:gridCol w:w="1700"/>
                            </w:tblGrid>
                            <w:tr>
                              <w:trPr/>
                              <w:tc>
                                <w:tcPr>
                                  <w:tcW w:w="143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170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Notes*</w:t>
                                  </w:r>
                                </w:p>
                              </w:tc>
                            </w:tr>
                          </w:tbl>
                          <w:tbl>
                            <w:tblPr>
                              <w:tblW w:w="1330" w:type="dxa"/>
                              <w:jc w:val="left"/>
                              <w:tblInd w:w="0" w:type="dxa"/>
                              <w:tblLayout w:type="fixed"/>
                              <w:tblCellMar>
                                <w:top w:w="0" w:type="dxa"/>
                                <w:left w:w="0" w:type="dxa"/>
                                <w:bottom w:w="0" w:type="dxa"/>
                                <w:right w:w="0" w:type="dxa"/>
                              </w:tblCellMar>
                            </w:tblPr>
                            <w:tblGrid>
                              <w:gridCol w:w="740"/>
                              <w:gridCol w:w="590"/>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71.50%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57.20%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42.90%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28.60%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participation rate of 143.00%. The actual participation will be provided in the pricing supplement and will not be less than 143.00%.</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3.15pt;mso-wrap-distance-left:0pt;mso-wrap-distance-right:0pt;mso-wrap-distance-top:0pt;mso-wrap-distance-bottom:0pt;margin-top:0pt;mso-position-vertical:top;mso-position-vertical-relative:text;margin-left:260.25pt;mso-position-horizontal:right;mso-position-horizontal-relative:text">
                <v:textbox>
                  <w:txbxContent>
                    <w:tbl>
                      <w:tblPr>
                        <w:tblW w:w="6825" w:type="dxa"/>
                        <w:jc w:val="left"/>
                        <w:tblInd w:w="0" w:type="dxa"/>
                        <w:tblLayout w:type="fixed"/>
                        <w:tblCellMar>
                          <w:top w:w="0" w:type="dxa"/>
                          <w:left w:w="0" w:type="dxa"/>
                          <w:bottom w:w="0" w:type="dxa"/>
                          <w:right w:w="0" w:type="dxa"/>
                        </w:tblCellMar>
                      </w:tblPr>
                      <w:tblGrid>
                        <w:gridCol w:w="6825"/>
                      </w:tblGrid>
                      <w:tr>
                        <w:trPr/>
                        <w:tc>
                          <w:tcPr>
                            <w:tcW w:w="6825"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Notes Payoff Diagram*</w:t>
                            </w:r>
                          </w:p>
                        </w:tc>
                      </w:tr>
                      <w:tr>
                        <w:trPr/>
                        <w:tc>
                          <w:tcPr>
                            <w:tcW w:w="6825" w:type="dxa"/>
                            <w:tcBorders/>
                            <w:vAlign w:val="center"/>
                          </w:tcPr>
                          <w:p>
                            <w:pPr>
                              <w:pStyle w:val="TableContents"/>
                              <w:bidi w:val="0"/>
                              <w:spacing w:before="0" w:after="283"/>
                              <w:jc w:val="center"/>
                              <w:rPr/>
                            </w:pPr>
                            <w:r>
                              <w:rPr/>
                              <w:drawing>
                                <wp:inline distT="0" distB="0" distL="0" distR="0">
                                  <wp:extent cx="4314825" cy="2486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314825" cy="248602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430"/>
                        <w:gridCol w:w="1700"/>
                      </w:tblGrid>
                      <w:tr>
                        <w:trPr/>
                        <w:tc>
                          <w:tcPr>
                            <w:tcW w:w="143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170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Notes*</w:t>
                            </w:r>
                          </w:p>
                        </w:tc>
                      </w:tr>
                    </w:tbl>
                    <w:tbl>
                      <w:tblPr>
                        <w:tblW w:w="1330" w:type="dxa"/>
                        <w:jc w:val="left"/>
                        <w:tblInd w:w="0" w:type="dxa"/>
                        <w:tblLayout w:type="fixed"/>
                        <w:tblCellMar>
                          <w:top w:w="0" w:type="dxa"/>
                          <w:left w:w="0" w:type="dxa"/>
                          <w:bottom w:w="0" w:type="dxa"/>
                          <w:right w:w="0" w:type="dxa"/>
                        </w:tblCellMar>
                      </w:tblPr>
                      <w:tblGrid>
                        <w:gridCol w:w="740"/>
                        <w:gridCol w:w="590"/>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71.50%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57.20%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42.90%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28.60%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5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59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59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participation rate of 143.00%. The actual participation will be provided in the pricing supplement and will not be less than 143.00%.</w:t>
                      </w:r>
                    </w:p>
                  </w:txbxContent>
                </v:textbox>
                <w10:wrap type="square" side="left"/>
              </v:rect>
            </w:pict>
          </mc:Fallback>
        </mc:AlternateConten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6-Year SX5E/TPX/UKX/SMI/AS51 Basket Market Linked-Notes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Basket and 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any underlying index, including historical performance information, see the accompanying preliminary pricing supplement.</w:t>
      </w:r>
    </w:p>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Notes Generally</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8"/>
              </w:rPr>
            </w:pPr>
            <w:r>
              <w:rPr>
                <w:sz w:val="18"/>
              </w:rPr>
              <w:t>The notes do not pay interest and may not pay more than the stated principal amount.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notes are subject to the credit risks of JPMorgan Financial and JPMorgan Chase &amp; Co., and any actual or anticipated changes to our or JPMorgan Chase &amp; Co.’s credit ratings or credit spreads may adversely affect the market value of the notes.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Correlation (or lack of correlation) of performances among the underlying indices may reduce the performance of the basket, and changes in the values of the underlying indices may offset each other</w:t>
            </w:r>
            <w:r>
              <w:rPr>
                <w:b/>
                <w:sz w:val="18"/>
              </w:rPr>
              <w:t>.</w:t>
            </w:r>
          </w:p>
        </w:tc>
      </w:tr>
    </w:tbl>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07" w:type="dxa"/>
            <w:tcBorders/>
            <w:vAlign w:val="center"/>
          </w:tcPr>
          <w:p>
            <w:pPr>
              <w:pStyle w:val="TableContents"/>
              <w:bidi w:val="0"/>
              <w:spacing w:before="0" w:after="283"/>
              <w:jc w:val="left"/>
              <w:rPr/>
            </w:pPr>
            <w:r>
              <w:rPr>
                <w:rFonts w:ascii="Arial;Helvetica;Sans-Serif" w:hAnsi="Arial;Helvetica;Sans-Serif"/>
                <w:b w:val="false"/>
                <w:sz w:val="18"/>
              </w:rPr>
              <w:t>The underlying indices are not equally weighted</w:t>
            </w:r>
            <w:r>
              <w:rPr/>
              <w:t>.</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notes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5" w:type="dxa"/>
            <w:tcBorders/>
            <w:vAlign w:val="center"/>
          </w:tcPr>
          <w:p>
            <w:pPr>
              <w:pStyle w:val="TableContents"/>
              <w:bidi w:val="0"/>
              <w:spacing w:before="0" w:after="283"/>
              <w:jc w:val="left"/>
              <w:rPr>
                <w:sz w:val="18"/>
              </w:rPr>
            </w:pPr>
            <w:r>
              <w:rPr>
                <w:sz w:val="18"/>
              </w:rPr>
              <w:t>The final terms and estimated valuation of the notes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80"/>
        <w:gridCol w:w="266"/>
        <w:gridCol w:w="9859"/>
      </w:tblGrid>
      <w:tr>
        <w:trPr/>
        <w:tc>
          <w:tcPr>
            <w:tcW w:w="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59" w:type="dxa"/>
            <w:tcBorders/>
            <w:vAlign w:val="center"/>
          </w:tcPr>
          <w:p>
            <w:pPr>
              <w:pStyle w:val="TableContents"/>
              <w:bidi w:val="0"/>
              <w:spacing w:before="0" w:after="283"/>
              <w:jc w:val="left"/>
              <w:rPr>
                <w:sz w:val="18"/>
              </w:rPr>
            </w:pPr>
            <w:r>
              <w:rPr>
                <w:sz w:val="18"/>
              </w:rPr>
              <w:t>The tax consequences of an investment in the notes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notes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8"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notes.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Notes</w:t>
      </w:r>
    </w:p>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sz w:val="18"/>
              </w:rPr>
            </w:pPr>
            <w:r>
              <w:rPr>
                <w:sz w:val="18"/>
              </w:rPr>
              <w:t>The estimated value of the notes will be lower than the original issue price (price to public) of the notes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7" w:type="dxa"/>
            <w:tcBorders/>
            <w:vAlign w:val="center"/>
          </w:tcPr>
          <w:p>
            <w:pPr>
              <w:pStyle w:val="TableContents"/>
              <w:bidi w:val="0"/>
              <w:spacing w:before="0" w:after="283"/>
              <w:jc w:val="left"/>
              <w:rPr>
                <w:sz w:val="18"/>
              </w:rPr>
            </w:pPr>
            <w:r>
              <w:rPr>
                <w:sz w:val="18"/>
              </w:rPr>
              <w:t>The estimated value of the notes does not represent future values of the notes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notes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notes </w:t>
            </w:r>
            <w:r>
              <w:rPr>
                <w:rFonts w:ascii="Arial;Helvetica;Sans-Serif" w:hAnsi="Arial;Helvetica;Sans-Serif"/>
                <w:b w:val="false"/>
                <w:sz w:val="18"/>
              </w:rPr>
              <w:t>as published by J.P. Morgan Securities LLC (and which may be reflected on customer account statements) may be higher than the then-current estimated value of the notes for a limited time period.</w:t>
            </w:r>
          </w:p>
        </w:tc>
      </w:tr>
    </w:tbl>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3" w:type="dxa"/>
            <w:tcBorders/>
            <w:vAlign w:val="center"/>
          </w:tcPr>
          <w:p>
            <w:pPr>
              <w:pStyle w:val="TableContents"/>
              <w:bidi w:val="0"/>
              <w:spacing w:before="0" w:after="283"/>
              <w:jc w:val="left"/>
              <w:rPr>
                <w:sz w:val="18"/>
              </w:rPr>
            </w:pPr>
            <w:r>
              <w:rPr>
                <w:sz w:val="18"/>
              </w:rPr>
              <w:t>Secondary market prices of the notes will likely be lower than the original issue price of the notes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9"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notes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notes is not equivalent to investing in the basket or the underlying indices.</w:t>
            </w:r>
          </w:p>
        </w:tc>
      </w:tr>
    </w:tbl>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any underlying index could adversely affect the value of the notes.</w:t>
            </w:r>
          </w:p>
        </w:tc>
      </w:tr>
    </w:tbl>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notes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61"/>
        <w:gridCol w:w="201"/>
        <w:gridCol w:w="9943"/>
      </w:tblGrid>
      <w:tr>
        <w:trPr/>
        <w:tc>
          <w:tcPr>
            <w:tcW w:w="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notes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3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notes.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Notes — Tax considerations” concerning the U.S. federal income tax consequences of an investment in the notes,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0433/ea0305689-01_424b2.htm" TargetMode="External"/><Relationship Id="rId3" Type="http://schemas.openxmlformats.org/officeDocument/2006/relationships/hyperlink" Target="http://www.sec.gov/Archives/edgar/data/19617/000121390026100433/ea030568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7083</Characters>
  <CharactersWithSpaces>8263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