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29"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60" w:lineRule="exact"/>
        <w:rPr>
          <w:sz w:val="24"/>
          <w:szCs w:val="24"/>
          <w:color w:val="auto"/>
        </w:rPr>
      </w:pPr>
    </w:p>
    <w:p>
      <w:pPr>
        <w:ind w:left="3080"/>
        <w:spacing w:after="0"/>
        <w:tabs>
          <w:tab w:leader="none" w:pos="48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7"/>
          <w:szCs w:val="17"/>
          <w:color w:val="auto"/>
        </w:rPr>
        <w:t>Form 8-K</w:t>
      </w:r>
    </w:p>
    <w:p>
      <w:pPr>
        <w:spacing w:after="0" w:line="190" w:lineRule="exact"/>
        <w:rPr>
          <w:sz w:val="24"/>
          <w:szCs w:val="24"/>
          <w:color w:val="auto"/>
        </w:rPr>
      </w:pPr>
    </w:p>
    <w:p>
      <w:pPr>
        <w:ind w:left="1800"/>
        <w:spacing w:after="0"/>
        <w:rPr>
          <w:sz w:val="20"/>
          <w:szCs w:val="20"/>
          <w:color w:val="auto"/>
        </w:rPr>
      </w:pPr>
      <w:r>
        <w:rPr>
          <w:rFonts w:ascii="Courier New" w:cs="Courier New" w:eastAsia="Courier New" w:hAnsi="Courier New"/>
          <w:sz w:val="17"/>
          <w:szCs w:val="17"/>
          <w:color w:val="auto"/>
        </w:rPr>
        <w:t>CURRENT REPORT PURSUANT TO SECTION 13 OR 15 (d) OF</w:t>
      </w:r>
    </w:p>
    <w:p>
      <w:pPr>
        <w:spacing w:after="0" w:line="29"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THE SECURITIES AND EXCHANGE ACT OF 1934</w:t>
      </w:r>
    </w:p>
    <w:p>
      <w:pPr>
        <w:spacing w:after="0" w:line="200" w:lineRule="exact"/>
        <w:rPr>
          <w:sz w:val="24"/>
          <w:szCs w:val="24"/>
          <w:color w:val="auto"/>
        </w:rPr>
      </w:pPr>
    </w:p>
    <w:p>
      <w:pPr>
        <w:spacing w:after="0" w:line="342"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Date of the Report: January 21, 1994</w:t>
      </w:r>
    </w:p>
    <w:p>
      <w:pPr>
        <w:spacing w:after="0" w:line="27" w:lineRule="exact"/>
        <w:rPr>
          <w:sz w:val="24"/>
          <w:szCs w:val="24"/>
          <w:color w:val="auto"/>
        </w:rPr>
      </w:pPr>
    </w:p>
    <w:p>
      <w:pPr>
        <w:ind w:left="4480"/>
        <w:spacing w:after="0"/>
        <w:rPr>
          <w:sz w:val="20"/>
          <w:szCs w:val="20"/>
          <w:color w:val="auto"/>
        </w:rPr>
      </w:pPr>
      <w:r>
        <w:rPr>
          <w:rFonts w:ascii="Courier New" w:cs="Courier New" w:eastAsia="Courier New" w:hAnsi="Courier New"/>
          <w:sz w:val="17"/>
          <w:szCs w:val="17"/>
          <w:color w:val="auto"/>
        </w:rPr>
        <w:t>----------------</w:t>
      </w:r>
    </w:p>
    <w:p>
      <w:pPr>
        <w:ind w:left="2780"/>
        <w:spacing w:after="0" w:line="238" w:lineRule="auto"/>
        <w:rPr>
          <w:sz w:val="20"/>
          <w:szCs w:val="20"/>
          <w:color w:val="auto"/>
        </w:rPr>
      </w:pPr>
      <w:r>
        <w:rPr>
          <w:rFonts w:ascii="Courier New" w:cs="Courier New" w:eastAsia="Courier New" w:hAnsi="Courier New"/>
          <w:sz w:val="17"/>
          <w:szCs w:val="17"/>
          <w:color w:val="auto"/>
        </w:rPr>
        <w:t>Commission file number 1-5805</w:t>
      </w:r>
    </w:p>
    <w:p>
      <w:pPr>
        <w:ind w:left="5080"/>
        <w:spacing w:after="0"/>
        <w:rPr>
          <w:sz w:val="20"/>
          <w:szCs w:val="20"/>
          <w:color w:val="auto"/>
        </w:rPr>
      </w:pPr>
      <w:r>
        <w:rPr>
          <w:rFonts w:ascii="Courier New" w:cs="Courier New" w:eastAsia="Courier New" w:hAnsi="Courier New"/>
          <w:sz w:val="17"/>
          <w:szCs w:val="17"/>
          <w:color w:val="auto"/>
        </w:rPr>
        <w:t>-------</w:t>
      </w:r>
    </w:p>
    <w:p>
      <w:pPr>
        <w:spacing w:after="0" w:line="16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CHEMICAL BANKING CORPORATION</w:t>
      </w:r>
    </w:p>
    <w:p>
      <w:pPr>
        <w:spacing w:after="0" w:line="27"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w:t>
      </w:r>
    </w:p>
    <w:tbl>
      <w:tblPr>
        <w:tblLayout w:type="fixed"/>
        <w:tblInd w:w="1000" w:type="dxa"/>
        <w:tblCellMar>
          <w:top w:w="0" w:type="dxa"/>
          <w:left w:w="0" w:type="dxa"/>
          <w:bottom w:w="0" w:type="dxa"/>
          <w:right w:w="0" w:type="dxa"/>
        </w:tblCellMar>
      </w:tblPr>
      <w:tr>
        <w:trPr>
          <w:trHeight w:val="280"/>
        </w:trPr>
        <w:tc>
          <w:tcPr>
            <w:tcW w:w="4420" w:type="dxa"/>
            <w:vAlign w:val="bottom"/>
          </w:tcPr>
          <w:p>
            <w:pPr>
              <w:ind w:left="600"/>
              <w:spacing w:after="0"/>
              <w:rPr>
                <w:sz w:val="20"/>
                <w:szCs w:val="20"/>
                <w:color w:val="auto"/>
              </w:rPr>
            </w:pPr>
            <w:r>
              <w:rPr>
                <w:rFonts w:ascii="Courier New" w:cs="Courier New" w:eastAsia="Courier New" w:hAnsi="Courier New"/>
                <w:sz w:val="17"/>
                <w:szCs w:val="17"/>
                <w:color w:val="auto"/>
                <w:w w:val="98"/>
              </w:rPr>
              <w:t>(Exact name of registrant as specified</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in its charter)</w:t>
            </w:r>
          </w:p>
        </w:tc>
        <w:tc>
          <w:tcPr>
            <w:tcW w:w="0" w:type="dxa"/>
            <w:vAlign w:val="bottom"/>
          </w:tcPr>
          <w:p>
            <w:pPr>
              <w:spacing w:after="0"/>
              <w:rPr>
                <w:sz w:val="1"/>
                <w:szCs w:val="1"/>
                <w:color w:val="auto"/>
              </w:rPr>
            </w:pPr>
          </w:p>
        </w:tc>
      </w:tr>
      <w:tr>
        <w:trPr>
          <w:trHeight w:val="646"/>
        </w:trPr>
        <w:tc>
          <w:tcPr>
            <w:tcW w:w="4420" w:type="dxa"/>
            <w:vAlign w:val="bottom"/>
          </w:tcPr>
          <w:p>
            <w:pPr>
              <w:ind w:left="500"/>
              <w:spacing w:after="0"/>
              <w:rPr>
                <w:sz w:val="20"/>
                <w:szCs w:val="20"/>
                <w:color w:val="auto"/>
              </w:rPr>
            </w:pPr>
            <w:r>
              <w:rPr>
                <w:rFonts w:ascii="Courier New" w:cs="Courier New" w:eastAsia="Courier New" w:hAnsi="Courier New"/>
                <w:sz w:val="17"/>
                <w:szCs w:val="17"/>
                <w:color w:val="auto"/>
              </w:rPr>
              <w:t>Delaware</w:t>
            </w:r>
          </w:p>
        </w:tc>
        <w:tc>
          <w:tcPr>
            <w:tcW w:w="2040" w:type="dxa"/>
            <w:vAlign w:val="bottom"/>
          </w:tcPr>
          <w:p>
            <w:pPr>
              <w:ind w:left="540"/>
              <w:spacing w:after="0"/>
              <w:rPr>
                <w:sz w:val="20"/>
                <w:szCs w:val="20"/>
                <w:color w:val="auto"/>
              </w:rPr>
            </w:pPr>
            <w:r>
              <w:rPr>
                <w:rFonts w:ascii="Courier New" w:cs="Courier New" w:eastAsia="Courier New" w:hAnsi="Courier New"/>
                <w:sz w:val="17"/>
                <w:szCs w:val="17"/>
                <w:color w:val="auto"/>
              </w:rPr>
              <w:t>13-2624428</w:t>
            </w:r>
          </w:p>
        </w:tc>
        <w:tc>
          <w:tcPr>
            <w:tcW w:w="0" w:type="dxa"/>
            <w:vAlign w:val="bottom"/>
          </w:tcPr>
          <w:p>
            <w:pPr>
              <w:spacing w:after="0"/>
              <w:rPr>
                <w:sz w:val="1"/>
                <w:szCs w:val="1"/>
                <w:color w:val="auto"/>
              </w:rPr>
            </w:pPr>
          </w:p>
        </w:tc>
      </w:tr>
      <w:tr>
        <w:trPr>
          <w:trHeight w:val="280"/>
        </w:trPr>
        <w:tc>
          <w:tcPr>
            <w:tcW w:w="4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294"/>
        </w:trPr>
        <w:tc>
          <w:tcPr>
            <w:tcW w:w="4420" w:type="dxa"/>
            <w:vAlign w:val="bottom"/>
          </w:tcPr>
          <w:p>
            <w:pPr>
              <w:spacing w:after="0"/>
              <w:rPr>
                <w:sz w:val="20"/>
                <w:szCs w:val="20"/>
                <w:color w:val="auto"/>
              </w:rPr>
            </w:pPr>
            <w:r>
              <w:rPr>
                <w:rFonts w:ascii="Courier New" w:cs="Courier New" w:eastAsia="Courier New" w:hAnsi="Courier New"/>
                <w:sz w:val="17"/>
                <w:szCs w:val="17"/>
                <w:color w:val="auto"/>
              </w:rPr>
              <w:t>(State or other jurisdiction</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(I.R.S. Employer</w:t>
            </w:r>
          </w:p>
        </w:tc>
        <w:tc>
          <w:tcPr>
            <w:tcW w:w="0" w:type="dxa"/>
            <w:vAlign w:val="bottom"/>
          </w:tcPr>
          <w:p>
            <w:pPr>
              <w:spacing w:after="0"/>
              <w:rPr>
                <w:sz w:val="1"/>
                <w:szCs w:val="1"/>
                <w:color w:val="auto"/>
              </w:rPr>
            </w:pPr>
          </w:p>
        </w:tc>
      </w:tr>
      <w:tr>
        <w:trPr>
          <w:trHeight w:val="280"/>
        </w:trPr>
        <w:tc>
          <w:tcPr>
            <w:tcW w:w="4420" w:type="dxa"/>
            <w:vAlign w:val="bottom"/>
          </w:tcPr>
          <w:p>
            <w:pPr>
              <w:ind w:left="100"/>
              <w:spacing w:after="0"/>
              <w:rPr>
                <w:sz w:val="20"/>
                <w:szCs w:val="20"/>
                <w:color w:val="auto"/>
              </w:rPr>
            </w:pPr>
            <w:r>
              <w:rPr>
                <w:rFonts w:ascii="Courier New" w:cs="Courier New" w:eastAsia="Courier New" w:hAnsi="Courier New"/>
                <w:sz w:val="17"/>
                <w:szCs w:val="17"/>
                <w:color w:val="auto"/>
              </w:rPr>
              <w:t>of incorporation)</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Identification No.)</w:t>
            </w:r>
          </w:p>
        </w:tc>
        <w:tc>
          <w:tcPr>
            <w:tcW w:w="0" w:type="dxa"/>
            <w:vAlign w:val="bottom"/>
          </w:tcPr>
          <w:p>
            <w:pPr>
              <w:spacing w:after="0"/>
              <w:rPr>
                <w:sz w:val="1"/>
                <w:szCs w:val="1"/>
                <w:color w:val="auto"/>
              </w:rPr>
            </w:pPr>
          </w:p>
        </w:tc>
      </w:tr>
      <w:tr>
        <w:trPr>
          <w:trHeight w:val="676"/>
        </w:trPr>
        <w:tc>
          <w:tcPr>
            <w:tcW w:w="4420" w:type="dxa"/>
            <w:vAlign w:val="bottom"/>
          </w:tcPr>
          <w:p>
            <w:pPr>
              <w:spacing w:after="0"/>
              <w:rPr>
                <w:sz w:val="20"/>
                <w:szCs w:val="20"/>
                <w:color w:val="auto"/>
              </w:rPr>
            </w:pPr>
            <w:r>
              <w:rPr>
                <w:rFonts w:ascii="Courier New" w:cs="Courier New" w:eastAsia="Courier New" w:hAnsi="Courier New"/>
                <w:sz w:val="17"/>
                <w:szCs w:val="17"/>
                <w:color w:val="auto"/>
              </w:rPr>
              <w:t>270 Park Avenue, New York, NY</w:t>
            </w: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10172-2070</w:t>
            </w:r>
          </w:p>
        </w:tc>
        <w:tc>
          <w:tcPr>
            <w:tcW w:w="0" w:type="dxa"/>
            <w:vAlign w:val="bottom"/>
          </w:tcPr>
          <w:p>
            <w:pPr>
              <w:spacing w:after="0"/>
              <w:rPr>
                <w:sz w:val="1"/>
                <w:szCs w:val="1"/>
                <w:color w:val="auto"/>
              </w:rPr>
            </w:pPr>
          </w:p>
        </w:tc>
      </w:tr>
      <w:tr>
        <w:trPr>
          <w:trHeight w:val="191"/>
        </w:trPr>
        <w:tc>
          <w:tcPr>
            <w:tcW w:w="442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(Address</w:t>
            </w:r>
            <w:r>
              <w:rPr>
                <w:rFonts w:ascii="Courier New" w:cs="Courier New" w:eastAsia="Courier New" w:hAnsi="Courier New"/>
                <w:sz w:val="26"/>
                <w:szCs w:val="26"/>
                <w:color w:val="auto"/>
                <w:w w:val="71"/>
                <w:vertAlign w:val="superscript"/>
              </w:rPr>
              <w:t>-----------------------------</w:t>
            </w:r>
            <w:r>
              <w:rPr>
                <w:rFonts w:ascii="Courier New" w:cs="Courier New" w:eastAsia="Courier New" w:hAnsi="Courier New"/>
                <w:sz w:val="14"/>
                <w:szCs w:val="14"/>
                <w:color w:val="auto"/>
                <w:w w:val="71"/>
              </w:rPr>
              <w:t>ofprincipalexecutive Offices)</w:t>
            </w:r>
          </w:p>
        </w:tc>
        <w:tc>
          <w:tcPr>
            <w:tcW w:w="2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6"/>
        </w:trPr>
        <w:tc>
          <w:tcPr>
            <w:tcW w:w="4420" w:type="dxa"/>
            <w:vAlign w:val="bottom"/>
            <w:vMerge w:val="continue"/>
          </w:tcPr>
          <w:p>
            <w:pPr>
              <w:spacing w:after="0"/>
              <w:rPr>
                <w:sz w:val="24"/>
                <w:szCs w:val="24"/>
                <w:color w:val="auto"/>
              </w:rPr>
            </w:pPr>
          </w:p>
        </w:tc>
        <w:tc>
          <w:tcPr>
            <w:tcW w:w="2040" w:type="dxa"/>
            <w:vAlign w:val="bottom"/>
          </w:tcPr>
          <w:p>
            <w:pPr>
              <w:ind w:left="60"/>
              <w:spacing w:after="0"/>
              <w:rPr>
                <w:sz w:val="20"/>
                <w:szCs w:val="20"/>
                <w:color w:val="auto"/>
              </w:rPr>
            </w:pPr>
            <w:r>
              <w:rPr>
                <w:rFonts w:ascii="Courier New" w:cs="Courier New" w:eastAsia="Courier New" w:hAnsi="Courier New"/>
                <w:sz w:val="17"/>
                <w:szCs w:val="17"/>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9" w:lineRule="exact"/>
        <w:rPr>
          <w:sz w:val="24"/>
          <w:szCs w:val="24"/>
          <w:color w:val="auto"/>
        </w:rPr>
      </w:pPr>
    </w:p>
    <w:p>
      <w:pPr>
        <w:ind w:left="1000"/>
        <w:spacing w:after="0"/>
        <w:rPr>
          <w:sz w:val="20"/>
          <w:szCs w:val="20"/>
          <w:color w:val="auto"/>
        </w:rPr>
      </w:pPr>
      <w:r>
        <w:rPr>
          <w:rFonts w:ascii="Courier New" w:cs="Courier New" w:eastAsia="Courier New" w:hAnsi="Courier New"/>
          <w:sz w:val="16"/>
          <w:szCs w:val="16"/>
          <w:color w:val="auto"/>
        </w:rPr>
        <w:t>Registrant's telephone number, including area code (212) 270-6000</w:t>
      </w:r>
    </w:p>
    <w:p>
      <w:pPr>
        <w:spacing w:after="0" w:line="40" w:lineRule="exact"/>
        <w:rPr>
          <w:sz w:val="24"/>
          <w:szCs w:val="24"/>
          <w:color w:val="auto"/>
        </w:rPr>
      </w:pPr>
    </w:p>
    <w:p>
      <w:pPr>
        <w:ind w:left="6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4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72" w:lineRule="exact"/>
        <w:rPr>
          <w:sz w:val="20"/>
          <w:szCs w:val="20"/>
          <w:color w:val="auto"/>
        </w:rPr>
      </w:pPr>
    </w:p>
    <w:p>
      <w:pPr>
        <w:ind w:left="1000"/>
        <w:spacing w:after="0"/>
        <w:tabs>
          <w:tab w:leader="none" w:pos="1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42" w:lineRule="exact"/>
        <w:rPr>
          <w:sz w:val="20"/>
          <w:szCs w:val="20"/>
          <w:color w:val="auto"/>
        </w:rPr>
      </w:pPr>
    </w:p>
    <w:p>
      <w:pPr>
        <w:ind w:left="1300" w:right="2859" w:hanging="304"/>
        <w:spacing w:after="0" w:line="265" w:lineRule="auto"/>
        <w:tabs>
          <w:tab w:leader="none" w:pos="13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Chemical Banking Corporation ("the Corporation") announced on January 18, 1994, that fourth quarter 1993 earnings were $347 million, compared with $304 million in the same period a year ago. For the full year, net income was $1,604 million, an increase from $1,086 million for all of 1992.</w:t>
      </w:r>
    </w:p>
    <w:p>
      <w:pPr>
        <w:spacing w:after="0" w:line="84" w:lineRule="exact"/>
        <w:rPr>
          <w:rFonts w:ascii="Courier New" w:cs="Courier New" w:eastAsia="Courier New" w:hAnsi="Courier New"/>
          <w:sz w:val="17"/>
          <w:szCs w:val="17"/>
          <w:color w:val="auto"/>
        </w:rPr>
      </w:pPr>
    </w:p>
    <w:p>
      <w:pPr>
        <w:ind w:left="1300" w:right="2859"/>
        <w:spacing w:after="0" w:line="27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per common share in the fourth quarter of 1993 was $1.23, compared with $1.09 per share in the same period a year ago. Net income per common share for the full year was $5.77 in 1993 compared with $3.90 in 1992.</w:t>
      </w:r>
    </w:p>
    <w:p>
      <w:pPr>
        <w:spacing w:after="0" w:line="76" w:lineRule="exact"/>
        <w:rPr>
          <w:rFonts w:ascii="Courier New" w:cs="Courier New" w:eastAsia="Courier New" w:hAnsi="Courier New"/>
          <w:sz w:val="17"/>
          <w:szCs w:val="17"/>
          <w:color w:val="auto"/>
        </w:rPr>
      </w:pPr>
    </w:p>
    <w:p>
      <w:pPr>
        <w:ind w:left="1300" w:right="3259"/>
        <w:spacing w:after="0" w:line="29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Corporation's Press Release announcing the results of operations for the 1993 fourth quarter and the full year is incorporated herein.</w:t>
      </w:r>
    </w:p>
    <w:p>
      <w:pPr>
        <w:spacing w:after="0" w:line="253" w:lineRule="exact"/>
        <w:rPr>
          <w:sz w:val="20"/>
          <w:szCs w:val="20"/>
          <w:color w:val="auto"/>
        </w:rPr>
      </w:pPr>
    </w:p>
    <w:p>
      <w:pPr>
        <w:ind w:left="1500" w:right="3059" w:hanging="499"/>
        <w:spacing w:after="0" w:line="257" w:lineRule="auto"/>
        <w:tabs>
          <w:tab w:leader="none" w:pos="1480" w:val="left"/>
        </w:tabs>
        <w:rPr>
          <w:sz w:val="20"/>
          <w:szCs w:val="20"/>
          <w:color w:val="auto"/>
        </w:rPr>
      </w:pPr>
      <w:r>
        <w:rPr>
          <w:rFonts w:ascii="Courier New" w:cs="Courier New" w:eastAsia="Courier New" w:hAnsi="Courier New"/>
          <w:sz w:val="17"/>
          <w:szCs w:val="17"/>
          <w:color w:val="auto"/>
        </w:rPr>
        <w:t>Item</w:t>
        <w:tab/>
        <w:t>7. Financial Statements, Pro Forma Financial Information and Exhibits</w:t>
      </w:r>
    </w:p>
    <w:p>
      <w:pPr>
        <w:ind w:left="10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42"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The following exhibits are filed with this Report:</w:t>
      </w:r>
    </w:p>
    <w:p>
      <w:pPr>
        <w:sectPr>
          <w:pgSz w:w="11900" w:h="16838" w:orient="portrait"/>
          <w:cols w:equalWidth="0" w:num="1">
            <w:col w:w="10219"/>
          </w:cols>
          <w:pgMar w:left="240" w:top="27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Exhibit Number</w:t>
      </w:r>
    </w:p>
    <w:p>
      <w:pPr>
        <w:spacing w:after="0" w:line="4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ectPr>
          <w:pgSz w:w="11900" w:h="16838" w:orient="portrait"/>
          <w:cols w:equalWidth="0" w:num="2">
            <w:col w:w="2780" w:space="700"/>
            <w:col w:w="6739"/>
          </w:cols>
          <w:pgMar w:left="240" w:top="277" w:right="1440" w:bottom="1440" w:gutter="0" w:footer="0" w:header="0"/>
          <w:type w:val="continuous"/>
        </w:sectPr>
      </w:pPr>
    </w:p>
    <w:p>
      <w:pPr>
        <w:ind w:left="5180" w:right="3159" w:hanging="3388"/>
        <w:spacing w:after="0" w:line="347" w:lineRule="auto"/>
        <w:tabs>
          <w:tab w:leader="none" w:pos="348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Press Release - 1993 Fourth Quarter Earnings.</w:t>
      </w:r>
    </w:p>
    <w:p>
      <w:pPr>
        <w:sectPr>
          <w:pgSz w:w="11900" w:h="16838" w:orient="portrait"/>
          <w:cols w:equalWidth="0" w:num="1">
            <w:col w:w="10219"/>
          </w:cols>
          <w:pgMar w:left="240" w:top="277"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372" w:lineRule="exact"/>
        <w:rPr>
          <w:sz w:val="20"/>
          <w:szCs w:val="20"/>
          <w:color w:val="auto"/>
        </w:rPr>
      </w:pPr>
    </w:p>
    <w:p>
      <w:pPr>
        <w:ind w:left="1000" w:right="2759" w:firstLine="298"/>
        <w:spacing w:after="0" w:line="31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CHEMICAL BANKING CORPORATION</w:t>
      </w:r>
    </w:p>
    <w:p>
      <w:pPr>
        <w:spacing w:after="0" w:line="2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277"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right"/>
        <w:ind w:left="1000" w:right="80"/>
        <w:spacing w:after="0" w:line="347" w:lineRule="auto"/>
        <w:rPr>
          <w:sz w:val="20"/>
          <w:szCs w:val="20"/>
          <w:color w:val="auto"/>
        </w:rPr>
      </w:pPr>
      <w:r>
        <w:rPr>
          <w:rFonts w:ascii="Courier New" w:cs="Courier New" w:eastAsia="Courier New" w:hAnsi="Courier New"/>
          <w:sz w:val="17"/>
          <w:szCs w:val="17"/>
          <w:color w:val="auto"/>
        </w:rPr>
        <w:t>Dated January 21,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/s/Joseph L. Sclafani</w:t>
      </w:r>
    </w:p>
    <w:p>
      <w:pPr>
        <w:spacing w:after="0" w:line="2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ind w:left="600"/>
        <w:spacing w:after="0" w:line="238" w:lineRule="auto"/>
        <w:rPr>
          <w:sz w:val="20"/>
          <w:szCs w:val="20"/>
          <w:color w:val="auto"/>
        </w:rPr>
      </w:pPr>
      <w:r>
        <w:rPr>
          <w:rFonts w:ascii="Courier New" w:cs="Courier New" w:eastAsia="Courier New" w:hAnsi="Courier New"/>
          <w:sz w:val="17"/>
          <w:szCs w:val="17"/>
          <w:color w:val="auto"/>
        </w:rPr>
        <w:t>Joseph L. Sclafani</w:t>
      </w:r>
    </w:p>
    <w:p>
      <w:pPr>
        <w:ind w:left="600"/>
        <w:spacing w:after="0" w:line="238" w:lineRule="auto"/>
        <w:rPr>
          <w:sz w:val="20"/>
          <w:szCs w:val="20"/>
          <w:color w:val="auto"/>
        </w:rPr>
      </w:pPr>
      <w:r>
        <w:rPr>
          <w:rFonts w:ascii="Courier New" w:cs="Courier New" w:eastAsia="Courier New" w:hAnsi="Courier New"/>
          <w:sz w:val="17"/>
          <w:szCs w:val="17"/>
          <w:color w:val="auto"/>
        </w:rPr>
        <w:t>Controller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2">
            <w:col w:w="3260" w:space="720"/>
            <w:col w:w="6239"/>
          </w:cols>
          <w:pgMar w:left="240" w:top="27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4</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Exhibit Number</w:t>
      </w:r>
    </w:p>
    <w:p>
      <w:pPr>
        <w:spacing w:after="0" w:line="40"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at Which Located</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ectPr>
          <w:pgSz w:w="11900" w:h="16838" w:orient="portrait"/>
          <w:cols w:equalWidth="0" w:num="3">
            <w:col w:w="2380" w:space="600"/>
            <w:col w:w="1280" w:space="720"/>
            <w:col w:w="5239"/>
          </w:cols>
          <w:pgMar w:left="240" w:top="277"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3">
            <w:col w:w="2260" w:space="720"/>
            <w:col w:w="2160" w:space="720"/>
            <w:col w:w="4359"/>
          </w:cols>
          <w:pgMar w:left="240" w:top="27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3480"/>
        <w:spacing w:after="0"/>
        <w:tabs>
          <w:tab w:leader="none" w:pos="5060" w:val="left"/>
        </w:tabs>
        <w:rPr>
          <w:sz w:val="20"/>
          <w:szCs w:val="20"/>
          <w:color w:val="auto"/>
        </w:rPr>
      </w:pPr>
      <w:r>
        <w:rPr>
          <w:rFonts w:ascii="Courier New" w:cs="Courier New" w:eastAsia="Courier New" w:hAnsi="Courier New"/>
          <w:sz w:val="17"/>
          <w:szCs w:val="17"/>
          <w:color w:val="auto"/>
        </w:rPr>
        <w:t>Press Contact:</w:t>
      </w:r>
      <w:r>
        <w:rPr>
          <w:sz w:val="20"/>
          <w:szCs w:val="20"/>
          <w:color w:val="auto"/>
        </w:rPr>
        <w:tab/>
      </w:r>
      <w:r>
        <w:rPr>
          <w:rFonts w:ascii="Courier New" w:cs="Courier New" w:eastAsia="Courier New" w:hAnsi="Courier New"/>
          <w:sz w:val="16"/>
          <w:szCs w:val="16"/>
          <w:color w:val="auto"/>
        </w:rPr>
        <w:t>John Meyers</w:t>
      </w:r>
    </w:p>
    <w:p>
      <w:pPr>
        <w:spacing w:after="0" w:line="29" w:lineRule="exact"/>
        <w:rPr>
          <w:sz w:val="20"/>
          <w:szCs w:val="20"/>
          <w:color w:val="auto"/>
        </w:rPr>
      </w:pPr>
    </w:p>
    <w:p>
      <w:pPr>
        <w:ind w:left="4980"/>
        <w:spacing w:after="0"/>
        <w:tabs>
          <w:tab w:leader="none" w:pos="566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270-7454</w:t>
      </w:r>
    </w:p>
    <w:p>
      <w:pPr>
        <w:spacing w:after="0" w:line="160" w:lineRule="exact"/>
        <w:rPr>
          <w:sz w:val="20"/>
          <w:szCs w:val="20"/>
          <w:color w:val="auto"/>
        </w:rPr>
      </w:pPr>
    </w:p>
    <w:p>
      <w:pPr>
        <w:jc w:val="right"/>
        <w:ind w:right="3759"/>
        <w:spacing w:after="0"/>
        <w:tabs>
          <w:tab w:leader="none" w:pos="1560" w:val="left"/>
        </w:tabs>
        <w:rPr>
          <w:sz w:val="20"/>
          <w:szCs w:val="20"/>
          <w:color w:val="auto"/>
        </w:rPr>
      </w:pPr>
      <w:r>
        <w:rPr>
          <w:rFonts w:ascii="Courier New" w:cs="Courier New" w:eastAsia="Courier New" w:hAnsi="Courier New"/>
          <w:sz w:val="17"/>
          <w:szCs w:val="17"/>
          <w:color w:val="auto"/>
        </w:rPr>
        <w:t>Investor Contact:</w:t>
      </w:r>
      <w:r>
        <w:rPr>
          <w:sz w:val="20"/>
          <w:szCs w:val="20"/>
          <w:color w:val="auto"/>
        </w:rPr>
        <w:tab/>
      </w:r>
      <w:r>
        <w:rPr>
          <w:rFonts w:ascii="Courier New" w:cs="Courier New" w:eastAsia="Courier New" w:hAnsi="Courier New"/>
          <w:sz w:val="16"/>
          <w:szCs w:val="16"/>
          <w:color w:val="auto"/>
        </w:rPr>
        <w:t>John Borden</w:t>
      </w:r>
    </w:p>
    <w:p>
      <w:pPr>
        <w:spacing w:after="0" w:line="29" w:lineRule="exact"/>
        <w:rPr>
          <w:sz w:val="20"/>
          <w:szCs w:val="20"/>
          <w:color w:val="auto"/>
        </w:rPr>
      </w:pPr>
    </w:p>
    <w:p>
      <w:pPr>
        <w:jc w:val="right"/>
        <w:ind w:right="3759"/>
        <w:spacing w:after="0"/>
        <w:tabs>
          <w:tab w:leader="none" w:pos="126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270-7318</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For Immediate Release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Tuesday, January 18, 1994</w:t>
      </w:r>
    </w:p>
    <w:p>
      <w:pPr>
        <w:spacing w:after="0" w:line="160" w:lineRule="exact"/>
        <w:rPr>
          <w:sz w:val="20"/>
          <w:szCs w:val="20"/>
          <w:color w:val="auto"/>
        </w:rPr>
      </w:pPr>
    </w:p>
    <w:p>
      <w:pPr>
        <w:ind w:left="200" w:right="3459" w:firstLine="497"/>
        <w:spacing w:after="0" w:line="265" w:lineRule="auto"/>
        <w:rPr>
          <w:sz w:val="20"/>
          <w:szCs w:val="20"/>
          <w:color w:val="auto"/>
        </w:rPr>
      </w:pPr>
      <w:r>
        <w:rPr>
          <w:rFonts w:ascii="Courier New" w:cs="Courier New" w:eastAsia="Courier New" w:hAnsi="Courier New"/>
          <w:sz w:val="17"/>
          <w:szCs w:val="17"/>
          <w:color w:val="auto"/>
        </w:rPr>
        <w:t>New York, January 18 -- Chemical Banking Corporation today reported net income for the full year 1993 of $1.604 billion, an increase of 48 percent from $1.086 billion for all of 1992. Net income per common share for 1993 was $5.77, compared with $3.90 in 1992.</w:t>
      </w:r>
    </w:p>
    <w:p>
      <w:pPr>
        <w:spacing w:after="0" w:line="84" w:lineRule="exact"/>
        <w:rPr>
          <w:sz w:val="20"/>
          <w:szCs w:val="20"/>
          <w:color w:val="auto"/>
        </w:rPr>
      </w:pPr>
    </w:p>
    <w:p>
      <w:pPr>
        <w:ind w:left="200" w:right="3259" w:firstLine="497"/>
        <w:spacing w:after="0" w:line="265" w:lineRule="auto"/>
        <w:rPr>
          <w:sz w:val="20"/>
          <w:szCs w:val="20"/>
          <w:color w:val="auto"/>
        </w:rPr>
      </w:pPr>
      <w:r>
        <w:rPr>
          <w:rFonts w:ascii="Courier New" w:cs="Courier New" w:eastAsia="Courier New" w:hAnsi="Courier New"/>
          <w:sz w:val="17"/>
          <w:szCs w:val="17"/>
          <w:color w:val="auto"/>
        </w:rPr>
        <w:t>Net income for the fourth quarter of 1993 was $347 million, or $1.23 per common share, versus $197 million, or $.64 per share, on a comparable fully-taxed basis and $304 million, or $1.09 per share, on a reported basis (including tax benefits) in the fourth quarter of 1992.</w:t>
      </w:r>
    </w:p>
    <w:p>
      <w:pPr>
        <w:spacing w:after="0" w:line="84" w:lineRule="exact"/>
        <w:rPr>
          <w:sz w:val="20"/>
          <w:szCs w:val="20"/>
          <w:color w:val="auto"/>
        </w:rPr>
      </w:pPr>
    </w:p>
    <w:p>
      <w:pPr>
        <w:ind w:left="200" w:right="3259" w:firstLine="497"/>
        <w:spacing w:after="0" w:line="251" w:lineRule="auto"/>
        <w:rPr>
          <w:sz w:val="20"/>
          <w:szCs w:val="20"/>
          <w:color w:val="auto"/>
        </w:rPr>
      </w:pPr>
      <w:r>
        <w:rPr>
          <w:rFonts w:ascii="Courier New" w:cs="Courier New" w:eastAsia="Courier New" w:hAnsi="Courier New"/>
          <w:sz w:val="17"/>
          <w:szCs w:val="17"/>
          <w:color w:val="auto"/>
        </w:rPr>
        <w:t>"Higher earnings for both the quarter and the year reflected strong revenue growth in our core businesses," said Walter V. Shipley, chairman and chief executive officer. "The corporation continued to benefit from positions of market leadership, with strong performances from capital markets, corporate finance, regional banking and national consumer activities. In addition, the fourth quarter included significant revenues related to developing markets restructurings, partially offset by investments in several of the corporation's key businesses."</w:t>
      </w:r>
    </w:p>
    <w:p>
      <w:pPr>
        <w:spacing w:after="0" w:line="100" w:lineRule="exact"/>
        <w:rPr>
          <w:sz w:val="20"/>
          <w:szCs w:val="20"/>
          <w:color w:val="auto"/>
        </w:rPr>
      </w:pPr>
    </w:p>
    <w:p>
      <w:pPr>
        <w:ind w:left="200" w:right="3259" w:firstLine="497"/>
        <w:spacing w:after="0" w:line="265" w:lineRule="auto"/>
        <w:rPr>
          <w:sz w:val="20"/>
          <w:szCs w:val="20"/>
          <w:color w:val="auto"/>
        </w:rPr>
      </w:pPr>
      <w:r>
        <w:rPr>
          <w:rFonts w:ascii="Courier New" w:cs="Courier New" w:eastAsia="Courier New" w:hAnsi="Courier New"/>
          <w:sz w:val="17"/>
          <w:szCs w:val="17"/>
          <w:color w:val="auto"/>
        </w:rPr>
        <w:t>"Nonperforming assets declined by $607 million during the fourth quarter and by $2.6 billion, or 42 percent, during the past year," said Mr. Shipley. "This continued improvement in credit quality confirms our expectations for significantly lower provisions in the years ahead."</w:t>
      </w:r>
    </w:p>
    <w:p>
      <w:pPr>
        <w:spacing w:after="0" w:line="84" w:lineRule="exact"/>
        <w:rPr>
          <w:sz w:val="20"/>
          <w:szCs w:val="20"/>
          <w:color w:val="auto"/>
        </w:rPr>
      </w:pPr>
    </w:p>
    <w:p>
      <w:pPr>
        <w:ind w:left="200" w:right="3259" w:firstLine="497"/>
        <w:spacing w:after="0" w:line="260" w:lineRule="auto"/>
        <w:rPr>
          <w:sz w:val="20"/>
          <w:szCs w:val="20"/>
          <w:color w:val="auto"/>
        </w:rPr>
      </w:pPr>
      <w:r>
        <w:rPr>
          <w:rFonts w:ascii="Courier New" w:cs="Courier New" w:eastAsia="Courier New" w:hAnsi="Courier New"/>
          <w:sz w:val="17"/>
          <w:szCs w:val="17"/>
          <w:color w:val="auto"/>
        </w:rPr>
        <w:t>At December 31, total nonperforming assets were $3,525 million, down from $6,092 million on the same date a year ago. Nonperforming assets were 2.4 percent of total assets at the end of the fourth quarter, compared with 4.4 percent a year ago. The non-LDC allowance for losses at December 31 was 123 percent of non-LDC nonperforming loans, compared with 64 percent a year ago.</w:t>
      </w:r>
    </w:p>
    <w:p>
      <w:pPr>
        <w:spacing w:after="0" w:line="87" w:lineRule="exact"/>
        <w:rPr>
          <w:sz w:val="20"/>
          <w:szCs w:val="20"/>
          <w:color w:val="auto"/>
        </w:rPr>
      </w:pPr>
    </w:p>
    <w:p>
      <w:pPr>
        <w:ind w:left="200" w:right="3259" w:firstLine="497"/>
        <w:spacing w:after="0" w:line="296" w:lineRule="auto"/>
        <w:rPr>
          <w:sz w:val="20"/>
          <w:szCs w:val="20"/>
          <w:color w:val="auto"/>
        </w:rPr>
      </w:pPr>
      <w:r>
        <w:rPr>
          <w:rFonts w:ascii="Courier New" w:cs="Courier New" w:eastAsia="Courier New" w:hAnsi="Courier New"/>
          <w:sz w:val="16"/>
          <w:szCs w:val="16"/>
          <w:color w:val="auto"/>
        </w:rPr>
        <w:t>The corporation's estimated Tier I risk-based capital ratio was 8.0 percent at December 31, compared with 7.3 percent a year ago. At December 31, the estimated total risk-based capital ratio was 12.1 percent, up from 11.6 percent on the same date a year ago.</w:t>
      </w:r>
    </w:p>
    <w:p>
      <w:pPr>
        <w:sectPr>
          <w:pgSz w:w="11900" w:h="16838" w:orient="portrait"/>
          <w:cols w:equalWidth="0" w:num="1">
            <w:col w:w="10219"/>
          </w:cols>
          <w:pgMar w:left="240" w:top="66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6</w:t>
      </w:r>
    </w:p>
    <w:p>
      <w:pPr>
        <w:spacing w:after="0" w:line="190" w:lineRule="exact"/>
        <w:rPr>
          <w:sz w:val="20"/>
          <w:szCs w:val="20"/>
          <w:color w:val="auto"/>
        </w:rPr>
      </w:pPr>
    </w:p>
    <w:p>
      <w:pPr>
        <w:jc w:val="both"/>
        <w:ind w:left="200" w:right="3359" w:firstLine="497"/>
        <w:spacing w:after="0" w:line="296" w:lineRule="auto"/>
        <w:rPr>
          <w:sz w:val="20"/>
          <w:szCs w:val="20"/>
          <w:color w:val="auto"/>
        </w:rPr>
      </w:pPr>
      <w:r>
        <w:rPr>
          <w:rFonts w:ascii="Courier New" w:cs="Courier New" w:eastAsia="Courier New" w:hAnsi="Courier New"/>
          <w:sz w:val="16"/>
          <w:szCs w:val="16"/>
          <w:color w:val="auto"/>
        </w:rPr>
        <w:t>During 1993, the corporation increased the quarterly dividend on its common stock by 27 percent to 38 cents per share. In March, the quarterly dividend was increased to 33 cents per share, from 30 cents per share, and in December to 38 cents per share.</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NET INTEREST INCOME</w:t>
      </w:r>
    </w:p>
    <w:p>
      <w:pPr>
        <w:spacing w:after="0" w:line="190" w:lineRule="exact"/>
        <w:rPr>
          <w:sz w:val="20"/>
          <w:szCs w:val="20"/>
          <w:color w:val="auto"/>
        </w:rPr>
      </w:pPr>
    </w:p>
    <w:p>
      <w:pPr>
        <w:ind w:left="200" w:right="3359" w:firstLine="497"/>
        <w:spacing w:after="0" w:line="274" w:lineRule="auto"/>
        <w:rPr>
          <w:sz w:val="20"/>
          <w:szCs w:val="20"/>
          <w:color w:val="auto"/>
        </w:rPr>
      </w:pPr>
      <w:r>
        <w:rPr>
          <w:rFonts w:ascii="Courier New" w:cs="Courier New" w:eastAsia="Courier New" w:hAnsi="Courier New"/>
          <w:sz w:val="17"/>
          <w:szCs w:val="17"/>
          <w:color w:val="auto"/>
        </w:rPr>
        <w:t>Net interest income for the fourth quarter was $1,149 million, compared with $1,226 million in the same year-ago period. For the full year, net interest income was $4,636 million, compared with $4,598 million a year ago.</w:t>
      </w:r>
    </w:p>
    <w:p>
      <w:pPr>
        <w:spacing w:after="0" w:line="77" w:lineRule="exact"/>
        <w:rPr>
          <w:sz w:val="20"/>
          <w:szCs w:val="20"/>
          <w:color w:val="auto"/>
        </w:rPr>
      </w:pPr>
    </w:p>
    <w:p>
      <w:pPr>
        <w:ind w:left="200" w:right="3259" w:firstLine="497"/>
        <w:spacing w:after="0" w:line="296" w:lineRule="auto"/>
        <w:rPr>
          <w:sz w:val="20"/>
          <w:szCs w:val="20"/>
          <w:color w:val="auto"/>
        </w:rPr>
      </w:pPr>
      <w:r>
        <w:rPr>
          <w:rFonts w:ascii="Courier New" w:cs="Courier New" w:eastAsia="Courier New" w:hAnsi="Courier New"/>
          <w:sz w:val="16"/>
          <w:szCs w:val="16"/>
          <w:color w:val="auto"/>
        </w:rPr>
        <w:t>The net yield on interest-earning assets was 3.65 percent in the fourth quarter, compared with 4.01 percent in the fourth quarter of 1992. The net yield on interest earning assets for the full year was 3.73 percent, compared with 3.82 percent for all of 1992.</w:t>
      </w:r>
    </w:p>
    <w:p>
      <w:pPr>
        <w:spacing w:after="0" w:line="62" w:lineRule="exact"/>
        <w:rPr>
          <w:sz w:val="20"/>
          <w:szCs w:val="20"/>
          <w:color w:val="auto"/>
        </w:rPr>
      </w:pPr>
    </w:p>
    <w:p>
      <w:pPr>
        <w:ind w:left="200" w:right="3259" w:firstLine="497"/>
        <w:spacing w:after="0" w:line="318" w:lineRule="auto"/>
        <w:rPr>
          <w:sz w:val="20"/>
          <w:szCs w:val="20"/>
          <w:color w:val="auto"/>
        </w:rPr>
      </w:pPr>
      <w:r>
        <w:rPr>
          <w:rFonts w:ascii="Courier New" w:cs="Courier New" w:eastAsia="Courier New" w:hAnsi="Courier New"/>
          <w:sz w:val="16"/>
          <w:szCs w:val="16"/>
          <w:color w:val="auto"/>
        </w:rPr>
        <w:t>Net interest income in the fourth quarter of both 1993 and 1992 included one-time cash payments of approximately $30 million received in connection with developing country debt restructurings.</w:t>
      </w:r>
    </w:p>
    <w:p>
      <w:pPr>
        <w:spacing w:after="0" w:line="45" w:lineRule="exact"/>
        <w:rPr>
          <w:sz w:val="20"/>
          <w:szCs w:val="20"/>
          <w:color w:val="auto"/>
        </w:rPr>
      </w:pPr>
    </w:p>
    <w:p>
      <w:pPr>
        <w:ind w:left="200" w:right="3459" w:firstLine="497"/>
        <w:spacing w:after="0" w:line="274" w:lineRule="auto"/>
        <w:rPr>
          <w:sz w:val="20"/>
          <w:szCs w:val="20"/>
          <w:color w:val="auto"/>
        </w:rPr>
      </w:pPr>
      <w:r>
        <w:rPr>
          <w:rFonts w:ascii="Courier New" w:cs="Courier New" w:eastAsia="Courier New" w:hAnsi="Courier New"/>
          <w:sz w:val="17"/>
          <w:szCs w:val="17"/>
          <w:color w:val="auto"/>
        </w:rPr>
        <w:t>Average interest-earning assets for the fourth quarter were $125.7 billion, compared with $122.4 billion in the same year-ago period. For the year, average interest-earning assets were $124.9 billion, compared with $121.2 billion for 1992.</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NONINTEREST REVENUE</w:t>
      </w:r>
    </w:p>
    <w:p>
      <w:pPr>
        <w:spacing w:after="0" w:line="190" w:lineRule="exact"/>
        <w:rPr>
          <w:sz w:val="20"/>
          <w:szCs w:val="20"/>
          <w:color w:val="auto"/>
        </w:rPr>
      </w:pPr>
    </w:p>
    <w:p>
      <w:pPr>
        <w:ind w:left="200" w:right="3259" w:firstLine="497"/>
        <w:spacing w:after="0" w:line="274" w:lineRule="auto"/>
        <w:rPr>
          <w:sz w:val="20"/>
          <w:szCs w:val="20"/>
          <w:color w:val="auto"/>
        </w:rPr>
      </w:pPr>
      <w:r>
        <w:rPr>
          <w:rFonts w:ascii="Courier New" w:cs="Courier New" w:eastAsia="Courier New" w:hAnsi="Courier New"/>
          <w:sz w:val="17"/>
          <w:szCs w:val="17"/>
          <w:color w:val="auto"/>
        </w:rPr>
        <w:t>Noninterest revenue for the fourth quarter was $1,053 million, an increase of 47 percent from $717 million in the same period a year ago. Noninterest revenue for the full year was $4,024 million, up 33 percent from $3,026 million for all of 1992.</w:t>
      </w:r>
    </w:p>
    <w:p>
      <w:pPr>
        <w:spacing w:after="0" w:line="77" w:lineRule="exact"/>
        <w:rPr>
          <w:sz w:val="20"/>
          <w:szCs w:val="20"/>
          <w:color w:val="auto"/>
        </w:rPr>
      </w:pPr>
    </w:p>
    <w:p>
      <w:pPr>
        <w:ind w:left="200" w:right="3259" w:firstLine="497"/>
        <w:spacing w:after="0" w:line="260" w:lineRule="auto"/>
        <w:rPr>
          <w:sz w:val="20"/>
          <w:szCs w:val="20"/>
          <w:color w:val="auto"/>
        </w:rPr>
      </w:pPr>
      <w:r>
        <w:rPr>
          <w:rFonts w:ascii="Courier New" w:cs="Courier New" w:eastAsia="Courier New" w:hAnsi="Courier New"/>
          <w:sz w:val="17"/>
          <w:szCs w:val="17"/>
          <w:color w:val="auto"/>
        </w:rPr>
        <w:t>Combined revenues from all trading activities were $255 million in the fourth quarter, up 11 percent from $229 million in the same year-ago period. For the year, total trading revenues were a record $1,073 million, up 26 percent from $853 million in 1992. The results reflected the corporation's emphasis on market making and client-driven businesses.</w:t>
      </w:r>
    </w:p>
    <w:p>
      <w:pPr>
        <w:spacing w:after="0" w:line="87" w:lineRule="exact"/>
        <w:rPr>
          <w:sz w:val="20"/>
          <w:szCs w:val="20"/>
          <w:color w:val="auto"/>
        </w:rPr>
      </w:pPr>
    </w:p>
    <w:p>
      <w:pPr>
        <w:ind w:left="200" w:right="3359" w:firstLine="497"/>
        <w:spacing w:after="0" w:line="260" w:lineRule="auto"/>
        <w:rPr>
          <w:sz w:val="20"/>
          <w:szCs w:val="20"/>
          <w:color w:val="auto"/>
        </w:rPr>
      </w:pPr>
      <w:r>
        <w:rPr>
          <w:rFonts w:ascii="Courier New" w:cs="Courier New" w:eastAsia="Courier New" w:hAnsi="Courier New"/>
          <w:sz w:val="17"/>
          <w:szCs w:val="17"/>
          <w:color w:val="auto"/>
        </w:rPr>
        <w:t>Corporate finance and syndication fees were $88 million in the quarter, up 49 percent from $59 million a year ago. Such fees for the full year 1993 were $338 million, up 28 percent from $265 million a year ago. The increase underscored the corporation's leadership position in global loan origination and distribution as well as growth in corporate advisory activities.</w:t>
      </w:r>
    </w:p>
    <w:p>
      <w:pPr>
        <w:spacing w:after="0" w:line="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Trust and investment management fees in the fourth quarter were</w:t>
      </w:r>
    </w:p>
    <w:p>
      <w:pPr>
        <w:spacing w:after="0" w:line="3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$109 million, up from $94 million in the 1992 fourth quarter, and</w:t>
      </w:r>
    </w:p>
    <w:p>
      <w:pPr>
        <w:ind w:left="200"/>
        <w:spacing w:after="0"/>
        <w:rPr>
          <w:sz w:val="20"/>
          <w:szCs w:val="20"/>
          <w:color w:val="auto"/>
        </w:rPr>
      </w:pPr>
      <w:r>
        <w:rPr>
          <w:rFonts w:ascii="Courier New" w:cs="Courier New" w:eastAsia="Courier New" w:hAnsi="Courier New"/>
          <w:sz w:val="16"/>
          <w:szCs w:val="16"/>
          <w:color w:val="auto"/>
        </w:rPr>
        <w:t>$406 million for the full year, up from $361 million in all of 1992.</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improvement in the results primarily reflected growth in</w:t>
      </w:r>
    </w:p>
    <w:p>
      <w:pPr>
        <w:ind w:left="200"/>
        <w:spacing w:after="0"/>
        <w:rPr>
          <w:sz w:val="20"/>
          <w:szCs w:val="20"/>
          <w:color w:val="auto"/>
        </w:rPr>
      </w:pPr>
      <w:r>
        <w:rPr>
          <w:rFonts w:ascii="Courier New" w:cs="Courier New" w:eastAsia="Courier New" w:hAnsi="Courier New"/>
          <w:sz w:val="17"/>
          <w:szCs w:val="17"/>
          <w:color w:val="auto"/>
        </w:rPr>
        <w:t>Chemical's personal trust and asset management businesses.</w:t>
      </w:r>
    </w:p>
    <w:p>
      <w:pPr>
        <w:sectPr>
          <w:pgSz w:w="11900" w:h="16838" w:orient="portrait"/>
          <w:cols w:equalWidth="0" w:num="1">
            <w:col w:w="10219"/>
          </w:cols>
          <w:pgMar w:left="240" w:top="27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190" w:lineRule="exact"/>
        <w:rPr>
          <w:sz w:val="20"/>
          <w:szCs w:val="20"/>
          <w:color w:val="auto"/>
        </w:rPr>
      </w:pPr>
    </w:p>
    <w:p>
      <w:pPr>
        <w:ind w:left="200" w:right="3259" w:firstLine="497"/>
        <w:spacing w:after="0" w:line="248" w:lineRule="auto"/>
        <w:rPr>
          <w:sz w:val="20"/>
          <w:szCs w:val="20"/>
          <w:color w:val="auto"/>
        </w:rPr>
      </w:pPr>
      <w:r>
        <w:rPr>
          <w:rFonts w:ascii="Courier New" w:cs="Courier New" w:eastAsia="Courier New" w:hAnsi="Courier New"/>
          <w:sz w:val="17"/>
          <w:szCs w:val="17"/>
          <w:color w:val="auto"/>
        </w:rPr>
        <w:t>Other noninterest revenue in the fourth quarter was $236 million, compared with $9 million in the same quarter a year ago. For the full year, other noninterest revenue was $710 million, up from $190 million in all of 1992. The 1993 fourth quarter results included one-time net revenues of $139 million principally related to restructured country debt, including the sale of a portion of the past due interest bonds received from Argentina. The full year 1993 included $331 million from the sale of such bonds received from Argentina and Brazil. Revenues from venture capital activities were $90 million in the fourth quarter and $301 million for the full year 1993, versus $17 million and $100 million in the respective 1992 periods.</w:t>
      </w:r>
    </w:p>
    <w:p>
      <w:pPr>
        <w:spacing w:after="0" w:line="98" w:lineRule="exact"/>
        <w:rPr>
          <w:sz w:val="20"/>
          <w:szCs w:val="20"/>
          <w:color w:val="auto"/>
        </w:rPr>
      </w:pPr>
    </w:p>
    <w:p>
      <w:pPr>
        <w:ind w:left="200" w:right="3259" w:firstLine="497"/>
        <w:spacing w:after="0" w:line="274" w:lineRule="auto"/>
        <w:rPr>
          <w:sz w:val="20"/>
          <w:szCs w:val="20"/>
          <w:color w:val="auto"/>
        </w:rPr>
      </w:pPr>
      <w:r>
        <w:rPr>
          <w:rFonts w:ascii="Courier New" w:cs="Courier New" w:eastAsia="Courier New" w:hAnsi="Courier New"/>
          <w:sz w:val="17"/>
          <w:szCs w:val="17"/>
          <w:color w:val="auto"/>
        </w:rPr>
        <w:t>Securities gains were $16 million in the fourth quarter, compared with securities losses of $2 million in the same year-ago quarter. For the year, securities gains were $142 million, compared with gains of $53 million in all of 1992.</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NONINTEREST EXPENSE</w:t>
      </w:r>
    </w:p>
    <w:p>
      <w:pPr>
        <w:spacing w:after="0" w:line="190" w:lineRule="exact"/>
        <w:rPr>
          <w:sz w:val="20"/>
          <w:szCs w:val="20"/>
          <w:color w:val="auto"/>
        </w:rPr>
      </w:pPr>
    </w:p>
    <w:p>
      <w:pPr>
        <w:ind w:left="200" w:right="3359" w:firstLine="497"/>
        <w:spacing w:after="0" w:line="274" w:lineRule="auto"/>
        <w:rPr>
          <w:sz w:val="20"/>
          <w:szCs w:val="20"/>
          <w:color w:val="auto"/>
        </w:rPr>
      </w:pPr>
      <w:r>
        <w:rPr>
          <w:rFonts w:ascii="Courier New" w:cs="Courier New" w:eastAsia="Courier New" w:hAnsi="Courier New"/>
          <w:sz w:val="17"/>
          <w:szCs w:val="17"/>
          <w:color w:val="auto"/>
        </w:rPr>
        <w:t>Noninterest expense in the fourth quarter was $1,335 million, compared with $1,294 million in the same year-ago quarter. For the full year, noninterest expense was $5,293 million, versus $4,930 million a year ago.</w:t>
      </w:r>
    </w:p>
    <w:p>
      <w:pPr>
        <w:spacing w:after="0" w:line="77" w:lineRule="exact"/>
        <w:rPr>
          <w:sz w:val="20"/>
          <w:szCs w:val="20"/>
          <w:color w:val="auto"/>
        </w:rPr>
      </w:pPr>
    </w:p>
    <w:p>
      <w:pPr>
        <w:ind w:left="200" w:right="3259" w:firstLine="497"/>
        <w:spacing w:after="0" w:line="279" w:lineRule="auto"/>
        <w:rPr>
          <w:sz w:val="20"/>
          <w:szCs w:val="20"/>
          <w:color w:val="auto"/>
        </w:rPr>
      </w:pPr>
      <w:r>
        <w:rPr>
          <w:rFonts w:ascii="Courier New" w:cs="Courier New" w:eastAsia="Courier New" w:hAnsi="Courier New"/>
          <w:sz w:val="16"/>
          <w:szCs w:val="16"/>
          <w:color w:val="auto"/>
        </w:rPr>
        <w:t>Noninterest expense in the fourth quarter reflected approximately $150 million in expense savings related to the December 31, 1991 merger of Chemical Banking Corporation and Manufacturers Hanover Corporation, up from $90 million in the fourth quarter a year ago. Merger-related expense savings for all of 1993 were $525 million, compared with $280 million for all of 1992.</w:t>
      </w:r>
    </w:p>
    <w:p>
      <w:pPr>
        <w:spacing w:after="0" w:line="75" w:lineRule="exact"/>
        <w:rPr>
          <w:sz w:val="20"/>
          <w:szCs w:val="20"/>
          <w:color w:val="auto"/>
        </w:rPr>
      </w:pPr>
    </w:p>
    <w:p>
      <w:pPr>
        <w:ind w:left="200" w:right="3359" w:firstLine="497"/>
        <w:spacing w:after="0" w:line="253" w:lineRule="auto"/>
        <w:rPr>
          <w:sz w:val="20"/>
          <w:szCs w:val="20"/>
          <w:color w:val="auto"/>
        </w:rPr>
      </w:pPr>
      <w:r>
        <w:rPr>
          <w:rFonts w:ascii="Courier New" w:cs="Courier New" w:eastAsia="Courier New" w:hAnsi="Courier New"/>
          <w:sz w:val="17"/>
          <w:szCs w:val="17"/>
          <w:color w:val="auto"/>
        </w:rPr>
        <w:t>Noninterest expense for both the fourth quarter and full year 1993 reflected higher expenses associated with investments in certain of the corporation's key businesses, including an expansion of Section 20 securities capabilities, the acquisitions by Texas Commerce Bancshares of Ameritrust Texas Corporation and major components of First City Bancorporation of Texas, Inc., and $53 million in the fourth quarter related to the launch of a co-branded MasterCard with Shell Oil Company.</w:t>
      </w:r>
    </w:p>
    <w:p>
      <w:pPr>
        <w:spacing w:after="0" w:line="97" w:lineRule="exact"/>
        <w:rPr>
          <w:sz w:val="20"/>
          <w:szCs w:val="20"/>
          <w:color w:val="auto"/>
        </w:rPr>
      </w:pPr>
    </w:p>
    <w:p>
      <w:pPr>
        <w:ind w:left="200" w:right="3259" w:firstLine="497"/>
        <w:spacing w:after="0" w:line="250" w:lineRule="auto"/>
        <w:rPr>
          <w:sz w:val="20"/>
          <w:szCs w:val="20"/>
          <w:color w:val="auto"/>
        </w:rPr>
      </w:pPr>
      <w:r>
        <w:rPr>
          <w:rFonts w:ascii="Courier New" w:cs="Courier New" w:eastAsia="Courier New" w:hAnsi="Courier New"/>
          <w:sz w:val="17"/>
          <w:szCs w:val="17"/>
          <w:color w:val="auto"/>
        </w:rPr>
        <w:t>Noninterest expense included foreclosed property expense of $61 million in the fourth quarter and $287 million for the year, compared with $101 million and $283 million in the respective periods of 1992. Noninterest expense for the full year 1993 included a third-quarter charge of $115 million ($67 million after-tax) related to the completion of the corporation's assessment of costs associated with the merger of Chemical and Manufacturers Hanover. The fourth quarter of 1992 included a one-time charge of $41 million related to costs incurred in combining the corporation's employee benefits plans.</w:t>
      </w:r>
    </w:p>
    <w:p>
      <w:pPr>
        <w:spacing w:after="0" w:line="98" w:lineRule="exact"/>
        <w:rPr>
          <w:sz w:val="20"/>
          <w:szCs w:val="20"/>
          <w:color w:val="auto"/>
        </w:rPr>
      </w:pPr>
    </w:p>
    <w:p>
      <w:pPr>
        <w:ind w:left="200" w:right="3259" w:firstLine="497"/>
        <w:spacing w:after="0" w:line="265" w:lineRule="auto"/>
        <w:rPr>
          <w:sz w:val="20"/>
          <w:szCs w:val="20"/>
          <w:color w:val="auto"/>
        </w:rPr>
      </w:pPr>
      <w:r>
        <w:rPr>
          <w:rFonts w:ascii="Courier New" w:cs="Courier New" w:eastAsia="Courier New" w:hAnsi="Courier New"/>
          <w:sz w:val="17"/>
          <w:szCs w:val="17"/>
          <w:color w:val="auto"/>
        </w:rPr>
        <w:t>Excluding one-time charges, the ratio of noninterest expense to total revenue improved to 60.6 percent in the fourth quarter, from 64.5 percent in the same year-ago quarter. On the same basis, this ratio for the full year improved to 59.1 percent, from 63.7 percent in 1992.</w:t>
      </w:r>
    </w:p>
    <w:p>
      <w:pPr>
        <w:sectPr>
          <w:pgSz w:w="11900" w:h="16838" w:orient="portrait"/>
          <w:cols w:equalWidth="0" w:num="1">
            <w:col w:w="10219"/>
          </w:cols>
          <w:pgMar w:left="240" w:top="27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200" w:right="3959" w:firstLine="497"/>
        <w:spacing w:after="0" w:line="292" w:lineRule="auto"/>
        <w:rPr>
          <w:sz w:val="20"/>
          <w:szCs w:val="20"/>
          <w:color w:val="auto"/>
        </w:rPr>
      </w:pPr>
      <w:r>
        <w:rPr>
          <w:rFonts w:ascii="Courier New" w:cs="Courier New" w:eastAsia="Courier New" w:hAnsi="Courier New"/>
          <w:sz w:val="17"/>
          <w:szCs w:val="17"/>
          <w:color w:val="auto"/>
        </w:rPr>
        <w:t>As of December 31, 1993, merger-related staff reductions totaled 6,221 since July 15, 1991, when the merger was first announced.</w:t>
      </w:r>
    </w:p>
    <w:p>
      <w:pPr>
        <w:spacing w:after="0" w:line="6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PROVISION AND ALLOWANCE FOR LOSSES</w:t>
      </w:r>
    </w:p>
    <w:p>
      <w:pPr>
        <w:spacing w:after="0" w:line="190" w:lineRule="exact"/>
        <w:rPr>
          <w:sz w:val="20"/>
          <w:szCs w:val="20"/>
          <w:color w:val="auto"/>
        </w:rPr>
      </w:pPr>
    </w:p>
    <w:p>
      <w:pPr>
        <w:ind w:left="200" w:right="3259" w:firstLine="497"/>
        <w:spacing w:after="0" w:line="265" w:lineRule="auto"/>
        <w:rPr>
          <w:sz w:val="20"/>
          <w:szCs w:val="20"/>
          <w:color w:val="auto"/>
        </w:rPr>
      </w:pPr>
      <w:r>
        <w:rPr>
          <w:rFonts w:ascii="Courier New" w:cs="Courier New" w:eastAsia="Courier New" w:hAnsi="Courier New"/>
          <w:sz w:val="17"/>
          <w:szCs w:val="17"/>
          <w:color w:val="auto"/>
        </w:rPr>
        <w:t>The provision for losses was $286 million in the fourth quarter, compared with $298 million in the third quarter of 1993 and $315 million in the fourth quarter of 1992. For the year, the provision for losses was $1,259 million, versus $1,365 million in 1992.</w:t>
      </w:r>
    </w:p>
    <w:p>
      <w:pPr>
        <w:spacing w:after="0" w:line="84" w:lineRule="exact"/>
        <w:rPr>
          <w:sz w:val="20"/>
          <w:szCs w:val="20"/>
          <w:color w:val="auto"/>
        </w:rPr>
      </w:pPr>
    </w:p>
    <w:p>
      <w:pPr>
        <w:ind w:left="200" w:right="3259" w:firstLine="497"/>
        <w:spacing w:after="0" w:line="251" w:lineRule="auto"/>
        <w:rPr>
          <w:sz w:val="20"/>
          <w:szCs w:val="20"/>
          <w:color w:val="auto"/>
        </w:rPr>
      </w:pPr>
      <w:r>
        <w:rPr>
          <w:rFonts w:ascii="Courier New" w:cs="Courier New" w:eastAsia="Courier New" w:hAnsi="Courier New"/>
          <w:sz w:val="17"/>
          <w:szCs w:val="17"/>
          <w:color w:val="auto"/>
        </w:rPr>
        <w:t>Consumer net charge-offs were $89 million in the fourth quarter, compared with $84 million in the third quarter of 1993 and $86 million in the fourth quarter a year ago. Consumer net charge-offs were $419 million for the year, versus $401 million in 1992. Consumer net charge-offs for the full-year 1993 included $55 million in the second quarter related to the disposition of nonperforming residential mortgage assets arising from loans extended several years ago under a reduced documentation mortgage program, which was discontinued in 1990.</w:t>
      </w:r>
    </w:p>
    <w:p>
      <w:pPr>
        <w:spacing w:after="0" w:line="100" w:lineRule="exact"/>
        <w:rPr>
          <w:sz w:val="20"/>
          <w:szCs w:val="20"/>
          <w:color w:val="auto"/>
        </w:rPr>
      </w:pPr>
    </w:p>
    <w:p>
      <w:pPr>
        <w:ind w:left="200" w:right="3259" w:firstLine="497"/>
        <w:spacing w:after="0" w:line="265" w:lineRule="auto"/>
        <w:rPr>
          <w:sz w:val="20"/>
          <w:szCs w:val="20"/>
          <w:color w:val="auto"/>
        </w:rPr>
      </w:pPr>
      <w:r>
        <w:rPr>
          <w:rFonts w:ascii="Courier New" w:cs="Courier New" w:eastAsia="Courier New" w:hAnsi="Courier New"/>
          <w:sz w:val="17"/>
          <w:szCs w:val="17"/>
          <w:color w:val="auto"/>
        </w:rPr>
        <w:t>Commercial net charge-offs were $197 million in the fourth quarter, compared with $214 million in the third quarter of 1993 and $229 million in the fourth quarter a year ago. Commercial net charge-offs were $840 million for the year, versus $964 million in 1992.</w:t>
      </w:r>
    </w:p>
    <w:p>
      <w:pPr>
        <w:spacing w:after="0" w:line="84" w:lineRule="exact"/>
        <w:rPr>
          <w:sz w:val="20"/>
          <w:szCs w:val="20"/>
          <w:color w:val="auto"/>
        </w:rPr>
      </w:pPr>
    </w:p>
    <w:p>
      <w:pPr>
        <w:ind w:left="200" w:right="3459" w:firstLine="497"/>
        <w:spacing w:after="0" w:line="260" w:lineRule="auto"/>
        <w:rPr>
          <w:sz w:val="20"/>
          <w:szCs w:val="20"/>
          <w:color w:val="auto"/>
        </w:rPr>
      </w:pPr>
      <w:r>
        <w:rPr>
          <w:rFonts w:ascii="Courier New" w:cs="Courier New" w:eastAsia="Courier New" w:hAnsi="Courier New"/>
          <w:sz w:val="17"/>
          <w:szCs w:val="17"/>
          <w:color w:val="auto"/>
        </w:rPr>
        <w:t>LDC net recoveries were $54 million in the fourth quarter, compared with LDC net charge-offs, including losses on sales and swaps, of $27 million in the third quarter of 1993 and $84 million in the fourth quarter a year ago. Such net charge-offs were $22 million for the full year, compared with $244 million in all of 1992.</w:t>
      </w:r>
    </w:p>
    <w:p>
      <w:pPr>
        <w:spacing w:after="0" w:line="87" w:lineRule="exact"/>
        <w:rPr>
          <w:sz w:val="20"/>
          <w:szCs w:val="20"/>
          <w:color w:val="auto"/>
        </w:rPr>
      </w:pPr>
    </w:p>
    <w:p>
      <w:pPr>
        <w:ind w:left="200" w:right="3459" w:firstLine="497"/>
        <w:spacing w:after="0" w:line="379" w:lineRule="auto"/>
        <w:rPr>
          <w:sz w:val="20"/>
          <w:szCs w:val="20"/>
          <w:color w:val="auto"/>
        </w:rPr>
      </w:pPr>
      <w:r>
        <w:rPr>
          <w:rFonts w:ascii="Courier New" w:cs="Courier New" w:eastAsia="Courier New" w:hAnsi="Courier New"/>
          <w:sz w:val="16"/>
          <w:szCs w:val="16"/>
          <w:color w:val="auto"/>
        </w:rPr>
        <w:t>At December 31, the non-LDC allowance for losses was $2,423 million, compared with $2,206 million on the same date a year ago.</w:t>
      </w:r>
    </w:p>
    <w:p>
      <w:pPr>
        <w:spacing w:after="0" w:line="1" w:lineRule="exact"/>
        <w:rPr>
          <w:sz w:val="20"/>
          <w:szCs w:val="20"/>
          <w:color w:val="auto"/>
        </w:rPr>
      </w:pPr>
    </w:p>
    <w:p>
      <w:pPr>
        <w:ind w:left="200" w:right="3359" w:firstLine="497"/>
        <w:spacing w:after="0" w:line="274" w:lineRule="auto"/>
        <w:rPr>
          <w:sz w:val="20"/>
          <w:szCs w:val="20"/>
          <w:color w:val="auto"/>
        </w:rPr>
      </w:pPr>
      <w:r>
        <w:rPr>
          <w:rFonts w:ascii="Courier New" w:cs="Courier New" w:eastAsia="Courier New" w:hAnsi="Courier New"/>
          <w:sz w:val="17"/>
          <w:szCs w:val="17"/>
          <w:color w:val="auto"/>
        </w:rPr>
        <w:t>The LDC allowance at December 31 was $597 million, compared with $819 million on the same date a year ago. Total LDC medium-and long-term outstandings at December 31 were $2.3 billion, versus $3.5 billion on the same date a year ago.</w:t>
      </w:r>
    </w:p>
    <w:p>
      <w:pPr>
        <w:spacing w:after="0" w:line="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NONPERFORMING ASSETS</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At December 31, total nonperforming assets were $3,525 million,</w:t>
      </w:r>
    </w:p>
    <w:p>
      <w:pPr>
        <w:spacing w:after="0" w:line="3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down $607 million from $4,132 million at September 30 and down</w:t>
      </w:r>
    </w:p>
    <w:p>
      <w:pPr>
        <w:ind w:left="200"/>
        <w:spacing w:after="0"/>
        <w:rPr>
          <w:sz w:val="20"/>
          <w:szCs w:val="20"/>
          <w:color w:val="auto"/>
        </w:rPr>
      </w:pPr>
      <w:r>
        <w:rPr>
          <w:rFonts w:ascii="Courier New" w:cs="Courier New" w:eastAsia="Courier New" w:hAnsi="Courier New"/>
          <w:sz w:val="16"/>
          <w:szCs w:val="16"/>
          <w:color w:val="auto"/>
        </w:rPr>
        <w:t>$2,567 million, or 42 percent, from $6,092 million on December 31 a</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year ago.</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Total non-LDC nonperforming assets at December 31 were $2,903</w:t>
      </w:r>
    </w:p>
    <w:p>
      <w:pPr>
        <w:spacing w:after="0" w:line="2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million, down from $3,365 million at September 30 and from $4,744</w:t>
      </w:r>
    </w:p>
    <w:p>
      <w:pPr>
        <w:ind w:left="200"/>
        <w:spacing w:after="0"/>
        <w:tabs>
          <w:tab w:leader="none" w:pos="2260" w:val="left"/>
        </w:tabs>
        <w:rPr>
          <w:sz w:val="20"/>
          <w:szCs w:val="20"/>
          <w:color w:val="auto"/>
        </w:rPr>
      </w:pPr>
      <w:r>
        <w:rPr>
          <w:rFonts w:ascii="Courier New" w:cs="Courier New" w:eastAsia="Courier New" w:hAnsi="Courier New"/>
          <w:sz w:val="17"/>
          <w:szCs w:val="17"/>
          <w:color w:val="auto"/>
        </w:rPr>
        <w:t>million a year ago.</w:t>
      </w:r>
      <w:r>
        <w:rPr>
          <w:sz w:val="20"/>
          <w:szCs w:val="20"/>
          <w:color w:val="auto"/>
        </w:rPr>
        <w:tab/>
      </w:r>
      <w:r>
        <w:rPr>
          <w:rFonts w:ascii="Courier New" w:cs="Courier New" w:eastAsia="Courier New" w:hAnsi="Courier New"/>
          <w:sz w:val="16"/>
          <w:szCs w:val="16"/>
          <w:color w:val="auto"/>
        </w:rPr>
        <w:t>Non-LDC nonperforming loans at December 31 were</w:t>
      </w:r>
    </w:p>
    <w:p>
      <w:pPr>
        <w:ind w:left="200"/>
        <w:spacing w:after="0" w:line="238" w:lineRule="auto"/>
        <w:rPr>
          <w:sz w:val="20"/>
          <w:szCs w:val="20"/>
          <w:color w:val="auto"/>
        </w:rPr>
      </w:pPr>
      <w:r>
        <w:rPr>
          <w:rFonts w:ascii="Courier New" w:cs="Courier New" w:eastAsia="Courier New" w:hAnsi="Courier New"/>
          <w:sz w:val="17"/>
          <w:szCs w:val="17"/>
          <w:color w:val="auto"/>
        </w:rPr>
        <w:t>$1,969 million, down from $2,279 million at September 30 and down</w:t>
      </w:r>
    </w:p>
    <w:p>
      <w:pPr>
        <w:ind w:left="200"/>
        <w:spacing w:after="0"/>
        <w:tabs>
          <w:tab w:leader="none" w:pos="4960" w:val="left"/>
        </w:tabs>
        <w:rPr>
          <w:sz w:val="20"/>
          <w:szCs w:val="20"/>
          <w:color w:val="auto"/>
        </w:rPr>
      </w:pPr>
      <w:r>
        <w:rPr>
          <w:rFonts w:ascii="Courier New" w:cs="Courier New" w:eastAsia="Courier New" w:hAnsi="Courier New"/>
          <w:sz w:val="17"/>
          <w:szCs w:val="17"/>
          <w:color w:val="auto"/>
        </w:rPr>
        <w:t>from $3,468 million at December 31 a year ago.</w:t>
      </w:r>
      <w:r>
        <w:rPr>
          <w:sz w:val="20"/>
          <w:szCs w:val="20"/>
          <w:color w:val="auto"/>
        </w:rPr>
        <w:tab/>
      </w:r>
      <w:r>
        <w:rPr>
          <w:rFonts w:ascii="Courier New" w:cs="Courier New" w:eastAsia="Courier New" w:hAnsi="Courier New"/>
          <w:sz w:val="16"/>
          <w:szCs w:val="16"/>
          <w:color w:val="auto"/>
        </w:rPr>
        <w:t>Assets acquired as</w:t>
      </w:r>
    </w:p>
    <w:p>
      <w:pPr>
        <w:ind w:left="200"/>
        <w:spacing w:after="0" w:line="238" w:lineRule="auto"/>
        <w:rPr>
          <w:sz w:val="20"/>
          <w:szCs w:val="20"/>
          <w:color w:val="auto"/>
        </w:rPr>
      </w:pPr>
      <w:r>
        <w:rPr>
          <w:rFonts w:ascii="Courier New" w:cs="Courier New" w:eastAsia="Courier New" w:hAnsi="Courier New"/>
          <w:sz w:val="17"/>
          <w:szCs w:val="17"/>
          <w:color w:val="auto"/>
        </w:rPr>
        <w:t>loan satisfactions were $934 million at year-end 1993, down from</w:t>
      </w:r>
    </w:p>
    <w:p>
      <w:pPr>
        <w:ind w:left="200"/>
        <w:spacing w:after="0" w:line="238" w:lineRule="auto"/>
        <w:rPr>
          <w:sz w:val="20"/>
          <w:szCs w:val="20"/>
          <w:color w:val="auto"/>
        </w:rPr>
      </w:pPr>
      <w:r>
        <w:rPr>
          <w:rFonts w:ascii="Courier New" w:cs="Courier New" w:eastAsia="Courier New" w:hAnsi="Courier New"/>
          <w:sz w:val="17"/>
          <w:szCs w:val="17"/>
          <w:color w:val="auto"/>
        </w:rPr>
        <w:t>$1,086 million at September 30 and down from $1,276 million at the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end of 1992.</w:t>
      </w:r>
    </w:p>
    <w:p>
      <w:pPr>
        <w:sectPr>
          <w:pgSz w:w="11900" w:h="16838" w:orient="portrait"/>
          <w:cols w:equalWidth="0" w:num="1">
            <w:col w:w="10219"/>
          </w:cols>
          <w:pgMar w:left="240" w:top="27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ind w:left="200" w:right="3359" w:firstLine="497"/>
        <w:spacing w:after="0" w:line="292" w:lineRule="auto"/>
        <w:rPr>
          <w:sz w:val="20"/>
          <w:szCs w:val="20"/>
          <w:color w:val="auto"/>
        </w:rPr>
      </w:pPr>
      <w:r>
        <w:rPr>
          <w:rFonts w:ascii="Courier New" w:cs="Courier New" w:eastAsia="Courier New" w:hAnsi="Courier New"/>
          <w:sz w:val="17"/>
          <w:szCs w:val="17"/>
          <w:color w:val="auto"/>
        </w:rPr>
        <w:t>LDC nonperforming loans were $622 million at December 31, down from $767 million at September 30 and down from $1,348 million on December 31 a year ago.</w:t>
      </w:r>
    </w:p>
    <w:p>
      <w:pPr>
        <w:spacing w:after="0" w:line="61"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680" w:type="dxa"/>
            <w:vAlign w:val="bottom"/>
          </w:tcPr>
          <w:p>
            <w:pPr>
              <w:spacing w:after="0"/>
              <w:rPr>
                <w:sz w:val="20"/>
                <w:szCs w:val="20"/>
                <w:color w:val="auto"/>
              </w:rPr>
            </w:pPr>
            <w:r>
              <w:rPr>
                <w:rFonts w:ascii="Courier New" w:cs="Courier New" w:eastAsia="Courier New" w:hAnsi="Courier New"/>
                <w:sz w:val="17"/>
                <w:szCs w:val="17"/>
                <w:color w:val="auto"/>
              </w:rPr>
              <w:t>Nonperforming Assets</w:t>
            </w:r>
          </w:p>
        </w:tc>
        <w:tc>
          <w:tcPr>
            <w:tcW w:w="9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w w:val="95"/>
              </w:rPr>
              <w:t>12/31/93</w:t>
            </w:r>
          </w:p>
        </w:tc>
        <w:tc>
          <w:tcPr>
            <w:tcW w:w="10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9/30/93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12/31/92</w:t>
            </w:r>
          </w:p>
        </w:tc>
        <w:tc>
          <w:tcPr>
            <w:tcW w:w="0" w:type="dxa"/>
            <w:vAlign w:val="bottom"/>
          </w:tcPr>
          <w:p>
            <w:pPr>
              <w:spacing w:after="0"/>
              <w:rPr>
                <w:sz w:val="1"/>
                <w:szCs w:val="1"/>
                <w:color w:val="auto"/>
              </w:rPr>
            </w:pP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rPr>
              <w:t>($ in millions)</w:t>
            </w: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5"/>
              </w:rPr>
              <w:t>--------</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3680" w:type="dxa"/>
            <w:vAlign w:val="bottom"/>
          </w:tcPr>
          <w:p>
            <w:pPr>
              <w:spacing w:after="0"/>
              <w:rPr>
                <w:sz w:val="20"/>
                <w:szCs w:val="20"/>
                <w:color w:val="auto"/>
              </w:rPr>
            </w:pPr>
            <w:r>
              <w:rPr>
                <w:rFonts w:ascii="Courier New" w:cs="Courier New" w:eastAsia="Courier New" w:hAnsi="Courier New"/>
                <w:sz w:val="17"/>
                <w:szCs w:val="17"/>
                <w:color w:val="auto"/>
              </w:rPr>
              <w:t>Non-LDC nonperforming loans</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$1,969</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$2,279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$3,468</w:t>
            </w:r>
          </w:p>
        </w:tc>
        <w:tc>
          <w:tcPr>
            <w:tcW w:w="0" w:type="dxa"/>
            <w:vAlign w:val="bottom"/>
          </w:tcPr>
          <w:p>
            <w:pPr>
              <w:spacing w:after="0"/>
              <w:rPr>
                <w:sz w:val="1"/>
                <w:szCs w:val="1"/>
                <w:color w:val="auto"/>
              </w:rPr>
            </w:pPr>
          </w:p>
        </w:tc>
      </w:tr>
      <w:tr>
        <w:trPr>
          <w:trHeight w:val="294"/>
        </w:trPr>
        <w:tc>
          <w:tcPr>
            <w:tcW w:w="3680" w:type="dxa"/>
            <w:vAlign w:val="bottom"/>
          </w:tcPr>
          <w:p>
            <w:pPr>
              <w:spacing w:after="0"/>
              <w:rPr>
                <w:sz w:val="20"/>
                <w:szCs w:val="20"/>
                <w:color w:val="auto"/>
              </w:rPr>
            </w:pPr>
            <w:r>
              <w:rPr>
                <w:rFonts w:ascii="Courier New" w:cs="Courier New" w:eastAsia="Courier New" w:hAnsi="Courier New"/>
                <w:sz w:val="17"/>
                <w:szCs w:val="17"/>
                <w:color w:val="auto"/>
                <w:w w:val="96"/>
              </w:rPr>
              <w:t>Assets acquired as loan satisfactions</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934</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1,086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1,276</w:t>
            </w: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680" w:type="dxa"/>
            <w:vAlign w:val="bottom"/>
          </w:tcPr>
          <w:p>
            <w:pPr>
              <w:spacing w:after="0"/>
              <w:rPr>
                <w:sz w:val="20"/>
                <w:szCs w:val="20"/>
                <w:color w:val="auto"/>
              </w:rPr>
            </w:pPr>
            <w:r>
              <w:rPr>
                <w:rFonts w:ascii="Courier New" w:cs="Courier New" w:eastAsia="Courier New" w:hAnsi="Courier New"/>
                <w:sz w:val="17"/>
                <w:szCs w:val="17"/>
                <w:color w:val="auto"/>
              </w:rPr>
              <w:t>Total non-LDC nonperforming assets</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2,903</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3,365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4,744</w:t>
            </w: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680" w:type="dxa"/>
            <w:vAlign w:val="bottom"/>
          </w:tcPr>
          <w:p>
            <w:pPr>
              <w:spacing w:after="0"/>
              <w:rPr>
                <w:sz w:val="20"/>
                <w:szCs w:val="20"/>
                <w:color w:val="auto"/>
              </w:rPr>
            </w:pPr>
            <w:r>
              <w:rPr>
                <w:rFonts w:ascii="Courier New" w:cs="Courier New" w:eastAsia="Courier New" w:hAnsi="Courier New"/>
                <w:sz w:val="17"/>
                <w:szCs w:val="17"/>
                <w:color w:val="auto"/>
              </w:rPr>
              <w:t>LDC nonperforming loans:</w:t>
            </w:r>
          </w:p>
        </w:tc>
        <w:tc>
          <w:tcPr>
            <w:tcW w:w="9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403</w:t>
            </w:r>
          </w:p>
        </w:tc>
        <w:tc>
          <w:tcPr>
            <w:tcW w:w="10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483</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713</w:t>
            </w:r>
          </w:p>
        </w:tc>
        <w:tc>
          <w:tcPr>
            <w:tcW w:w="0" w:type="dxa"/>
            <w:vAlign w:val="bottom"/>
          </w:tcPr>
          <w:p>
            <w:pPr>
              <w:spacing w:after="0"/>
              <w:rPr>
                <w:sz w:val="1"/>
                <w:szCs w:val="1"/>
                <w:color w:val="auto"/>
              </w:rPr>
            </w:pP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Brazil</w:t>
            </w:r>
          </w:p>
        </w:tc>
        <w:tc>
          <w:tcPr>
            <w:tcW w:w="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Argentina</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39</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316</w:t>
            </w:r>
          </w:p>
        </w:tc>
        <w:tc>
          <w:tcPr>
            <w:tcW w:w="0" w:type="dxa"/>
            <w:vAlign w:val="bottom"/>
          </w:tcPr>
          <w:p>
            <w:pPr>
              <w:spacing w:after="0"/>
              <w:rPr>
                <w:sz w:val="1"/>
                <w:szCs w:val="1"/>
                <w:color w:val="auto"/>
              </w:rPr>
            </w:pP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Other LDC countries</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245</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w:t>
            </w:r>
          </w:p>
        </w:tc>
        <w:tc>
          <w:tcPr>
            <w:tcW w:w="0" w:type="dxa"/>
            <w:vAlign w:val="bottom"/>
          </w:tcPr>
          <w:p>
            <w:pPr>
              <w:spacing w:after="0"/>
              <w:rPr>
                <w:sz w:val="1"/>
                <w:szCs w:val="1"/>
                <w:color w:val="auto"/>
              </w:rPr>
            </w:pPr>
          </w:p>
        </w:tc>
      </w:tr>
      <w:tr>
        <w:trPr>
          <w:trHeight w:val="191"/>
        </w:trPr>
        <w:tc>
          <w:tcPr>
            <w:tcW w:w="3680" w:type="dxa"/>
            <w:vAlign w:val="bottom"/>
            <w:vMerge w:val="restart"/>
          </w:tcPr>
          <w:p>
            <w:pPr>
              <w:spacing w:after="0"/>
              <w:rPr>
                <w:sz w:val="20"/>
                <w:szCs w:val="20"/>
                <w:color w:val="auto"/>
              </w:rPr>
            </w:pPr>
            <w:r>
              <w:rPr>
                <w:rFonts w:ascii="Courier New" w:cs="Courier New" w:eastAsia="Courier New" w:hAnsi="Courier New"/>
                <w:sz w:val="17"/>
                <w:szCs w:val="17"/>
                <w:color w:val="auto"/>
              </w:rPr>
              <w:t>Total LDC nonperforming loans</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622</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1,348</w:t>
            </w: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680" w:type="dxa"/>
            <w:vAlign w:val="bottom"/>
          </w:tcPr>
          <w:p>
            <w:pPr>
              <w:spacing w:after="0"/>
              <w:rPr>
                <w:sz w:val="20"/>
                <w:szCs w:val="20"/>
                <w:color w:val="auto"/>
              </w:rPr>
            </w:pPr>
            <w:r>
              <w:rPr>
                <w:rFonts w:ascii="Courier New" w:cs="Courier New" w:eastAsia="Courier New" w:hAnsi="Courier New"/>
                <w:sz w:val="17"/>
                <w:szCs w:val="17"/>
                <w:color w:val="auto"/>
              </w:rPr>
              <w:t>Total nonperforming assets</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$3,525</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$4,132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$6,092</w:t>
            </w: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620" w:type="dxa"/>
            <w:vAlign w:val="bottom"/>
          </w:tcPr>
          <w:p>
            <w:pPr>
              <w:spacing w:after="0"/>
              <w:rPr>
                <w:sz w:val="20"/>
                <w:szCs w:val="20"/>
                <w:color w:val="auto"/>
              </w:rPr>
            </w:pPr>
            <w:r>
              <w:rPr>
                <w:rFonts w:ascii="Courier New" w:cs="Courier New" w:eastAsia="Courier New" w:hAnsi="Courier New"/>
                <w:sz w:val="17"/>
                <w:szCs w:val="17"/>
                <w:color w:val="auto"/>
              </w:rPr>
              <w:t>Allowance for Losses ($ in millions)</w:t>
            </w:r>
          </w:p>
        </w:tc>
        <w:tc>
          <w:tcPr>
            <w:tcW w:w="9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12/31/93</w:t>
            </w:r>
          </w:p>
        </w:tc>
        <w:tc>
          <w:tcPr>
            <w:tcW w:w="1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12/31/92</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Total allowance for losses</w:t>
            </w:r>
          </w:p>
        </w:tc>
        <w:tc>
          <w:tcPr>
            <w:tcW w:w="9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$3,020</w:t>
            </w:r>
          </w:p>
        </w:tc>
        <w:tc>
          <w:tcPr>
            <w:tcW w:w="3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$3,025</w:t>
            </w:r>
          </w:p>
        </w:tc>
        <w:tc>
          <w:tcPr>
            <w:tcW w:w="0" w:type="dxa"/>
            <w:vAlign w:val="bottom"/>
          </w:tcPr>
          <w:p>
            <w:pPr>
              <w:spacing w:after="0"/>
              <w:rPr>
                <w:sz w:val="1"/>
                <w:szCs w:val="1"/>
                <w:color w:val="auto"/>
              </w:rPr>
            </w:pPr>
          </w:p>
        </w:tc>
      </w:tr>
      <w:tr>
        <w:trPr>
          <w:trHeight w:val="280"/>
        </w:trPr>
        <w:tc>
          <w:tcPr>
            <w:tcW w:w="4620" w:type="dxa"/>
            <w:vAlign w:val="bottom"/>
          </w:tcPr>
          <w:p>
            <w:pPr>
              <w:ind w:left="500"/>
              <w:spacing w:after="0"/>
              <w:rPr>
                <w:sz w:val="20"/>
                <w:szCs w:val="20"/>
                <w:color w:val="auto"/>
              </w:rPr>
            </w:pPr>
            <w:r>
              <w:rPr>
                <w:rFonts w:ascii="Courier New" w:cs="Courier New" w:eastAsia="Courier New" w:hAnsi="Courier New"/>
                <w:sz w:val="17"/>
                <w:szCs w:val="17"/>
                <w:color w:val="auto"/>
              </w:rPr>
              <w:t>As a % of total loans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Non-LDC allowance for losses</w:t>
            </w:r>
          </w:p>
        </w:tc>
        <w:tc>
          <w:tcPr>
            <w:tcW w:w="9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$2,423</w:t>
            </w:r>
          </w:p>
        </w:tc>
        <w:tc>
          <w:tcPr>
            <w:tcW w:w="3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$2,206</w:t>
            </w:r>
          </w:p>
        </w:tc>
        <w:tc>
          <w:tcPr>
            <w:tcW w:w="0" w:type="dxa"/>
            <w:vAlign w:val="bottom"/>
          </w:tcPr>
          <w:p>
            <w:pPr>
              <w:spacing w:after="0"/>
              <w:rPr>
                <w:sz w:val="1"/>
                <w:szCs w:val="1"/>
                <w:color w:val="auto"/>
              </w:rPr>
            </w:pPr>
          </w:p>
        </w:tc>
      </w:tr>
      <w:tr>
        <w:trPr>
          <w:trHeight w:val="280"/>
        </w:trPr>
        <w:tc>
          <w:tcPr>
            <w:tcW w:w="4620" w:type="dxa"/>
            <w:vAlign w:val="bottom"/>
          </w:tcPr>
          <w:p>
            <w:pPr>
              <w:ind w:left="500"/>
              <w:spacing w:after="0"/>
              <w:rPr>
                <w:sz w:val="20"/>
                <w:szCs w:val="20"/>
                <w:color w:val="auto"/>
              </w:rPr>
            </w:pPr>
            <w:r>
              <w:rPr>
                <w:rFonts w:ascii="Courier New" w:cs="Courier New" w:eastAsia="Courier New" w:hAnsi="Courier New"/>
                <w:sz w:val="17"/>
                <w:szCs w:val="17"/>
                <w:color w:val="auto"/>
              </w:rPr>
              <w:t>As a % of non-LDC loans</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LDC allowance for losses</w:t>
            </w:r>
          </w:p>
        </w:tc>
        <w:tc>
          <w:tcPr>
            <w:tcW w:w="9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$597</w:t>
            </w:r>
          </w:p>
        </w:tc>
        <w:tc>
          <w:tcPr>
            <w:tcW w:w="3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$819</w:t>
            </w:r>
          </w:p>
        </w:tc>
        <w:tc>
          <w:tcPr>
            <w:tcW w:w="0" w:type="dxa"/>
            <w:vAlign w:val="bottom"/>
          </w:tcPr>
          <w:p>
            <w:pPr>
              <w:spacing w:after="0"/>
              <w:rPr>
                <w:sz w:val="1"/>
                <w:szCs w:val="1"/>
                <w:color w:val="auto"/>
              </w:rPr>
            </w:pPr>
          </w:p>
        </w:tc>
      </w:tr>
      <w:tr>
        <w:trPr>
          <w:trHeight w:val="191"/>
        </w:trPr>
        <w:tc>
          <w:tcPr>
            <w:tcW w:w="46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 a % of term outstandings including</w:t>
            </w:r>
          </w:p>
        </w:tc>
        <w:tc>
          <w:tcPr>
            <w:tcW w:w="9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54%</w:t>
            </w:r>
          </w:p>
        </w:tc>
        <w:tc>
          <w:tcPr>
            <w:tcW w:w="340" w:type="dxa"/>
            <w:vAlign w:val="bottom"/>
            <w:vMerge w:val="restart"/>
          </w:tcPr>
          <w:p>
            <w:pPr>
              <w:spacing w:after="0"/>
              <w:rPr>
                <w:sz w:val="20"/>
                <w:szCs w:val="20"/>
                <w:color w:val="auto"/>
              </w:rPr>
            </w:pPr>
            <w:r>
              <w:rPr>
                <w:rFonts w:ascii="Courier New" w:cs="Courier New" w:eastAsia="Courier New" w:hAnsi="Courier New"/>
                <w:sz w:val="17"/>
                <w:szCs w:val="17"/>
                <w:color w:val="auto"/>
              </w:rPr>
              <w:t>(a)</w:t>
            </w:r>
          </w:p>
        </w:tc>
        <w:tc>
          <w:tcPr>
            <w:tcW w:w="7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56%</w:t>
            </w:r>
          </w:p>
        </w:tc>
        <w:tc>
          <w:tcPr>
            <w:tcW w:w="0" w:type="dxa"/>
            <w:vAlign w:val="bottom"/>
          </w:tcPr>
          <w:p>
            <w:pPr>
              <w:spacing w:after="0"/>
              <w:rPr>
                <w:sz w:val="1"/>
                <w:szCs w:val="1"/>
                <w:color w:val="auto"/>
              </w:rPr>
            </w:pPr>
          </w:p>
        </w:tc>
      </w:tr>
      <w:tr>
        <w:trPr>
          <w:trHeight w:val="280"/>
        </w:trPr>
        <w:tc>
          <w:tcPr>
            <w:tcW w:w="4620" w:type="dxa"/>
            <w:vAlign w:val="bottom"/>
          </w:tcPr>
          <w:p>
            <w:pPr>
              <w:ind w:left="500"/>
              <w:spacing w:after="0"/>
              <w:rPr>
                <w:sz w:val="20"/>
                <w:szCs w:val="20"/>
                <w:color w:val="auto"/>
              </w:rPr>
            </w:pPr>
            <w:r>
              <w:rPr>
                <w:rFonts w:ascii="Courier New" w:cs="Courier New" w:eastAsia="Courier New" w:hAnsi="Courier New"/>
                <w:sz w:val="17"/>
                <w:szCs w:val="17"/>
                <w:color w:val="auto"/>
                <w:w w:val="98"/>
              </w:rPr>
              <w:t>previous charge-offs with claims retained</w:t>
            </w:r>
          </w:p>
        </w:tc>
        <w:tc>
          <w:tcPr>
            <w:tcW w:w="96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 26% excluding previous charge-offs with claims retained</w:t>
      </w:r>
    </w:p>
    <w:p>
      <w:pPr>
        <w:sectPr>
          <w:pgSz w:w="11900" w:h="16838" w:orient="portrait"/>
          <w:cols w:equalWidth="0" w:num="1">
            <w:col w:w="10219"/>
          </w:cols>
          <w:pgMar w:left="240" w:top="27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10</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040" w:type="dxa"/>
            <w:vAlign w:val="bottom"/>
          </w:tcPr>
          <w:p>
            <w:pPr>
              <w:spacing w:after="0"/>
              <w:rPr>
                <w:sz w:val="20"/>
                <w:szCs w:val="20"/>
                <w:color w:val="auto"/>
              </w:rPr>
            </w:pPr>
            <w:r>
              <w:rPr>
                <w:rFonts w:ascii="Courier New" w:cs="Courier New" w:eastAsia="Courier New" w:hAnsi="Courier New"/>
                <w:sz w:val="17"/>
                <w:szCs w:val="17"/>
                <w:color w:val="auto"/>
                <w:w w:val="98"/>
              </w:rPr>
              <w:t>STOCKHOLDERS' EQUITY</w:t>
            </w:r>
          </w:p>
        </w:tc>
        <w:tc>
          <w:tcPr>
            <w:tcW w:w="2040" w:type="dxa"/>
            <w:vAlign w:val="bottom"/>
          </w:tcPr>
          <w:p>
            <w:pPr>
              <w:ind w:left="40"/>
              <w:spacing w:after="0"/>
              <w:rPr>
                <w:sz w:val="20"/>
                <w:szCs w:val="20"/>
                <w:color w:val="auto"/>
              </w:rPr>
            </w:pPr>
            <w:r>
              <w:rPr>
                <w:rFonts w:ascii="Courier New" w:cs="Courier New" w:eastAsia="Courier New" w:hAnsi="Courier New"/>
                <w:sz w:val="17"/>
                <w:szCs w:val="17"/>
                <w:color w:val="auto"/>
              </w:rPr>
              <w:t>AND CAPITAL RATIOS</w:t>
            </w:r>
          </w:p>
        </w:tc>
        <w:tc>
          <w:tcPr>
            <w:tcW w:w="2080" w:type="dxa"/>
            <w:vAlign w:val="bottom"/>
            <w:gridSpan w:val="2"/>
            <w:vMerge w:val="restart"/>
          </w:tcPr>
          <w:p>
            <w:pPr>
              <w:jc w:val="right"/>
              <w:ind w:right="117"/>
              <w:spacing w:after="0"/>
              <w:rPr>
                <w:sz w:val="20"/>
                <w:szCs w:val="20"/>
                <w:color w:val="auto"/>
              </w:rPr>
            </w:pPr>
            <w:r>
              <w:rPr>
                <w:rFonts w:ascii="Courier New" w:cs="Courier New" w:eastAsia="Courier New" w:hAnsi="Courier New"/>
                <w:sz w:val="17"/>
                <w:szCs w:val="17"/>
                <w:color w:val="auto"/>
              </w:rPr>
              <w:t>12/31/93 12/31/92</w:t>
            </w:r>
          </w:p>
        </w:tc>
        <w:tc>
          <w:tcPr>
            <w:tcW w:w="0" w:type="dxa"/>
            <w:vAlign w:val="bottom"/>
          </w:tcPr>
          <w:p>
            <w:pPr>
              <w:spacing w:after="0"/>
              <w:rPr>
                <w:sz w:val="1"/>
                <w:szCs w:val="1"/>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 in billions)</w:t>
            </w:r>
          </w:p>
        </w:tc>
        <w:tc>
          <w:tcPr>
            <w:tcW w:w="204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383"/>
        </w:trPr>
        <w:tc>
          <w:tcPr>
            <w:tcW w:w="4080" w:type="dxa"/>
            <w:vAlign w:val="bottom"/>
            <w:gridSpan w:val="2"/>
          </w:tcPr>
          <w:p>
            <w:pPr>
              <w:spacing w:after="0"/>
              <w:rPr>
                <w:sz w:val="20"/>
                <w:szCs w:val="20"/>
                <w:color w:val="auto"/>
              </w:rPr>
            </w:pPr>
            <w:r>
              <w:rPr>
                <w:rFonts w:ascii="Courier New" w:cs="Courier New" w:eastAsia="Courier New" w:hAnsi="Courier New"/>
                <w:sz w:val="17"/>
                <w:szCs w:val="17"/>
                <w:color w:val="auto"/>
              </w:rPr>
              <w:t>Total stockholders' equity</w:t>
            </w:r>
          </w:p>
        </w:tc>
        <w:tc>
          <w:tcPr>
            <w:tcW w:w="15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$11.2</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$9.9</w:t>
            </w:r>
          </w:p>
        </w:tc>
        <w:tc>
          <w:tcPr>
            <w:tcW w:w="0" w:type="dxa"/>
            <w:vAlign w:val="bottom"/>
          </w:tcPr>
          <w:p>
            <w:pPr>
              <w:spacing w:after="0"/>
              <w:rPr>
                <w:sz w:val="1"/>
                <w:szCs w:val="1"/>
                <w:color w:val="auto"/>
              </w:rPr>
            </w:pPr>
          </w:p>
        </w:tc>
      </w:tr>
      <w:tr>
        <w:trPr>
          <w:trHeight w:val="383"/>
        </w:trPr>
        <w:tc>
          <w:tcPr>
            <w:tcW w:w="2040" w:type="dxa"/>
            <w:vAlign w:val="bottom"/>
          </w:tcPr>
          <w:p>
            <w:pPr>
              <w:spacing w:after="0"/>
              <w:rPr>
                <w:sz w:val="20"/>
                <w:szCs w:val="20"/>
                <w:color w:val="auto"/>
              </w:rPr>
            </w:pPr>
            <w:r>
              <w:rPr>
                <w:rFonts w:ascii="Courier New" w:cs="Courier New" w:eastAsia="Courier New" w:hAnsi="Courier New"/>
                <w:sz w:val="17"/>
                <w:szCs w:val="17"/>
                <w:color w:val="auto"/>
                <w:w w:val="98"/>
              </w:rPr>
              <w:t>Common stockholders'</w:t>
            </w:r>
          </w:p>
        </w:tc>
        <w:tc>
          <w:tcPr>
            <w:tcW w:w="2040" w:type="dxa"/>
            <w:vAlign w:val="bottom"/>
          </w:tcPr>
          <w:p>
            <w:pPr>
              <w:ind w:left="40"/>
              <w:spacing w:after="0"/>
              <w:rPr>
                <w:sz w:val="20"/>
                <w:szCs w:val="20"/>
                <w:color w:val="auto"/>
              </w:rPr>
            </w:pPr>
            <w:r>
              <w:rPr>
                <w:rFonts w:ascii="Courier New" w:cs="Courier New" w:eastAsia="Courier New" w:hAnsi="Courier New"/>
                <w:sz w:val="17"/>
                <w:szCs w:val="17"/>
                <w:color w:val="auto"/>
              </w:rPr>
              <w:t>equity</w:t>
            </w:r>
          </w:p>
        </w:tc>
        <w:tc>
          <w:tcPr>
            <w:tcW w:w="15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$9.5</w:t>
            </w: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$8.0</w:t>
            </w:r>
          </w:p>
        </w:tc>
        <w:tc>
          <w:tcPr>
            <w:tcW w:w="0" w:type="dxa"/>
            <w:vAlign w:val="bottom"/>
          </w:tcPr>
          <w:p>
            <w:pPr>
              <w:spacing w:after="0"/>
              <w:rPr>
                <w:sz w:val="1"/>
                <w:szCs w:val="1"/>
                <w:color w:val="auto"/>
              </w:rPr>
            </w:pPr>
          </w:p>
        </w:tc>
      </w:tr>
      <w:tr>
        <w:trPr>
          <w:trHeight w:val="383"/>
        </w:trPr>
        <w:tc>
          <w:tcPr>
            <w:tcW w:w="2040" w:type="dxa"/>
            <w:vAlign w:val="bottom"/>
          </w:tcPr>
          <w:p>
            <w:pPr>
              <w:spacing w:after="0"/>
              <w:rPr>
                <w:sz w:val="20"/>
                <w:szCs w:val="20"/>
                <w:color w:val="auto"/>
              </w:rPr>
            </w:pPr>
            <w:r>
              <w:rPr>
                <w:rFonts w:ascii="Courier New" w:cs="Courier New" w:eastAsia="Courier New" w:hAnsi="Courier New"/>
                <w:sz w:val="17"/>
                <w:szCs w:val="17"/>
                <w:color w:val="auto"/>
              </w:rPr>
              <w:t>Ratios:</w:t>
            </w: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40" w:type="dxa"/>
            <w:vAlign w:val="bottom"/>
          </w:tcPr>
          <w:p>
            <w:pPr>
              <w:ind w:left="500"/>
              <w:spacing w:after="0"/>
              <w:rPr>
                <w:sz w:val="20"/>
                <w:szCs w:val="20"/>
                <w:color w:val="auto"/>
              </w:rPr>
            </w:pPr>
            <w:r>
              <w:rPr>
                <w:rFonts w:ascii="Courier New" w:cs="Courier New" w:eastAsia="Courier New" w:hAnsi="Courier New"/>
                <w:sz w:val="17"/>
                <w:szCs w:val="17"/>
                <w:color w:val="auto"/>
                <w:w w:val="99"/>
              </w:rPr>
              <w:t>Total equity to</w:t>
            </w:r>
          </w:p>
        </w:tc>
        <w:tc>
          <w:tcPr>
            <w:tcW w:w="2040" w:type="dxa"/>
            <w:vAlign w:val="bottom"/>
          </w:tcPr>
          <w:p>
            <w:pPr>
              <w:ind w:left="40"/>
              <w:spacing w:after="0"/>
              <w:rPr>
                <w:sz w:val="20"/>
                <w:szCs w:val="20"/>
                <w:color w:val="auto"/>
              </w:rPr>
            </w:pPr>
            <w:r>
              <w:rPr>
                <w:rFonts w:ascii="Courier New" w:cs="Courier New" w:eastAsia="Courier New" w:hAnsi="Courier New"/>
                <w:sz w:val="17"/>
                <w:szCs w:val="17"/>
                <w:color w:val="auto"/>
              </w:rPr>
              <w:t>assets</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7.4%</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c>
          <w:tcPr>
            <w:tcW w:w="0" w:type="dxa"/>
            <w:vAlign w:val="bottom"/>
          </w:tcPr>
          <w:p>
            <w:pPr>
              <w:spacing w:after="0"/>
              <w:rPr>
                <w:sz w:val="1"/>
                <w:szCs w:val="1"/>
                <w:color w:val="auto"/>
              </w:rPr>
            </w:pPr>
          </w:p>
        </w:tc>
      </w:tr>
      <w:tr>
        <w:trPr>
          <w:trHeight w:val="383"/>
        </w:trPr>
        <w:tc>
          <w:tcPr>
            <w:tcW w:w="40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Common equity to assets</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0" w:type="dxa"/>
            <w:vAlign w:val="bottom"/>
          </w:tcPr>
          <w:p>
            <w:pPr>
              <w:spacing w:after="0"/>
              <w:rPr>
                <w:sz w:val="1"/>
                <w:szCs w:val="1"/>
                <w:color w:val="auto"/>
              </w:rPr>
            </w:pPr>
          </w:p>
        </w:tc>
      </w:tr>
      <w:tr>
        <w:trPr>
          <w:trHeight w:val="383"/>
        </w:trPr>
        <w:tc>
          <w:tcPr>
            <w:tcW w:w="2040" w:type="dxa"/>
            <w:vAlign w:val="bottom"/>
          </w:tcPr>
          <w:p>
            <w:pPr>
              <w:ind w:left="500"/>
              <w:spacing w:after="0"/>
              <w:rPr>
                <w:sz w:val="20"/>
                <w:szCs w:val="20"/>
                <w:color w:val="auto"/>
              </w:rPr>
            </w:pPr>
            <w:r>
              <w:rPr>
                <w:rFonts w:ascii="Courier New" w:cs="Courier New" w:eastAsia="Courier New" w:hAnsi="Courier New"/>
                <w:sz w:val="17"/>
                <w:szCs w:val="17"/>
                <w:color w:val="auto"/>
                <w:w w:val="99"/>
              </w:rPr>
              <w:t>Tier I Leverage</w:t>
            </w:r>
          </w:p>
        </w:tc>
        <w:tc>
          <w:tcPr>
            <w:tcW w:w="2040" w:type="dxa"/>
            <w:vAlign w:val="bottom"/>
          </w:tcPr>
          <w:p>
            <w:pPr>
              <w:ind w:left="40"/>
              <w:spacing w:after="0"/>
              <w:rPr>
                <w:sz w:val="20"/>
                <w:szCs w:val="20"/>
                <w:color w:val="auto"/>
              </w:rPr>
            </w:pPr>
            <w:r>
              <w:rPr>
                <w:rFonts w:ascii="Courier New" w:cs="Courier New" w:eastAsia="Courier New" w:hAnsi="Courier New"/>
                <w:sz w:val="17"/>
                <w:szCs w:val="17"/>
                <w:color w:val="auto"/>
              </w:rPr>
              <w:t>(a)</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6.8%</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c>
          <w:tcPr>
            <w:tcW w:w="0" w:type="dxa"/>
            <w:vAlign w:val="bottom"/>
          </w:tcPr>
          <w:p>
            <w:pPr>
              <w:spacing w:after="0"/>
              <w:rPr>
                <w:sz w:val="1"/>
                <w:szCs w:val="1"/>
                <w:color w:val="auto"/>
              </w:rPr>
            </w:pPr>
          </w:p>
        </w:tc>
      </w:tr>
      <w:tr>
        <w:trPr>
          <w:trHeight w:val="383"/>
        </w:trPr>
        <w:tc>
          <w:tcPr>
            <w:tcW w:w="40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Risk-based capital: (a)</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40" w:type="dxa"/>
            <w:vAlign w:val="bottom"/>
          </w:tcPr>
          <w:p>
            <w:pPr>
              <w:ind w:left="800"/>
              <w:spacing w:after="0"/>
              <w:rPr>
                <w:sz w:val="20"/>
                <w:szCs w:val="20"/>
                <w:color w:val="auto"/>
              </w:rPr>
            </w:pPr>
            <w:r>
              <w:rPr>
                <w:rFonts w:ascii="Courier New" w:cs="Courier New" w:eastAsia="Courier New" w:hAnsi="Courier New"/>
                <w:sz w:val="17"/>
                <w:szCs w:val="17"/>
                <w:color w:val="auto"/>
                <w:w w:val="99"/>
              </w:rPr>
              <w:t>Tier I (4.0%</w:t>
            </w:r>
          </w:p>
        </w:tc>
        <w:tc>
          <w:tcPr>
            <w:tcW w:w="2040" w:type="dxa"/>
            <w:vAlign w:val="bottom"/>
          </w:tcPr>
          <w:p>
            <w:pPr>
              <w:ind w:left="40"/>
              <w:spacing w:after="0"/>
              <w:rPr>
                <w:sz w:val="20"/>
                <w:szCs w:val="20"/>
                <w:color w:val="auto"/>
              </w:rPr>
            </w:pPr>
            <w:r>
              <w:rPr>
                <w:rFonts w:ascii="Courier New" w:cs="Courier New" w:eastAsia="Courier New" w:hAnsi="Courier New"/>
                <w:sz w:val="17"/>
                <w:szCs w:val="17"/>
                <w:color w:val="auto"/>
              </w:rPr>
              <w:t>required)</w:t>
            </w:r>
          </w:p>
        </w:tc>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8.0%(b)</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c>
          <w:tcPr>
            <w:tcW w:w="0" w:type="dxa"/>
            <w:vAlign w:val="bottom"/>
          </w:tcPr>
          <w:p>
            <w:pPr>
              <w:spacing w:after="0"/>
              <w:rPr>
                <w:sz w:val="1"/>
                <w:szCs w:val="1"/>
                <w:color w:val="auto"/>
              </w:rPr>
            </w:pPr>
          </w:p>
        </w:tc>
      </w:tr>
      <w:tr>
        <w:trPr>
          <w:trHeight w:val="383"/>
        </w:trPr>
        <w:tc>
          <w:tcPr>
            <w:tcW w:w="4080" w:type="dxa"/>
            <w:vAlign w:val="bottom"/>
            <w:gridSpan w:val="2"/>
          </w:tcPr>
          <w:p>
            <w:pPr>
              <w:ind w:left="800"/>
              <w:spacing w:after="0"/>
              <w:rPr>
                <w:sz w:val="20"/>
                <w:szCs w:val="20"/>
                <w:color w:val="auto"/>
              </w:rPr>
            </w:pPr>
            <w:r>
              <w:rPr>
                <w:rFonts w:ascii="Courier New" w:cs="Courier New" w:eastAsia="Courier New" w:hAnsi="Courier New"/>
                <w:sz w:val="17"/>
                <w:szCs w:val="17"/>
                <w:color w:val="auto"/>
              </w:rPr>
              <w:t>Total (8.0% required)</w:t>
            </w:r>
          </w:p>
        </w:tc>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12.1%(b)</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00" w:right="3259" w:hanging="499"/>
        <w:spacing w:after="0" w:line="292" w:lineRule="auto"/>
        <w:tabs>
          <w:tab w:leader="none" w:pos="7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from 1993 figures the net favorable impact on stockholders' equity of $215 million resulting from adoption of SFAS No. 115 on December 31, 1993.</w:t>
      </w:r>
    </w:p>
    <w:p>
      <w:pPr>
        <w:spacing w:after="0" w:line="62" w:lineRule="exact"/>
        <w:rPr>
          <w:rFonts w:ascii="Courier New" w:cs="Courier New" w:eastAsia="Courier New" w:hAnsi="Courier New"/>
          <w:sz w:val="17"/>
          <w:szCs w:val="17"/>
          <w:color w:val="auto"/>
        </w:rPr>
      </w:pPr>
    </w:p>
    <w:p>
      <w:pPr>
        <w:ind w:left="700" w:hanging="499"/>
        <w:spacing w:after="0"/>
        <w:tabs>
          <w:tab w:leader="none" w:pos="7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OTHER FINANCIAL DATA</w:t>
      </w:r>
    </w:p>
    <w:p>
      <w:pPr>
        <w:spacing w:after="0" w:line="190" w:lineRule="exact"/>
        <w:rPr>
          <w:sz w:val="20"/>
          <w:szCs w:val="20"/>
          <w:color w:val="auto"/>
        </w:rPr>
      </w:pPr>
    </w:p>
    <w:p>
      <w:pPr>
        <w:ind w:left="200" w:right="3259" w:firstLine="597"/>
        <w:spacing w:after="0" w:line="279" w:lineRule="auto"/>
        <w:rPr>
          <w:sz w:val="20"/>
          <w:szCs w:val="20"/>
          <w:color w:val="auto"/>
        </w:rPr>
      </w:pPr>
      <w:r>
        <w:rPr>
          <w:rFonts w:ascii="Courier New" w:cs="Courier New" w:eastAsia="Courier New" w:hAnsi="Courier New"/>
          <w:sz w:val="16"/>
          <w:szCs w:val="16"/>
          <w:color w:val="auto"/>
        </w:rPr>
        <w:t>Tax expense included income tax benefits totaling $331 million for the full year 1993 and $278 million for all of 1992, including $65 million in the 1992 fourth quarter. Because the corporation recognized its remaining available Federal tax benefits in the third quarter of 1993, the corporation's earnings beginning in the fourth quarter of 1993 were reported on a fully-taxed basis.</w:t>
      </w:r>
    </w:p>
    <w:p>
      <w:pPr>
        <w:spacing w:after="0" w:line="75" w:lineRule="exact"/>
        <w:rPr>
          <w:sz w:val="20"/>
          <w:szCs w:val="20"/>
          <w:color w:val="auto"/>
        </w:rPr>
      </w:pPr>
    </w:p>
    <w:p>
      <w:pPr>
        <w:ind w:left="200" w:right="3259" w:firstLine="597"/>
        <w:spacing w:after="0" w:line="248" w:lineRule="auto"/>
        <w:rPr>
          <w:sz w:val="20"/>
          <w:szCs w:val="20"/>
          <w:color w:val="auto"/>
        </w:rPr>
      </w:pPr>
      <w:r>
        <w:rPr>
          <w:rFonts w:ascii="Courier New" w:cs="Courier New" w:eastAsia="Courier New" w:hAnsi="Courier New"/>
          <w:sz w:val="17"/>
          <w:szCs w:val="17"/>
          <w:color w:val="auto"/>
        </w:rPr>
        <w:t>On December 31, 1993, the corporation adopted SFAS No. 115, "Accounting for Certain Investments in Debt and Equity Securities," which addresses the accounting for investments in debt and equity securities that have readily determinable fair values. SFAS 115 requires that investments and certain loan assets must be identified as held to maturity, held for current resale or available for sale. Investments that are identified as available for sale are required to be accounted for at their fair value with the related unrealized gains and losses included as a separate component of stockholders' equity. The adoption of this accounting standard resulted in a net favorable impact of approximately $215 million after-tax to the corporation's stockholders' equity.</w:t>
      </w:r>
    </w:p>
    <w:p>
      <w:pPr>
        <w:sectPr>
          <w:pgSz w:w="11900" w:h="16838" w:orient="portrait"/>
          <w:cols w:equalWidth="0" w:num="1">
            <w:col w:w="10219"/>
          </w:cols>
          <w:pgMar w:left="240" w:top="27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ind w:left="200" w:right="3259" w:firstLine="597"/>
        <w:spacing w:after="0" w:line="265" w:lineRule="auto"/>
        <w:rPr>
          <w:sz w:val="20"/>
          <w:szCs w:val="20"/>
          <w:color w:val="auto"/>
        </w:rPr>
      </w:pPr>
      <w:r>
        <w:rPr>
          <w:rFonts w:ascii="Courier New" w:cs="Courier New" w:eastAsia="Courier New" w:hAnsi="Courier New"/>
          <w:sz w:val="17"/>
          <w:szCs w:val="17"/>
          <w:color w:val="auto"/>
        </w:rPr>
        <w:t>The return on average common stockholders' equity (ROE) was 13.38 percent for the fourth quarter, versus 7.98 percent on a comparable fully-taxed basis and 13.36 percent on a reported basis in the year-ago fourth quarter. The ROE for the full year was 16.66 percent, compared with 12.36 percent for all of 1992.</w:t>
      </w:r>
    </w:p>
    <w:p>
      <w:pPr>
        <w:spacing w:after="0" w:line="84" w:lineRule="exact"/>
        <w:rPr>
          <w:sz w:val="20"/>
          <w:szCs w:val="20"/>
          <w:color w:val="auto"/>
        </w:rPr>
      </w:pPr>
    </w:p>
    <w:p>
      <w:pPr>
        <w:ind w:left="200" w:right="3259" w:firstLine="597"/>
        <w:spacing w:after="0" w:line="265" w:lineRule="auto"/>
        <w:rPr>
          <w:sz w:val="20"/>
          <w:szCs w:val="20"/>
          <w:color w:val="auto"/>
        </w:rPr>
      </w:pPr>
      <w:r>
        <w:rPr>
          <w:rFonts w:ascii="Courier New" w:cs="Courier New" w:eastAsia="Courier New" w:hAnsi="Courier New"/>
          <w:sz w:val="17"/>
          <w:szCs w:val="17"/>
          <w:color w:val="auto"/>
        </w:rPr>
        <w:t>The return on average total assets (ROA) was .94 percent for the fourth quarter, versus .56 percent on a comparable fully-taxed basis and .86 percent on a reported basis in the fourth quarter of 1992. The ROA for the full year was 1.11 percent, compared with .78 percent for all of 1992.</w:t>
      </w:r>
    </w:p>
    <w:p>
      <w:pPr>
        <w:spacing w:after="0" w:line="84" w:lineRule="exact"/>
        <w:rPr>
          <w:sz w:val="20"/>
          <w:szCs w:val="20"/>
          <w:color w:val="auto"/>
        </w:rPr>
      </w:pPr>
    </w:p>
    <w:p>
      <w:pPr>
        <w:ind w:left="200" w:right="3259" w:firstLine="597"/>
        <w:spacing w:after="0" w:line="265" w:lineRule="auto"/>
        <w:rPr>
          <w:sz w:val="20"/>
          <w:szCs w:val="20"/>
          <w:color w:val="auto"/>
        </w:rPr>
      </w:pPr>
      <w:r>
        <w:rPr>
          <w:rFonts w:ascii="Courier New" w:cs="Courier New" w:eastAsia="Courier New" w:hAnsi="Courier New"/>
          <w:sz w:val="17"/>
          <w:szCs w:val="17"/>
          <w:color w:val="auto"/>
        </w:rPr>
        <w:t>Total assets at December 31 were $149.9 billion, versus $139.7 billion on the same date a year ago. Total loans at the end of 1993 were $75.4 billion, compared with $82.0 billion a year ago. On December 31, total deposits were $98.3 billion, compared with $94.2 billion at the end of 1992.</w:t>
      </w:r>
    </w:p>
    <w:p>
      <w:pPr>
        <w:spacing w:after="0" w:line="84" w:lineRule="exact"/>
        <w:rPr>
          <w:sz w:val="20"/>
          <w:szCs w:val="20"/>
          <w:color w:val="auto"/>
        </w:rPr>
      </w:pPr>
    </w:p>
    <w:p>
      <w:pPr>
        <w:ind w:left="200" w:right="3359" w:firstLine="597"/>
        <w:spacing w:after="0" w:line="347" w:lineRule="auto"/>
        <w:rPr>
          <w:sz w:val="20"/>
          <w:szCs w:val="20"/>
          <w:color w:val="auto"/>
        </w:rPr>
      </w:pPr>
      <w:r>
        <w:rPr>
          <w:rFonts w:ascii="Courier New" w:cs="Courier New" w:eastAsia="Courier New" w:hAnsi="Courier New"/>
          <w:sz w:val="17"/>
          <w:szCs w:val="17"/>
          <w:color w:val="auto"/>
        </w:rPr>
        <w:t>Book value per common share was $37.60 at December 31, versus $32.43 per share on the same date a year ago.</w:t>
      </w:r>
    </w:p>
    <w:p>
      <w:pPr>
        <w:spacing w:after="0" w:line="1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TEXAS COMMERCE BANCSHARES</w:t>
      </w:r>
    </w:p>
    <w:p>
      <w:pPr>
        <w:spacing w:after="0" w:line="190" w:lineRule="exact"/>
        <w:rPr>
          <w:sz w:val="20"/>
          <w:szCs w:val="20"/>
          <w:color w:val="auto"/>
        </w:rPr>
      </w:pPr>
    </w:p>
    <w:p>
      <w:pPr>
        <w:ind w:left="200" w:right="3259" w:firstLine="597"/>
        <w:spacing w:after="0" w:line="267" w:lineRule="auto"/>
        <w:rPr>
          <w:sz w:val="20"/>
          <w:szCs w:val="20"/>
          <w:color w:val="auto"/>
        </w:rPr>
      </w:pPr>
      <w:r>
        <w:rPr>
          <w:rFonts w:ascii="Courier New" w:cs="Courier New" w:eastAsia="Courier New" w:hAnsi="Courier New"/>
          <w:sz w:val="16"/>
          <w:szCs w:val="16"/>
          <w:color w:val="auto"/>
        </w:rPr>
        <w:t>Texas Commerce Bancshares (TCB) reported net income of $39 million in the fourth quarter and $169 million for the year, versus $46 million and $180 million in the similar year-ago periods. Excluding the one-time restructuring charge of $43 million ($30 million after-tax) related to the First City acquisition and net benefits of $9 million resulting from the adoption of two accounting changes, earnings for the full year 1993 would have been $190 million. On a pre-tax basis, TCB's earnings were $64 million in the fourth quarter and $226 million for the year, versus $47 million and $184 million in the same periods of 1992.</w:t>
      </w:r>
    </w:p>
    <w:p>
      <w:pPr>
        <w:sectPr>
          <w:pgSz w:w="11900" w:h="16838" w:orient="portrait"/>
          <w:cols w:equalWidth="0" w:num="1">
            <w:col w:w="10219"/>
          </w:cols>
          <w:pgMar w:left="240" w:top="27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12</w:t>
      </w:r>
    </w:p>
    <w:p>
      <w:pPr>
        <w:spacing w:after="0" w:line="190" w:lineRule="exact"/>
        <w:rPr>
          <w:sz w:val="20"/>
          <w:szCs w:val="20"/>
          <w:color w:val="auto"/>
        </w:rPr>
      </w:pPr>
    </w:p>
    <w:p>
      <w:pPr>
        <w:ind w:left="5580"/>
        <w:spacing w:after="0"/>
        <w:rPr>
          <w:sz w:val="20"/>
          <w:szCs w:val="20"/>
          <w:color w:val="auto"/>
        </w:rPr>
      </w:pPr>
      <w:r>
        <w:rPr>
          <w:rFonts w:ascii="Courier New" w:cs="Courier New" w:eastAsia="Courier New" w:hAnsi="Courier New"/>
          <w:sz w:val="17"/>
          <w:szCs w:val="17"/>
          <w:color w:val="auto"/>
        </w:rPr>
        <w:t>UNAUDITED</w:t>
      </w:r>
    </w:p>
    <w:p>
      <w:pPr>
        <w:spacing w:after="0" w:line="2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CHEMICAL BANKING CORPORATION and Subsidiaries</w:t>
      </w:r>
    </w:p>
    <w:p>
      <w:pPr>
        <w:ind w:left="4680"/>
        <w:spacing w:after="0"/>
        <w:rPr>
          <w:sz w:val="20"/>
          <w:szCs w:val="20"/>
          <w:color w:val="auto"/>
        </w:rPr>
      </w:pPr>
      <w:r>
        <w:rPr>
          <w:rFonts w:ascii="Courier New" w:cs="Courier New" w:eastAsia="Courier New" w:hAnsi="Courier New"/>
          <w:sz w:val="17"/>
          <w:szCs w:val="17"/>
          <w:color w:val="auto"/>
        </w:rPr>
        <w:t>(in millions, except per share and ratio data)</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gridSpan w:val="3"/>
          </w:tcPr>
          <w:p>
            <w:pPr>
              <w:spacing w:after="0"/>
              <w:rPr>
                <w:sz w:val="20"/>
                <w:szCs w:val="20"/>
                <w:color w:val="auto"/>
              </w:rPr>
            </w:pPr>
            <w:r>
              <w:rPr>
                <w:rFonts w:ascii="Courier New" w:cs="Courier New" w:eastAsia="Courier New" w:hAnsi="Courier New"/>
                <w:sz w:val="17"/>
                <w:szCs w:val="17"/>
                <w:color w:val="auto"/>
              </w:rPr>
              <w:t>Three Months Ended</w:t>
            </w:r>
          </w:p>
        </w:tc>
        <w:tc>
          <w:tcPr>
            <w:tcW w:w="400" w:type="dxa"/>
            <w:vAlign w:val="bottom"/>
          </w:tcPr>
          <w:p>
            <w:pPr>
              <w:spacing w:after="0"/>
              <w:rPr>
                <w:sz w:val="16"/>
                <w:szCs w:val="16"/>
                <w:color w:val="auto"/>
              </w:rPr>
            </w:pPr>
          </w:p>
        </w:tc>
        <w:tc>
          <w:tcPr>
            <w:tcW w:w="194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9"/>
              </w:rPr>
              <w:t>For the Year Ended</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gridSpan w:val="3"/>
          </w:tcPr>
          <w:p>
            <w:pPr>
              <w:jc w:val="right"/>
              <w:ind w:right="457"/>
              <w:spacing w:after="0" w:line="191" w:lineRule="exact"/>
              <w:rPr>
                <w:sz w:val="20"/>
                <w:szCs w:val="20"/>
                <w:color w:val="auto"/>
              </w:rPr>
            </w:pPr>
            <w:r>
              <w:rPr>
                <w:rFonts w:ascii="Courier New" w:cs="Courier New" w:eastAsia="Courier New" w:hAnsi="Courier New"/>
                <w:sz w:val="17"/>
                <w:szCs w:val="17"/>
                <w:color w:val="auto"/>
              </w:rPr>
              <w:t>December 31,</w:t>
            </w:r>
          </w:p>
        </w:tc>
        <w:tc>
          <w:tcPr>
            <w:tcW w:w="400" w:type="dxa"/>
            <w:vAlign w:val="bottom"/>
          </w:tcPr>
          <w:p>
            <w:pPr>
              <w:spacing w:after="0"/>
              <w:rPr>
                <w:sz w:val="16"/>
                <w:szCs w:val="16"/>
                <w:color w:val="auto"/>
              </w:rPr>
            </w:pPr>
          </w:p>
        </w:tc>
        <w:tc>
          <w:tcPr>
            <w:tcW w:w="194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294"/>
        </w:trPr>
        <w:tc>
          <w:tcPr>
            <w:tcW w:w="4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24"/>
                <w:szCs w:val="24"/>
                <w:color w:val="auto"/>
              </w:rPr>
            </w:pPr>
          </w:p>
        </w:tc>
        <w:tc>
          <w:tcPr>
            <w:tcW w:w="7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1992</w:t>
            </w:r>
          </w:p>
        </w:tc>
        <w:tc>
          <w:tcPr>
            <w:tcW w:w="4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1"/>
              </w:rPr>
              <w:t>------</w:t>
            </w:r>
          </w:p>
        </w:tc>
        <w:tc>
          <w:tcPr>
            <w:tcW w:w="0" w:type="dxa"/>
            <w:vAlign w:val="bottom"/>
          </w:tcPr>
          <w:p>
            <w:pPr>
              <w:spacing w:after="0"/>
              <w:rPr>
                <w:sz w:val="1"/>
                <w:szCs w:val="1"/>
                <w:color w:val="auto"/>
              </w:rPr>
            </w:pPr>
          </w:p>
        </w:tc>
      </w:tr>
      <w:tr>
        <w:trPr>
          <w:trHeight w:val="294"/>
        </w:trPr>
        <w:tc>
          <w:tcPr>
            <w:tcW w:w="4820" w:type="dxa"/>
            <w:vAlign w:val="bottom"/>
          </w:tcPr>
          <w:p>
            <w:pPr>
              <w:spacing w:after="0"/>
              <w:rPr>
                <w:sz w:val="20"/>
                <w:szCs w:val="20"/>
                <w:color w:val="auto"/>
              </w:rPr>
            </w:pPr>
            <w:r>
              <w:rPr>
                <w:rFonts w:ascii="Courier New" w:cs="Courier New" w:eastAsia="Courier New" w:hAnsi="Courier New"/>
                <w:sz w:val="17"/>
                <w:szCs w:val="17"/>
                <w:color w:val="auto"/>
              </w:rPr>
              <w:t>EARNINGS: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vMerge w:val="restart"/>
          </w:tcPr>
          <w:p>
            <w:pPr>
              <w:jc w:val="center"/>
              <w:ind w:left="18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347</w:t>
            </w:r>
          </w:p>
        </w:tc>
        <w:tc>
          <w:tcPr>
            <w:tcW w:w="2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304</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1,569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Effect of Accounting Changes</w:t>
            </w:r>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Effect of Changes in Accounting Principles</w:t>
            </w:r>
          </w:p>
        </w:tc>
        <w:tc>
          <w:tcPr>
            <w:tcW w:w="560" w:type="dxa"/>
            <w:vAlign w:val="bottom"/>
          </w:tcPr>
          <w:p>
            <w:pPr>
              <w:spacing w:after="0"/>
              <w:rPr>
                <w:sz w:val="16"/>
                <w:szCs w:val="16"/>
                <w:color w:val="auto"/>
              </w:rPr>
            </w:pP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w:t>
            </w:r>
          </w:p>
        </w:tc>
        <w:tc>
          <w:tcPr>
            <w:tcW w:w="30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560" w:type="dxa"/>
            <w:vAlign w:val="bottom"/>
            <w:vMerge w:val="restart"/>
          </w:tcPr>
          <w:p>
            <w:pPr>
              <w:jc w:val="center"/>
              <w:ind w:left="184"/>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347</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304</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1,604</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Applicable to Common Stock</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560" w:type="dxa"/>
            <w:vAlign w:val="bottom"/>
          </w:tcPr>
          <w:p>
            <w:pPr>
              <w:jc w:val="center"/>
              <w:ind w:left="184"/>
              <w:spacing w:after="0" w:line="191" w:lineRule="exact"/>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309</w:t>
            </w: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266</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1,449</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936</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5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5"/>
              </w:rPr>
              <w:t>=========</w:t>
            </w:r>
          </w:p>
        </w:tc>
        <w:tc>
          <w:tcPr>
            <w:tcW w:w="126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820" w:type="dxa"/>
            <w:vAlign w:val="bottom"/>
          </w:tcPr>
          <w:p>
            <w:pPr>
              <w:spacing w:after="0"/>
              <w:rPr>
                <w:sz w:val="20"/>
                <w:szCs w:val="20"/>
                <w:color w:val="auto"/>
              </w:rPr>
            </w:pPr>
            <w:r>
              <w:rPr>
                <w:rFonts w:ascii="Courier New" w:cs="Courier New" w:eastAsia="Courier New" w:hAnsi="Courier New"/>
                <w:sz w:val="17"/>
                <w:szCs w:val="17"/>
                <w:color w:val="auto"/>
              </w:rPr>
              <w:t>PER COMMON SHARE: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vMerge w:val="restart"/>
          </w:tcPr>
          <w:p>
            <w:pPr>
              <w:jc w:val="center"/>
              <w:ind w:left="18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1.23</w:t>
            </w:r>
          </w:p>
        </w:tc>
        <w:tc>
          <w:tcPr>
            <w:tcW w:w="2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1.09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5.63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3.90</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Effect of Accounting Changes</w:t>
            </w:r>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Effect of Changes in Accounting Principles</w:t>
            </w:r>
          </w:p>
        </w:tc>
        <w:tc>
          <w:tcPr>
            <w:tcW w:w="560" w:type="dxa"/>
            <w:vAlign w:val="bottom"/>
          </w:tcPr>
          <w:p>
            <w:pPr>
              <w:spacing w:after="0"/>
              <w:rPr>
                <w:sz w:val="16"/>
                <w:szCs w:val="16"/>
                <w:color w:val="auto"/>
              </w:rPr>
            </w:pP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w:t>
            </w:r>
          </w:p>
        </w:tc>
        <w:tc>
          <w:tcPr>
            <w:tcW w:w="30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8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560" w:type="dxa"/>
            <w:vAlign w:val="bottom"/>
            <w:vMerge w:val="restart"/>
          </w:tcPr>
          <w:p>
            <w:pPr>
              <w:jc w:val="center"/>
              <w:ind w:left="184"/>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1.23</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1.09</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3.90</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5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w w:val="95"/>
              </w:rPr>
              <w:t>=========</w:t>
            </w:r>
          </w:p>
        </w:tc>
        <w:tc>
          <w:tcPr>
            <w:tcW w:w="126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820" w:type="dxa"/>
            <w:vAlign w:val="bottom"/>
          </w:tcPr>
          <w:p>
            <w:pPr>
              <w:spacing w:after="0"/>
              <w:rPr>
                <w:sz w:val="20"/>
                <w:szCs w:val="20"/>
                <w:color w:val="auto"/>
              </w:rPr>
            </w:pPr>
            <w:r>
              <w:rPr>
                <w:rFonts w:ascii="Courier New" w:cs="Courier New" w:eastAsia="Courier New" w:hAnsi="Courier New"/>
                <w:sz w:val="17"/>
                <w:szCs w:val="17"/>
                <w:color w:val="auto"/>
              </w:rPr>
              <w:t>Book Value at December 31,</w:t>
            </w:r>
          </w:p>
        </w:tc>
        <w:tc>
          <w:tcPr>
            <w:tcW w:w="560" w:type="dxa"/>
            <w:vAlign w:val="bottom"/>
          </w:tcPr>
          <w:p>
            <w:pPr>
              <w:jc w:val="center"/>
              <w:ind w:left="18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37.60</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32.43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37.60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32.43</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Market Value at December 31,</w:t>
            </w:r>
          </w:p>
        </w:tc>
        <w:tc>
          <w:tcPr>
            <w:tcW w:w="560" w:type="dxa"/>
            <w:vAlign w:val="bottom"/>
          </w:tcPr>
          <w:p>
            <w:pPr>
              <w:jc w:val="center"/>
              <w:ind w:left="184"/>
              <w:spacing w:after="0" w:line="191" w:lineRule="exact"/>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40.13</w:t>
            </w: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38.63</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40.13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38.63</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Common Stock Dividends Declared</w:t>
            </w:r>
          </w:p>
        </w:tc>
        <w:tc>
          <w:tcPr>
            <w:tcW w:w="560" w:type="dxa"/>
            <w:vAlign w:val="bottom"/>
          </w:tcPr>
          <w:p>
            <w:pPr>
              <w:jc w:val="center"/>
              <w:ind w:left="18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0.38(a)</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0.30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1.37(a) $</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1.20</w:t>
            </w:r>
          </w:p>
        </w:tc>
        <w:tc>
          <w:tcPr>
            <w:tcW w:w="0" w:type="dxa"/>
            <w:vAlign w:val="bottom"/>
          </w:tcPr>
          <w:p>
            <w:pPr>
              <w:spacing w:after="0"/>
              <w:rPr>
                <w:sz w:val="1"/>
                <w:szCs w:val="1"/>
                <w:color w:val="auto"/>
              </w:rPr>
            </w:pPr>
          </w:p>
        </w:tc>
      </w:tr>
      <w:tr>
        <w:trPr>
          <w:trHeight w:val="485"/>
        </w:trPr>
        <w:tc>
          <w:tcPr>
            <w:tcW w:w="4820" w:type="dxa"/>
            <w:vAlign w:val="bottom"/>
          </w:tcPr>
          <w:p>
            <w:pPr>
              <w:spacing w:after="0"/>
              <w:rPr>
                <w:sz w:val="20"/>
                <w:szCs w:val="20"/>
                <w:color w:val="auto"/>
              </w:rPr>
            </w:pPr>
            <w:r>
              <w:rPr>
                <w:rFonts w:ascii="Courier New" w:cs="Courier New" w:eastAsia="Courier New" w:hAnsi="Courier New"/>
                <w:sz w:val="17"/>
                <w:szCs w:val="17"/>
                <w:color w:val="auto"/>
              </w:rPr>
              <w:t>COMMON SHARES AND COMMON STOCK</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EQUIVALENTS: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252.5</w:t>
            </w:r>
          </w:p>
        </w:tc>
        <w:tc>
          <w:tcPr>
            <w:tcW w:w="26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246.2</w:t>
            </w:r>
          </w:p>
        </w:tc>
        <w:tc>
          <w:tcPr>
            <w:tcW w:w="400" w:type="dxa"/>
            <w:vAlign w:val="bottom"/>
          </w:tcPr>
          <w:p>
            <w:pPr>
              <w:spacing w:after="0"/>
              <w:rPr>
                <w:sz w:val="16"/>
                <w:szCs w:val="16"/>
                <w:color w:val="auto"/>
              </w:rPr>
            </w:pPr>
          </w:p>
        </w:tc>
        <w:tc>
          <w:tcPr>
            <w:tcW w:w="86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251.2</w:t>
            </w:r>
          </w:p>
        </w:tc>
        <w:tc>
          <w:tcPr>
            <w:tcW w:w="300" w:type="dxa"/>
            <w:vAlign w:val="bottom"/>
          </w:tcPr>
          <w:p>
            <w:pPr>
              <w:spacing w:after="0"/>
              <w:rPr>
                <w:sz w:val="16"/>
                <w:szCs w:val="16"/>
                <w:color w:val="auto"/>
              </w:rPr>
            </w:pP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240.4</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 Outstanding</w:t>
            </w:r>
          </w:p>
        </w:tc>
        <w:tc>
          <w:tcPr>
            <w:tcW w:w="5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7"/>
                <w:szCs w:val="17"/>
                <w:color w:val="auto"/>
              </w:rPr>
              <w:t>Period End Outstanding</w:t>
            </w:r>
          </w:p>
        </w:tc>
        <w:tc>
          <w:tcPr>
            <w:tcW w:w="560" w:type="dxa"/>
            <w:vAlign w:val="bottom"/>
          </w:tcPr>
          <w:p>
            <w:pPr>
              <w:spacing w:after="0"/>
              <w:rPr>
                <w:sz w:val="24"/>
                <w:szCs w:val="24"/>
                <w:color w:val="auto"/>
              </w:rPr>
            </w:pPr>
          </w:p>
        </w:tc>
        <w:tc>
          <w:tcPr>
            <w:tcW w:w="9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252.9</w:t>
            </w:r>
          </w:p>
        </w:tc>
        <w:tc>
          <w:tcPr>
            <w:tcW w:w="2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246.8</w:t>
            </w:r>
          </w:p>
        </w:tc>
        <w:tc>
          <w:tcPr>
            <w:tcW w:w="400" w:type="dxa"/>
            <w:vAlign w:val="bottom"/>
          </w:tcPr>
          <w:p>
            <w:pPr>
              <w:spacing w:after="0"/>
              <w:rPr>
                <w:sz w:val="24"/>
                <w:szCs w:val="24"/>
                <w:color w:val="auto"/>
              </w:rPr>
            </w:pPr>
          </w:p>
        </w:tc>
        <w:tc>
          <w:tcPr>
            <w:tcW w:w="8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252.9</w:t>
            </w:r>
          </w:p>
        </w:tc>
        <w:tc>
          <w:tcPr>
            <w:tcW w:w="30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246.8</w:t>
            </w:r>
          </w:p>
        </w:tc>
        <w:tc>
          <w:tcPr>
            <w:tcW w:w="0" w:type="dxa"/>
            <w:vAlign w:val="bottom"/>
          </w:tcPr>
          <w:p>
            <w:pPr>
              <w:spacing w:after="0"/>
              <w:rPr>
                <w:sz w:val="1"/>
                <w:szCs w:val="1"/>
                <w:color w:val="auto"/>
              </w:rPr>
            </w:pPr>
          </w:p>
        </w:tc>
      </w:tr>
      <w:tr>
        <w:trPr>
          <w:trHeight w:val="294"/>
        </w:trPr>
        <w:tc>
          <w:tcPr>
            <w:tcW w:w="4820" w:type="dxa"/>
            <w:vAlign w:val="bottom"/>
          </w:tcPr>
          <w:p>
            <w:pPr>
              <w:spacing w:after="0"/>
              <w:rPr>
                <w:sz w:val="20"/>
                <w:szCs w:val="20"/>
                <w:color w:val="auto"/>
              </w:rPr>
            </w:pPr>
            <w:r>
              <w:rPr>
                <w:rFonts w:ascii="Courier New" w:cs="Courier New" w:eastAsia="Courier New" w:hAnsi="Courier New"/>
                <w:sz w:val="17"/>
                <w:szCs w:val="17"/>
                <w:color w:val="auto"/>
              </w:rPr>
              <w:t>BALANCE SHEET AVERAGES: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rPr>
              <w:t>$ 76,063</w:t>
            </w:r>
          </w:p>
        </w:tc>
        <w:tc>
          <w:tcPr>
            <w:tcW w:w="1040" w:type="dxa"/>
            <w:vAlign w:val="bottom"/>
            <w:gridSpan w:val="2"/>
            <w:vMerge w:val="restart"/>
          </w:tcPr>
          <w:p>
            <w:pPr>
              <w:jc w:val="right"/>
              <w:ind w:right="57"/>
              <w:spacing w:after="0"/>
              <w:rPr>
                <w:sz w:val="20"/>
                <w:szCs w:val="20"/>
                <w:color w:val="auto"/>
              </w:rPr>
            </w:pPr>
            <w:r>
              <w:rPr>
                <w:rFonts w:ascii="Courier New" w:cs="Courier New" w:eastAsia="Courier New" w:hAnsi="Courier New"/>
                <w:sz w:val="17"/>
                <w:szCs w:val="17"/>
                <w:color w:val="auto"/>
              </w:rPr>
              <w:t>$ 81,458</w:t>
            </w:r>
          </w:p>
        </w:tc>
        <w:tc>
          <w:tcPr>
            <w:tcW w:w="1260" w:type="dxa"/>
            <w:vAlign w:val="bottom"/>
            <w:gridSpan w:val="2"/>
            <w:vMerge w:val="restart"/>
          </w:tcPr>
          <w:p>
            <w:pPr>
              <w:jc w:val="right"/>
              <w:ind w:right="117"/>
              <w:spacing w:after="0"/>
              <w:rPr>
                <w:sz w:val="20"/>
                <w:szCs w:val="20"/>
                <w:color w:val="auto"/>
              </w:rPr>
            </w:pPr>
            <w:r>
              <w:rPr>
                <w:rFonts w:ascii="Courier New" w:cs="Courier New" w:eastAsia="Courier New" w:hAnsi="Courier New"/>
                <w:sz w:val="17"/>
                <w:szCs w:val="17"/>
                <w:color w:val="auto"/>
              </w:rPr>
              <w:t>$ 78,739</w:t>
            </w:r>
          </w:p>
        </w:tc>
        <w:tc>
          <w:tcPr>
            <w:tcW w:w="108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$ 82,173</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w:t>
            </w:r>
          </w:p>
        </w:tc>
        <w:tc>
          <w:tcPr>
            <w:tcW w:w="15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$ 23,727</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$ 23,141</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$ 23,654</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$ 21,674</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Interest-Earning Assets</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$125,714</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$122,364</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$124,934</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$121,249</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$146,870</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$140,653</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$144,881</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$139,329</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$ 97,149</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$ 95,118</w:t>
            </w:r>
          </w:p>
        </w:tc>
        <w:tc>
          <w:tcPr>
            <w:tcW w:w="12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$ 95,656</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$ 92,750</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560" w:type="dxa"/>
            <w:vAlign w:val="bottom"/>
          </w:tcPr>
          <w:p>
            <w:pPr>
              <w:jc w:val="center"/>
              <w:ind w:left="184"/>
              <w:spacing w:after="0" w:line="191" w:lineRule="exact"/>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8,295</w:t>
            </w:r>
          </w:p>
        </w:tc>
        <w:tc>
          <w:tcPr>
            <w:tcW w:w="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6,707</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8,053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6,220</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54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$ 11,032</w:t>
            </w:r>
          </w:p>
        </w:tc>
        <w:tc>
          <w:tcPr>
            <w:tcW w:w="2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9,744</w:t>
            </w:r>
          </w:p>
        </w:tc>
        <w:tc>
          <w:tcPr>
            <w:tcW w:w="126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$ 10,583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9,324</w:t>
            </w:r>
          </w:p>
        </w:tc>
        <w:tc>
          <w:tcPr>
            <w:tcW w:w="0" w:type="dxa"/>
            <w:vAlign w:val="bottom"/>
          </w:tcPr>
          <w:p>
            <w:pPr>
              <w:spacing w:after="0"/>
              <w:rPr>
                <w:sz w:val="1"/>
                <w:szCs w:val="1"/>
                <w:color w:val="auto"/>
              </w:rPr>
            </w:pPr>
          </w:p>
        </w:tc>
      </w:tr>
      <w:tr>
        <w:trPr>
          <w:trHeight w:val="485"/>
        </w:trPr>
        <w:tc>
          <w:tcPr>
            <w:tcW w:w="4820" w:type="dxa"/>
            <w:vAlign w:val="bottom"/>
          </w:tcPr>
          <w:p>
            <w:pPr>
              <w:spacing w:after="0"/>
              <w:rPr>
                <w:sz w:val="20"/>
                <w:szCs w:val="20"/>
                <w:color w:val="auto"/>
              </w:rPr>
            </w:pPr>
            <w:r>
              <w:rPr>
                <w:rFonts w:ascii="Courier New" w:cs="Courier New" w:eastAsia="Courier New" w:hAnsi="Courier New"/>
                <w:sz w:val="17"/>
                <w:szCs w:val="17"/>
                <w:color w:val="auto"/>
              </w:rPr>
              <w:t>PERFORMANCE RATIOS: (Average balances) (b)</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98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0.94%</w:t>
            </w:r>
          </w:p>
        </w:tc>
        <w:tc>
          <w:tcPr>
            <w:tcW w:w="26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0.86%</w:t>
            </w:r>
          </w:p>
        </w:tc>
        <w:tc>
          <w:tcPr>
            <w:tcW w:w="400" w:type="dxa"/>
            <w:vAlign w:val="bottom"/>
          </w:tcPr>
          <w:p>
            <w:pPr>
              <w:spacing w:after="0"/>
              <w:rPr>
                <w:sz w:val="16"/>
                <w:szCs w:val="16"/>
                <w:color w:val="auto"/>
              </w:rPr>
            </w:pPr>
          </w:p>
        </w:tc>
        <w:tc>
          <w:tcPr>
            <w:tcW w:w="86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1.11%</w:t>
            </w:r>
          </w:p>
        </w:tc>
        <w:tc>
          <w:tcPr>
            <w:tcW w:w="300" w:type="dxa"/>
            <w:vAlign w:val="bottom"/>
          </w:tcPr>
          <w:p>
            <w:pPr>
              <w:spacing w:after="0"/>
              <w:rPr>
                <w:sz w:val="16"/>
                <w:szCs w:val="16"/>
                <w:color w:val="auto"/>
              </w:rPr>
            </w:pP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0.78%</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Assets</w:t>
            </w:r>
          </w:p>
        </w:tc>
        <w:tc>
          <w:tcPr>
            <w:tcW w:w="5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Common Stockholders' Equity</w:t>
            </w:r>
          </w:p>
        </w:tc>
        <w:tc>
          <w:tcPr>
            <w:tcW w:w="560" w:type="dxa"/>
            <w:vAlign w:val="bottom"/>
          </w:tcPr>
          <w:p>
            <w:pPr>
              <w:spacing w:after="0"/>
              <w:rPr>
                <w:sz w:val="16"/>
                <w:szCs w:val="16"/>
                <w:color w:val="auto"/>
              </w:rPr>
            </w:pP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1"/>
              </w:rPr>
              <w:t>13.38%</w:t>
            </w:r>
          </w:p>
        </w:tc>
        <w:tc>
          <w:tcPr>
            <w:tcW w:w="260" w:type="dxa"/>
            <w:vAlign w:val="bottom"/>
          </w:tcPr>
          <w:p>
            <w:pPr>
              <w:spacing w:after="0"/>
              <w:rPr>
                <w:sz w:val="16"/>
                <w:szCs w:val="16"/>
                <w:color w:val="auto"/>
              </w:rPr>
            </w:pP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13.36%</w:t>
            </w:r>
          </w:p>
        </w:tc>
        <w:tc>
          <w:tcPr>
            <w:tcW w:w="400" w:type="dxa"/>
            <w:vAlign w:val="bottom"/>
          </w:tcPr>
          <w:p>
            <w:pPr>
              <w:spacing w:after="0"/>
              <w:rPr>
                <w:sz w:val="16"/>
                <w:szCs w:val="16"/>
                <w:color w:val="auto"/>
              </w:rPr>
            </w:pPr>
          </w:p>
        </w:tc>
        <w:tc>
          <w:tcPr>
            <w:tcW w:w="8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16.66%</w:t>
            </w:r>
          </w:p>
        </w:tc>
        <w:tc>
          <w:tcPr>
            <w:tcW w:w="30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12.36%</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7"/>
                <w:szCs w:val="17"/>
                <w:color w:val="auto"/>
              </w:rPr>
              <w:t>Return on Total Stockholders' Equity</w:t>
            </w:r>
          </w:p>
        </w:tc>
        <w:tc>
          <w:tcPr>
            <w:tcW w:w="560" w:type="dxa"/>
            <w:vAlign w:val="bottom"/>
          </w:tcPr>
          <w:p>
            <w:pPr>
              <w:spacing w:after="0"/>
              <w:rPr>
                <w:sz w:val="24"/>
                <w:szCs w:val="24"/>
                <w:color w:val="auto"/>
              </w:rPr>
            </w:pPr>
          </w:p>
        </w:tc>
        <w:tc>
          <w:tcPr>
            <w:tcW w:w="98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1"/>
              </w:rPr>
              <w:t>12.48%</w:t>
            </w:r>
          </w:p>
        </w:tc>
        <w:tc>
          <w:tcPr>
            <w:tcW w:w="2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12.41%</w:t>
            </w:r>
          </w:p>
        </w:tc>
        <w:tc>
          <w:tcPr>
            <w:tcW w:w="400" w:type="dxa"/>
            <w:vAlign w:val="bottom"/>
          </w:tcPr>
          <w:p>
            <w:pPr>
              <w:spacing w:after="0"/>
              <w:rPr>
                <w:sz w:val="24"/>
                <w:szCs w:val="24"/>
                <w:color w:val="auto"/>
              </w:rPr>
            </w:pPr>
          </w:p>
        </w:tc>
        <w:tc>
          <w:tcPr>
            <w:tcW w:w="8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15.16%</w:t>
            </w:r>
          </w:p>
        </w:tc>
        <w:tc>
          <w:tcPr>
            <w:tcW w:w="30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11.65%</w:t>
            </w:r>
          </w:p>
        </w:tc>
        <w:tc>
          <w:tcPr>
            <w:tcW w:w="0" w:type="dxa"/>
            <w:vAlign w:val="bottom"/>
          </w:tcPr>
          <w:p>
            <w:pPr>
              <w:spacing w:after="0"/>
              <w:rPr>
                <w:sz w:val="1"/>
                <w:szCs w:val="1"/>
                <w:color w:val="auto"/>
              </w:rPr>
            </w:pPr>
          </w:p>
        </w:tc>
      </w:tr>
      <w:tr>
        <w:trPr>
          <w:trHeight w:val="485"/>
        </w:trPr>
        <w:tc>
          <w:tcPr>
            <w:tcW w:w="4820" w:type="dxa"/>
            <w:vAlign w:val="bottom"/>
          </w:tcPr>
          <w:p>
            <w:pPr>
              <w:spacing w:after="0"/>
              <w:rPr>
                <w:sz w:val="20"/>
                <w:szCs w:val="20"/>
                <w:color w:val="auto"/>
              </w:rPr>
            </w:pPr>
            <w:r>
              <w:rPr>
                <w:rFonts w:ascii="Courier New" w:cs="Courier New" w:eastAsia="Courier New" w:hAnsi="Courier New"/>
                <w:sz w:val="17"/>
                <w:szCs w:val="17"/>
                <w:color w:val="auto"/>
              </w:rPr>
              <w:t>CAPITAL RATIOS AT DECEMBER 31:</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7.4%</w:t>
            </w:r>
          </w:p>
        </w:tc>
        <w:tc>
          <w:tcPr>
            <w:tcW w:w="3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7.1%</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Stockholders' Equity to Assets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Stockholders' Equity to Assets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w:t>
            </w:r>
          </w:p>
        </w:tc>
        <w:tc>
          <w:tcPr>
            <w:tcW w:w="3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Tier 1 Leverage</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w:t>
            </w:r>
          </w:p>
        </w:tc>
        <w:tc>
          <w:tcPr>
            <w:tcW w:w="3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w:t>
            </w:r>
          </w:p>
        </w:tc>
        <w:tc>
          <w:tcPr>
            <w:tcW w:w="0" w:type="dxa"/>
            <w:vAlign w:val="bottom"/>
          </w:tcPr>
          <w:p>
            <w:pPr>
              <w:spacing w:after="0"/>
              <w:rPr>
                <w:sz w:val="1"/>
                <w:szCs w:val="1"/>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Risk-Based Capital (Final guidelines):</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8.0% (c)</w:t>
            </w:r>
          </w:p>
        </w:tc>
        <w:tc>
          <w:tcPr>
            <w:tcW w:w="7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7.3%</w:t>
            </w:r>
          </w:p>
        </w:tc>
        <w:tc>
          <w:tcPr>
            <w:tcW w:w="0" w:type="dxa"/>
            <w:vAlign w:val="bottom"/>
          </w:tcPr>
          <w:p>
            <w:pPr>
              <w:spacing w:after="0"/>
              <w:rPr>
                <w:sz w:val="1"/>
                <w:szCs w:val="1"/>
                <w:color w:val="auto"/>
              </w:rPr>
            </w:pPr>
          </w:p>
        </w:tc>
      </w:tr>
      <w:tr>
        <w:trPr>
          <w:trHeight w:val="191"/>
        </w:trPr>
        <w:tc>
          <w:tcPr>
            <w:tcW w:w="4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Tier 1 (4.0% required)</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820" w:type="dxa"/>
            <w:vAlign w:val="bottom"/>
          </w:tcPr>
          <w:p>
            <w:pPr>
              <w:ind w:left="200"/>
              <w:spacing w:after="0"/>
              <w:rPr>
                <w:sz w:val="20"/>
                <w:szCs w:val="20"/>
                <w:color w:val="auto"/>
              </w:rPr>
            </w:pPr>
            <w:r>
              <w:rPr>
                <w:rFonts w:ascii="Courier New" w:cs="Courier New" w:eastAsia="Courier New" w:hAnsi="Courier New"/>
                <w:sz w:val="17"/>
                <w:szCs w:val="17"/>
                <w:color w:val="auto"/>
              </w:rPr>
              <w:t>Total  (8.0% required)</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12.1% (c)</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700" w:right="3459" w:hanging="499"/>
        <w:spacing w:after="0" w:line="247" w:lineRule="auto"/>
        <w:tabs>
          <w:tab w:leader="none" w:pos="7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1993, the Corporation increased its quarterly common stock dividend from $0.30 per share to $0.33 per share in the first quarter and from $0.33 per share to $0.38 per share in the fourth quarter.</w:t>
      </w:r>
    </w:p>
    <w:p>
      <w:pPr>
        <w:spacing w:after="0" w:line="2" w:lineRule="exact"/>
        <w:rPr>
          <w:rFonts w:ascii="Courier New" w:cs="Courier New" w:eastAsia="Courier New" w:hAnsi="Courier New"/>
          <w:sz w:val="17"/>
          <w:szCs w:val="17"/>
          <w:color w:val="auto"/>
        </w:rPr>
      </w:pPr>
    </w:p>
    <w:p>
      <w:pPr>
        <w:ind w:left="700" w:right="3259" w:hanging="499"/>
        <w:spacing w:after="0" w:line="238" w:lineRule="auto"/>
        <w:tabs>
          <w:tab w:leader="none" w:pos="7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performance ratios are based on annualized net income amounts.</w:t>
      </w:r>
    </w:p>
    <w:p>
      <w:pPr>
        <w:jc w:val="both"/>
        <w:ind w:left="700" w:right="3259" w:hanging="499"/>
        <w:spacing w:after="0" w:line="274" w:lineRule="auto"/>
        <w:tabs>
          <w:tab w:leader="none" w:pos="7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Excludes from 1993 figures the net favorable impact on stockholders' equity of $215 million resulting from adoption of SFAS No. 115 on December 31, 1993.</w:t>
      </w:r>
    </w:p>
    <w:p>
      <w:pPr>
        <w:sectPr>
          <w:pgSz w:w="11900" w:h="16838" w:orient="portrait"/>
          <w:cols w:equalWidth="0" w:num="1">
            <w:col w:w="10219"/>
          </w:cols>
          <w:pgMar w:left="240" w:top="277" w:right="1440" w:bottom="771"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CHEMICAL BANKING CORPORATION and Subsidiaries</w:t>
      </w:r>
    </w:p>
    <w:p>
      <w:pPr>
        <w:spacing w:after="0" w:line="2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CONSOLIDATED STATEMENT OF INCOME</w:t>
      </w:r>
    </w:p>
    <w:p>
      <w:pPr>
        <w:jc w:val="center"/>
        <w:ind w:right="2859"/>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6"/>
              </w:rPr>
              <w:t>Three Months Ended</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6"/>
              </w:rPr>
              <w:t>December 31,</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1993</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INTEREST INCOME:</w:t>
            </w:r>
          </w:p>
        </w:tc>
        <w:tc>
          <w:tcPr>
            <w:tcW w:w="400" w:type="dxa"/>
            <w:vAlign w:val="bottom"/>
          </w:tcPr>
          <w:p>
            <w:pPr>
              <w:spacing w:after="0"/>
              <w:rPr>
                <w:sz w:val="24"/>
                <w:szCs w:val="24"/>
                <w:color w:val="auto"/>
              </w:rPr>
            </w:pP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rPr>
              <w:t>$1,350</w:t>
            </w:r>
          </w:p>
        </w:tc>
        <w:tc>
          <w:tcPr>
            <w:tcW w:w="98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$1,492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w:t>
            </w:r>
          </w:p>
        </w:tc>
        <w:tc>
          <w:tcPr>
            <w:tcW w:w="12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428</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Federal Funds Sold and Securities</w:t>
            </w:r>
          </w:p>
        </w:tc>
        <w:tc>
          <w:tcPr>
            <w:tcW w:w="400" w:type="dxa"/>
            <w:vAlign w:val="bottom"/>
          </w:tcPr>
          <w:p>
            <w:pPr>
              <w:spacing w:after="0"/>
              <w:rPr>
                <w:sz w:val="16"/>
                <w:szCs w:val="16"/>
                <w:color w:val="auto"/>
              </w:rPr>
            </w:pPr>
          </w:p>
        </w:tc>
        <w:tc>
          <w:tcPr>
            <w:tcW w:w="8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94</w:t>
            </w:r>
          </w:p>
        </w:tc>
        <w:tc>
          <w:tcPr>
            <w:tcW w:w="400" w:type="dxa"/>
            <w:vAlign w:val="bottom"/>
          </w:tcPr>
          <w:p>
            <w:pPr>
              <w:spacing w:after="0"/>
              <w:rPr>
                <w:sz w:val="16"/>
                <w:szCs w:val="16"/>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77</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Purchased Under Resale Agreements</w:t>
            </w: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67</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 Income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2,074</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2,179</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400" w:type="dxa"/>
            <w:vAlign w:val="bottom"/>
          </w:tcPr>
          <w:p>
            <w:pPr>
              <w:spacing w:after="0"/>
              <w:rPr>
                <w:sz w:val="24"/>
                <w:szCs w:val="24"/>
                <w:color w:val="auto"/>
              </w:rPr>
            </w:pPr>
          </w:p>
        </w:tc>
        <w:tc>
          <w:tcPr>
            <w:tcW w:w="8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542</w:t>
            </w:r>
          </w:p>
        </w:tc>
        <w:tc>
          <w:tcPr>
            <w:tcW w:w="400" w:type="dxa"/>
            <w:vAlign w:val="bottom"/>
          </w:tcPr>
          <w:p>
            <w:pPr>
              <w:spacing w:after="0"/>
              <w:rPr>
                <w:sz w:val="24"/>
                <w:szCs w:val="24"/>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571</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w:t>
            </w: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Short-Term and Other Borrowings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249</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134</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 Expense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925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953</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1,149</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1,226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286</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315</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 AFTER</w:t>
            </w: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863</w:t>
            </w:r>
          </w:p>
        </w:tc>
        <w:tc>
          <w:tcPr>
            <w:tcW w:w="400" w:type="dxa"/>
            <w:vAlign w:val="bottom"/>
          </w:tcPr>
          <w:p>
            <w:pPr>
              <w:spacing w:after="0"/>
              <w:rPr>
                <w:sz w:val="8"/>
                <w:szCs w:val="8"/>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911</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NONINTEREST REVENUE:</w:t>
            </w:r>
          </w:p>
        </w:tc>
        <w:tc>
          <w:tcPr>
            <w:tcW w:w="400" w:type="dxa"/>
            <w:vAlign w:val="bottom"/>
          </w:tcPr>
          <w:p>
            <w:pPr>
              <w:spacing w:after="0"/>
              <w:rPr>
                <w:sz w:val="24"/>
                <w:szCs w:val="24"/>
                <w:color w:val="auto"/>
              </w:rPr>
            </w:pPr>
          </w:p>
        </w:tc>
        <w:tc>
          <w:tcPr>
            <w:tcW w:w="8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109</w:t>
            </w:r>
          </w:p>
        </w:tc>
        <w:tc>
          <w:tcPr>
            <w:tcW w:w="400" w:type="dxa"/>
            <w:vAlign w:val="bottom"/>
          </w:tcPr>
          <w:p>
            <w:pPr>
              <w:spacing w:after="0"/>
              <w:rPr>
                <w:sz w:val="24"/>
                <w:szCs w:val="24"/>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94</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Trust and Investment Management Fees</w:t>
            </w: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Corporate Finance and Syndication Fees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88</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Charges on Deposit Accounts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71</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Fees for Other Banking Services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278</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w:t>
            </w:r>
          </w:p>
        </w:tc>
        <w:tc>
          <w:tcPr>
            <w:tcW w:w="0" w:type="dxa"/>
            <w:vAlign w:val="bottom"/>
          </w:tcPr>
          <w:p>
            <w:pPr>
              <w:spacing w:after="0"/>
              <w:rPr>
                <w:sz w:val="1"/>
                <w:szCs w:val="1"/>
                <w:color w:val="auto"/>
              </w:rPr>
            </w:pPr>
          </w:p>
        </w:tc>
      </w:tr>
      <w:tr>
        <w:trPr>
          <w:trHeight w:val="191"/>
        </w:trPr>
        <w:tc>
          <w:tcPr>
            <w:tcW w:w="4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7"/>
              </w:rPr>
              <w:t>Trading Account and Foreign Exchange Profits</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 Gains (Losses)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Revenue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236</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Noninterest Revenue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1,053</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717</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NONINTEREST EXPENSE:</w:t>
            </w: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522</w:t>
            </w:r>
          </w:p>
        </w:tc>
        <w:tc>
          <w:tcPr>
            <w:tcW w:w="400" w:type="dxa"/>
            <w:vAlign w:val="bottom"/>
          </w:tcPr>
          <w:p>
            <w:pPr>
              <w:spacing w:after="0"/>
              <w:rPr>
                <w:sz w:val="8"/>
                <w:szCs w:val="8"/>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505</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Salaries</w:t>
            </w: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Benefits</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Occupancy Expense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149</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Equipment Expense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93</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Foreclosed Property Expense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61</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Expense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385</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Noninterest Expense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1,335</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0"/>
              </w:rPr>
              <w:t>1,294</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INCOME BEFORE INCOME TAX EXPENSE</w:t>
            </w:r>
          </w:p>
        </w:tc>
        <w:tc>
          <w:tcPr>
            <w:tcW w:w="400" w:type="dxa"/>
            <w:vAlign w:val="bottom"/>
          </w:tcPr>
          <w:p>
            <w:pPr>
              <w:spacing w:after="0"/>
              <w:rPr>
                <w:sz w:val="24"/>
                <w:szCs w:val="24"/>
                <w:color w:val="auto"/>
              </w:rPr>
            </w:pPr>
          </w:p>
        </w:tc>
        <w:tc>
          <w:tcPr>
            <w:tcW w:w="8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581</w:t>
            </w:r>
          </w:p>
        </w:tc>
        <w:tc>
          <w:tcPr>
            <w:tcW w:w="4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334</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 Expense</w:t>
            </w:r>
          </w:p>
        </w:tc>
        <w:tc>
          <w:tcPr>
            <w:tcW w:w="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234</w:t>
            </w:r>
          </w:p>
        </w:tc>
        <w:tc>
          <w:tcPr>
            <w:tcW w:w="400" w:type="dxa"/>
            <w:vAlign w:val="bottom"/>
          </w:tcPr>
          <w:p>
            <w:pPr>
              <w:spacing w:after="0"/>
              <w:rPr>
                <w:sz w:val="16"/>
                <w:szCs w:val="16"/>
                <w:color w:val="auto"/>
              </w:rPr>
            </w:pP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347</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304</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APPLICABLE TO COMMON STOCK</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309</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266</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$ 1.23</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$ 1.09</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AVERAGE COMMON SHARES AND COMMON STOCK</w:t>
            </w:r>
          </w:p>
        </w:tc>
        <w:tc>
          <w:tcPr>
            <w:tcW w:w="12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rPr>
              <w:t>252.5</w:t>
            </w:r>
          </w:p>
        </w:tc>
        <w:tc>
          <w:tcPr>
            <w:tcW w:w="400" w:type="dxa"/>
            <w:vAlign w:val="bottom"/>
          </w:tcPr>
          <w:p>
            <w:pPr>
              <w:spacing w:after="0"/>
              <w:rPr>
                <w:sz w:val="8"/>
                <w:szCs w:val="8"/>
                <w:color w:val="auto"/>
              </w:rPr>
            </w:pPr>
          </w:p>
        </w:tc>
        <w:tc>
          <w:tcPr>
            <w:tcW w:w="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0"/>
              </w:rPr>
              <w:t>246.2</w:t>
            </w:r>
          </w:p>
        </w:tc>
        <w:tc>
          <w:tcPr>
            <w:tcW w:w="0" w:type="dxa"/>
            <w:vAlign w:val="bottom"/>
          </w:tcPr>
          <w:p>
            <w:pPr>
              <w:spacing w:after="0"/>
              <w:rPr>
                <w:sz w:val="1"/>
                <w:szCs w:val="1"/>
                <w:color w:val="auto"/>
              </w:rPr>
            </w:pPr>
          </w:p>
        </w:tc>
      </w:tr>
      <w:tr>
        <w:trPr>
          <w:trHeight w:val="280"/>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EQUIVALENTS OUTSTANDING</w:t>
            </w:r>
          </w:p>
        </w:tc>
        <w:tc>
          <w:tcPr>
            <w:tcW w:w="12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right="3459"/>
        <w:spacing w:after="0" w:line="347" w:lineRule="auto"/>
        <w:rPr>
          <w:sz w:val="20"/>
          <w:szCs w:val="20"/>
          <w:color w:val="auto"/>
        </w:rPr>
      </w:pPr>
      <w:r>
        <w:rPr>
          <w:rFonts w:ascii="Courier New" w:cs="Courier New" w:eastAsia="Courier New" w:hAnsi="Courier New"/>
          <w:sz w:val="17"/>
          <w:szCs w:val="17"/>
          <w:color w:val="auto"/>
        </w:rPr>
        <w:t>Certain amounts in 1992 have been reclassified to conform with the 1993 presentation.</w:t>
      </w:r>
    </w:p>
    <w:p>
      <w:pPr>
        <w:sectPr>
          <w:pgSz w:w="11900" w:h="16838" w:orient="portrait"/>
          <w:cols w:equalWidth="0" w:num="1">
            <w:col w:w="10219"/>
          </w:cols>
          <w:pgMar w:left="240" w:top="277" w:right="1440" w:bottom="1440" w:gutter="0" w:footer="0" w:header="0"/>
        </w:sectPr>
      </w:pPr>
    </w:p>
    <w:bookmarkStart w:id="13" w:name="page14"/>
    <w:bookmarkEnd w:id="13"/>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7"/>
          <w:szCs w:val="17"/>
          <w:color w:val="auto"/>
        </w:rPr>
        <w:t>CHEMICAL BANKING CORPORATION and Subsidiaries</w:t>
      </w:r>
    </w:p>
    <w:p>
      <w:pPr>
        <w:spacing w:after="0" w:line="2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CONSOLIDATED STATEMENT OF INCOME</w:t>
      </w:r>
    </w:p>
    <w:p>
      <w:pPr>
        <w:jc w:val="center"/>
        <w:ind w:right="3059"/>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2180" w:type="dxa"/>
            <w:vAlign w:val="bottom"/>
            <w:gridSpan w:val="2"/>
          </w:tcPr>
          <w:p>
            <w:pPr>
              <w:jc w:val="center"/>
              <w:ind w:left="317"/>
              <w:spacing w:after="0"/>
              <w:rPr>
                <w:sz w:val="20"/>
                <w:szCs w:val="20"/>
                <w:color w:val="auto"/>
              </w:rPr>
            </w:pPr>
            <w:r>
              <w:rPr>
                <w:rFonts w:ascii="Courier New" w:cs="Courier New" w:eastAsia="Courier New" w:hAnsi="Courier New"/>
                <w:sz w:val="17"/>
                <w:szCs w:val="17"/>
                <w:color w:val="auto"/>
                <w:w w:val="96"/>
              </w:rPr>
              <w:t>For The Year Ended</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2180" w:type="dxa"/>
            <w:vAlign w:val="bottom"/>
            <w:gridSpan w:val="2"/>
          </w:tcPr>
          <w:p>
            <w:pPr>
              <w:jc w:val="center"/>
              <w:ind w:left="317"/>
              <w:spacing w:after="0" w:line="191" w:lineRule="exact"/>
              <w:rPr>
                <w:sz w:val="20"/>
                <w:szCs w:val="20"/>
                <w:color w:val="auto"/>
              </w:rPr>
            </w:pPr>
            <w:r>
              <w:rPr>
                <w:rFonts w:ascii="Courier New" w:cs="Courier New" w:eastAsia="Courier New" w:hAnsi="Courier New"/>
                <w:sz w:val="17"/>
                <w:szCs w:val="17"/>
                <w:color w:val="auto"/>
                <w:w w:val="96"/>
              </w:rPr>
              <w:t>December 31,</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2180" w:type="dxa"/>
            <w:vAlign w:val="bottom"/>
            <w:gridSpan w:val="2"/>
          </w:tcPr>
          <w:p>
            <w:pPr>
              <w:jc w:val="center"/>
              <w:ind w:left="317"/>
              <w:spacing w:after="0" w:line="191" w:lineRule="exact"/>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1993</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INTEREST INCOME:</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$5,620</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$6,353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1,727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449</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419</w:t>
            </w:r>
          </w:p>
        </w:tc>
        <w:tc>
          <w:tcPr>
            <w:tcW w:w="0" w:type="dxa"/>
            <w:vAlign w:val="bottom"/>
          </w:tcPr>
          <w:p>
            <w:pPr>
              <w:spacing w:after="0"/>
              <w:rPr>
                <w:sz w:val="1"/>
                <w:szCs w:val="1"/>
                <w:color w:val="auto"/>
              </w:rPr>
            </w:pPr>
          </w:p>
        </w:tc>
      </w:tr>
      <w:tr>
        <w:trPr>
          <w:trHeight w:val="191"/>
        </w:trPr>
        <w:tc>
          <w:tcPr>
            <w:tcW w:w="52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Federal Funds Sold and Securities Purchased</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349</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Under Resale Agreements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339</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268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274</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 Income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8,403</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9,148</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INTEREST EXPENSE:</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2,241</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2,868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Short-Term and Other Borrowings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992</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534</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454</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3,767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4,550</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4,636</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4,598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1,259</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1,365</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 AFTER</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3,377</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3,233</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NONINTEREST REVENUE:</w:t>
            </w: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406</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361</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Trust and Investment Management Fees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Corporate Finance and Syndication Fees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265</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Charges on Deposit Accounts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288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264</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Fees for Other Banking Services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1,067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1,040</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and Foreign</w:t>
            </w: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1,073</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853</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Exchange Profits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 Gains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142</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Revenue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710</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190</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Noninterest Revenue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4,024</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3,026</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NONINTEREST EXPENSE:</w:t>
            </w: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2,070</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1,977</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Salaries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 Benefits</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396</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Occupancy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587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Equipment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Foreclosed Property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287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Restructuring Charge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1,458</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1,416</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Noninterest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5,293</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4,930</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INCOME TAXES AND EFFECT</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2,108</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1,329</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ACCOUNTING CHANGES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 Expense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539</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243</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EFFECT OF</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1,569</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ACCOUNTING CHANGES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Effect of Changes in</w:t>
            </w:r>
          </w:p>
        </w:tc>
        <w:tc>
          <w:tcPr>
            <w:tcW w:w="13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35(a)</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Accounting Principles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$1,604</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APPLICABLE TO COMMON STOCK</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$1,449</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936</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PER COMMON SHARE:</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Effect of</w:t>
            </w: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$ 5.63</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$ 3.90</w:t>
            </w:r>
          </w:p>
        </w:tc>
        <w:tc>
          <w:tcPr>
            <w:tcW w:w="0" w:type="dxa"/>
            <w:vAlign w:val="bottom"/>
          </w:tcPr>
          <w:p>
            <w:pPr>
              <w:spacing w:after="0"/>
              <w:rPr>
                <w:sz w:val="1"/>
                <w:szCs w:val="1"/>
                <w:color w:val="auto"/>
              </w:rPr>
            </w:pPr>
          </w:p>
        </w:tc>
      </w:tr>
      <w:tr>
        <w:trPr>
          <w:trHeight w:val="191"/>
        </w:trPr>
        <w:tc>
          <w:tcPr>
            <w:tcW w:w="3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Accounting Changes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Effect of Changes in</w:t>
            </w:r>
          </w:p>
        </w:tc>
        <w:tc>
          <w:tcPr>
            <w:tcW w:w="13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.14(a)</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Accounting Principles</w:t>
            </w:r>
          </w:p>
        </w:tc>
        <w:tc>
          <w:tcPr>
            <w:tcW w:w="13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$ 5.77</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$ 3.90</w:t>
            </w:r>
          </w:p>
        </w:tc>
        <w:tc>
          <w:tcPr>
            <w:tcW w:w="0" w:type="dxa"/>
            <w:vAlign w:val="bottom"/>
          </w:tcPr>
          <w:p>
            <w:pPr>
              <w:spacing w:after="0"/>
              <w:rPr>
                <w:sz w:val="1"/>
                <w:szCs w:val="1"/>
                <w:color w:val="auto"/>
              </w:rPr>
            </w:pPr>
          </w:p>
        </w:tc>
      </w:tr>
      <w:tr>
        <w:trPr>
          <w:trHeight w:val="280"/>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AVERAGE COMMON SHARES AND COMMON STOCK</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30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251.2</w:t>
            </w:r>
          </w:p>
        </w:tc>
        <w:tc>
          <w:tcPr>
            <w:tcW w:w="8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240.4</w:t>
            </w:r>
          </w:p>
        </w:tc>
        <w:tc>
          <w:tcPr>
            <w:tcW w:w="0" w:type="dxa"/>
            <w:vAlign w:val="bottom"/>
          </w:tcPr>
          <w:p>
            <w:pPr>
              <w:spacing w:after="0"/>
              <w:rPr>
                <w:sz w:val="1"/>
                <w:szCs w:val="1"/>
                <w:color w:val="auto"/>
              </w:rPr>
            </w:pPr>
          </w:p>
        </w:tc>
      </w:tr>
      <w:tr>
        <w:trPr>
          <w:trHeight w:val="280"/>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EQUIVALENTS OUTSTANDING</w:t>
            </w:r>
          </w:p>
        </w:tc>
        <w:tc>
          <w:tcPr>
            <w:tcW w:w="13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right="3459"/>
        <w:spacing w:after="0" w:line="347" w:lineRule="auto"/>
        <w:rPr>
          <w:sz w:val="20"/>
          <w:szCs w:val="20"/>
          <w:color w:val="auto"/>
        </w:rPr>
      </w:pPr>
      <w:r>
        <w:rPr>
          <w:rFonts w:ascii="Courier New" w:cs="Courier New" w:eastAsia="Courier New" w:hAnsi="Courier New"/>
          <w:sz w:val="17"/>
          <w:szCs w:val="17"/>
          <w:color w:val="auto"/>
        </w:rPr>
        <w:t>Certain amounts in 1992 have been reclassified to conform with the 1993 presentation.</w:t>
      </w:r>
    </w:p>
    <w:p>
      <w:pPr>
        <w:sectPr>
          <w:pgSz w:w="11900" w:h="16909" w:orient="portrait"/>
          <w:cols w:equalWidth="0" w:num="1">
            <w:col w:w="10219"/>
          </w:cols>
          <w:pgMar w:left="240" w:top="277" w:right="1440" w:bottom="0" w:gutter="0" w:footer="0" w:header="0"/>
        </w:sectPr>
      </w:pPr>
    </w:p>
    <w:bookmarkStart w:id="14" w:name="page15"/>
    <w:bookmarkEnd w:id="14"/>
    <w:p>
      <w:pPr>
        <w:ind w:left="499" w:right="3259" w:hanging="499"/>
        <w:spacing w:after="0" w:line="274" w:lineRule="auto"/>
        <w:tabs>
          <w:tab w:leader="none" w:pos="49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 1993, the Corporation adopted SFAS 106 which resulted in a charge of $415 million relating to postretirement benefits and also adopted SFAS 109 which resulted in an income tax benefit of $450 million.</w:t>
      </w:r>
    </w:p>
    <w:p>
      <w:pPr>
        <w:sectPr>
          <w:pgSz w:w="11900" w:h="16838" w:orient="portrait"/>
          <w:cols w:equalWidth="0" w:num="1">
            <w:col w:w="10018"/>
          </w:cols>
          <w:pgMar w:left="441" w:top="303" w:right="1440" w:bottom="1440" w:gutter="0" w:footer="0" w:header="0"/>
        </w:sectPr>
      </w:pPr>
    </w:p>
    <w:bookmarkStart w:id="15" w:name="page16"/>
    <w:bookmarkEnd w:id="15"/>
    <w:p>
      <w:pPr>
        <w:jc w:val="center"/>
        <w:ind w:right="3159"/>
        <w:spacing w:after="0"/>
        <w:rPr>
          <w:sz w:val="20"/>
          <w:szCs w:val="20"/>
          <w:color w:val="auto"/>
        </w:rPr>
      </w:pPr>
      <w:r>
        <w:rPr>
          <w:rFonts w:ascii="Courier New" w:cs="Courier New" w:eastAsia="Courier New" w:hAnsi="Courier New"/>
          <w:sz w:val="17"/>
          <w:szCs w:val="17"/>
          <w:color w:val="auto"/>
        </w:rPr>
        <w:t>CHEMICAL BANKING CORPORATION and Subsidiaries</w:t>
      </w:r>
    </w:p>
    <w:p>
      <w:pPr>
        <w:spacing w:after="0" w:line="2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CONSOLIDATED BALANCE SHEET</w:t>
      </w:r>
    </w:p>
    <w:p>
      <w:pPr>
        <w:ind w:left="2780"/>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w w:val="96"/>
              </w:rPr>
              <w:t>December 31,</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9"/>
              </w:rPr>
              <w:t>December 31,</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w w:val="96"/>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  6,852</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8,846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Due from Banks</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6,030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1,846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Federal Funds Sold and Securities</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10,556</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7,667</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Purchased under Resale Agreements</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11,679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4,496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10,108</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15,036</w:t>
            </w:r>
          </w:p>
        </w:tc>
        <w:tc>
          <w:tcPr>
            <w:tcW w:w="0" w:type="dxa"/>
            <w:vAlign w:val="bottom"/>
          </w:tcPr>
          <w:p>
            <w:pPr>
              <w:spacing w:after="0"/>
              <w:rPr>
                <w:sz w:val="1"/>
                <w:szCs w:val="1"/>
                <w:color w:val="auto"/>
              </w:rPr>
            </w:pPr>
          </w:p>
        </w:tc>
      </w:tr>
      <w:tr>
        <w:trPr>
          <w:trHeight w:val="191"/>
        </w:trPr>
        <w:tc>
          <w:tcPr>
            <w:tcW w:w="3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Held-to-Maturity</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Available-for-Sale</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15,840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8,390</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 (Net of Unearned Income)</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75,381</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82,010</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Allowance for Losses</w:t>
            </w:r>
          </w:p>
        </w:tc>
        <w:tc>
          <w:tcPr>
            <w:tcW w:w="1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(3,020)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(3,025)</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Premises and Equipment</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1,910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1,699</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Due from Customers on Acceptances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1,077</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Accrued Interest Receivable</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1,106</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Assets Acquired as Loan Satisfactions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934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1,276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11,435</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8,936</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400"/>
              <w:spacing w:after="0"/>
              <w:rPr>
                <w:sz w:val="20"/>
                <w:szCs w:val="20"/>
                <w:color w:val="auto"/>
              </w:rPr>
            </w:pPr>
            <w:r>
              <w:rPr>
                <w:rFonts w:ascii="Courier New" w:cs="Courier New" w:eastAsia="Courier New" w:hAnsi="Courier New"/>
                <w:sz w:val="17"/>
                <w:szCs w:val="17"/>
                <w:color w:val="auto"/>
              </w:rPr>
              <w:t>TOTAL ASSETS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$149,888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$139,655</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$ 23,443</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$ 22,813</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Demand (Noninterest Bearing)</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Time and Savings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51,940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51,353</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Foreign</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22,894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20,007</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Deposits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98,277</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94,173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Federal Funds Purchased and Securities</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12,857</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15,051</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Sold Under Repurchase Agreements</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Borrowed Funds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11,908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8,020</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Acceptances Outstanding</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1,099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1,443</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Accounts Payable and Accrued Liabilities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2,607</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1,951</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Liabilities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3,784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2,368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8,192</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6,798</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LIABILITIES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138,724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129,804</w:t>
            </w: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1,654</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1,848</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Preferred Stock</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Surplus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6,553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6,376</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Retained Earnings</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2,501</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1,392</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Unrealized Gain on Securities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215(a)</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Available-for-Sale (Net of Taxes)</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Treasury Stock, at cost</w:t>
            </w:r>
          </w:p>
        </w:tc>
        <w:tc>
          <w:tcPr>
            <w:tcW w:w="1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191"/>
        </w:trPr>
        <w:tc>
          <w:tcPr>
            <w:tcW w:w="39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STOCKHOLDERS' EQUITY</w:t>
            </w: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15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11,164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9,851</w:t>
            </w:r>
          </w:p>
        </w:tc>
        <w:tc>
          <w:tcPr>
            <w:tcW w:w="0" w:type="dxa"/>
            <w:vAlign w:val="bottom"/>
          </w:tcPr>
          <w:p>
            <w:pPr>
              <w:spacing w:after="0"/>
              <w:rPr>
                <w:sz w:val="1"/>
                <w:szCs w:val="1"/>
                <w:color w:val="auto"/>
              </w:rPr>
            </w:pPr>
          </w:p>
        </w:tc>
      </w:tr>
      <w:tr>
        <w:trPr>
          <w:trHeight w:val="280"/>
        </w:trPr>
        <w:tc>
          <w:tcPr>
            <w:tcW w:w="39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w w:val="96"/>
              </w:rPr>
              <w:t>TOTAL LIABILITIES AND STOCKHOLDERS'</w:t>
            </w: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154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$149,888</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$139,655</w:t>
            </w:r>
          </w:p>
        </w:tc>
        <w:tc>
          <w:tcPr>
            <w:tcW w:w="0" w:type="dxa"/>
            <w:vAlign w:val="bottom"/>
          </w:tcPr>
          <w:p>
            <w:pPr>
              <w:spacing w:after="0"/>
              <w:rPr>
                <w:sz w:val="1"/>
                <w:szCs w:val="1"/>
                <w:color w:val="auto"/>
              </w:rPr>
            </w:pPr>
          </w:p>
        </w:tc>
      </w:tr>
      <w:tr>
        <w:trPr>
          <w:trHeight w:val="191"/>
        </w:trPr>
        <w:tc>
          <w:tcPr>
            <w:tcW w:w="39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EQUITY</w:t>
            </w:r>
          </w:p>
        </w:tc>
        <w:tc>
          <w:tcPr>
            <w:tcW w:w="15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4"/>
                <w:szCs w:val="24"/>
                <w:color w:val="auto"/>
              </w:rPr>
            </w:pPr>
          </w:p>
        </w:tc>
        <w:tc>
          <w:tcPr>
            <w:tcW w:w="15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00" w:right="3359" w:hanging="499"/>
        <w:spacing w:after="0" w:line="260"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31, 1993, the Corporation adopted SFAS 115. Securities that are identified as available for sale are accounted for at fair value with the related unrealized gains and losses included in stockholders' equity. The adoption of SFAS 115 resulted in a net favorable impact of $215 million on stockholders' equity.</w:t>
      </w:r>
    </w:p>
    <w:p>
      <w:pPr>
        <w:sectPr>
          <w:pgSz w:w="11900" w:h="16838" w:orient="portrait"/>
          <w:cols w:equalWidth="0" w:num="1">
            <w:col w:w="10019"/>
          </w:cols>
          <w:pgMar w:left="440" w:top="46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16</w:t>
      </w:r>
    </w:p>
    <w:p>
      <w:pPr>
        <w:spacing w:after="0" w:line="2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7"/>
          <w:szCs w:val="17"/>
          <w:color w:val="auto"/>
        </w:rPr>
        <w:t>CHEMICAL BANKING CORPORATION and Subsidiaries</w:t>
      </w:r>
    </w:p>
    <w:p>
      <w:pPr>
        <w:jc w:val="center"/>
        <w:ind w:right="2959"/>
        <w:spacing w:after="0" w:line="238" w:lineRule="auto"/>
        <w:rPr>
          <w:sz w:val="20"/>
          <w:szCs w:val="20"/>
          <w:color w:val="auto"/>
        </w:rPr>
      </w:pPr>
      <w:r>
        <w:rPr>
          <w:rFonts w:ascii="Courier New" w:cs="Courier New" w:eastAsia="Courier New" w:hAnsi="Courier New"/>
          <w:sz w:val="17"/>
          <w:szCs w:val="17"/>
          <w:color w:val="auto"/>
        </w:rPr>
        <w:t>CONSOLIDATED STATEMENT OF CHANGES</w:t>
      </w:r>
    </w:p>
    <w:p>
      <w:pPr>
        <w:jc w:val="center"/>
        <w:ind w:right="2959"/>
        <w:spacing w:after="0" w:line="238" w:lineRule="auto"/>
        <w:rPr>
          <w:sz w:val="20"/>
          <w:szCs w:val="20"/>
          <w:color w:val="auto"/>
        </w:rPr>
      </w:pPr>
      <w:r>
        <w:rPr>
          <w:rFonts w:ascii="Courier New" w:cs="Courier New" w:eastAsia="Courier New" w:hAnsi="Courier New"/>
          <w:sz w:val="17"/>
          <w:szCs w:val="17"/>
          <w:color w:val="auto"/>
        </w:rPr>
        <w:t>IN STOCKHOLDERS' EQUITY</w:t>
      </w:r>
    </w:p>
    <w:p>
      <w:pPr>
        <w:spacing w:after="0" w:line="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1993</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Courier New" w:cs="Courier New" w:eastAsia="Courier New" w:hAnsi="Courier New"/>
                <w:sz w:val="17"/>
                <w:szCs w:val="17"/>
                <w:color w:val="auto"/>
              </w:rPr>
              <w:t>BALANCE AT JANUARY 1,</w:t>
            </w: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$ 9,851</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$7,281</w:t>
            </w: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1,604</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1,086</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Declared:</w:t>
            </w:r>
          </w:p>
        </w:tc>
        <w:tc>
          <w:tcPr>
            <w:tcW w:w="1580" w:type="dxa"/>
            <w:vAlign w:val="bottom"/>
            <w:vMerge w:val="restart"/>
          </w:tcPr>
          <w:p>
            <w:pPr>
              <w:jc w:val="right"/>
              <w:ind w:right="97"/>
              <w:spacing w:after="0"/>
              <w:rPr>
                <w:sz w:val="20"/>
                <w:szCs w:val="20"/>
                <w:color w:val="auto"/>
              </w:rPr>
            </w:pPr>
            <w:r>
              <w:rPr>
                <w:rFonts w:ascii="Courier New" w:cs="Courier New" w:eastAsia="Courier New" w:hAnsi="Courier New"/>
                <w:sz w:val="17"/>
                <w:szCs w:val="17"/>
                <w:color w:val="auto"/>
              </w:rPr>
              <w:t>(155)</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(153)</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Preferred Stock</w:t>
            </w:r>
          </w:p>
        </w:tc>
        <w:tc>
          <w:tcPr>
            <w:tcW w:w="15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w:t>
            </w:r>
          </w:p>
        </w:tc>
        <w:tc>
          <w:tcPr>
            <w:tcW w:w="15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(345)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(295)</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Issuance of Preferred Stock</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400</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550</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Redemption of Preferred Stock</w:t>
            </w:r>
          </w:p>
        </w:tc>
        <w:tc>
          <w:tcPr>
            <w:tcW w:w="15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(594)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(300)</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Issuance of Common Stock</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183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1,706(a)</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Treasury Stock</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Unrealized Gain on Securities</w:t>
            </w:r>
          </w:p>
        </w:tc>
        <w:tc>
          <w:tcPr>
            <w:tcW w:w="158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215</w:t>
            </w:r>
          </w:p>
        </w:tc>
        <w:tc>
          <w:tcPr>
            <w:tcW w:w="11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Available-for-Sale (Net of Taxes)</w:t>
            </w:r>
          </w:p>
        </w:tc>
        <w:tc>
          <w:tcPr>
            <w:tcW w:w="15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Conversion of Class B Common Stock</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w:t>
            </w: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Translation Adjustment</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191"/>
        </w:trPr>
        <w:tc>
          <w:tcPr>
            <w:tcW w:w="41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Net Change in Stockholders' Equity</w:t>
            </w: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180" w:type="dxa"/>
            <w:vAlign w:val="bottom"/>
            <w:vMerge w:val="continue"/>
          </w:tcPr>
          <w:p>
            <w:pPr>
              <w:spacing w:after="0"/>
              <w:rPr>
                <w:sz w:val="16"/>
                <w:szCs w:val="16"/>
                <w:color w:val="auto"/>
              </w:rPr>
            </w:pPr>
          </w:p>
        </w:tc>
        <w:tc>
          <w:tcPr>
            <w:tcW w:w="15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1,313</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2,570</w:t>
            </w: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Courier New" w:cs="Courier New" w:eastAsia="Courier New" w:hAnsi="Courier New"/>
                <w:sz w:val="17"/>
                <w:szCs w:val="17"/>
                <w:color w:val="auto"/>
              </w:rPr>
              <w:t>BALANCE AT DECEMBER 31,</w:t>
            </w: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$11,164</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$9,851</w:t>
            </w: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5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00" w:right="3259" w:hanging="399"/>
        <w:spacing w:after="0" w:line="292" w:lineRule="auto"/>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Principally includes the issuance of 57.5 million shares through public offerings in January 1992 which resulted in net proceeds to the Corporation of $1.52 billion.</w:t>
      </w:r>
    </w:p>
    <w:p>
      <w:pPr>
        <w:sectPr>
          <w:pgSz w:w="11900" w:h="16838" w:orient="portrait"/>
          <w:cols w:equalWidth="0" w:num="1">
            <w:col w:w="10219"/>
          </w:cols>
          <w:pgMar w:left="240" w:top="277" w:right="1440" w:bottom="1440" w:gutter="0" w:footer="0" w:header="0"/>
        </w:sectPr>
      </w:pPr>
    </w:p>
    <w:bookmarkStart w:id="17" w:name="page18"/>
    <w:bookmarkEnd w:id="17"/>
    <w:p>
      <w:pPr>
        <w:jc w:val="center"/>
        <w:ind w:left="620"/>
        <w:spacing w:after="0"/>
        <w:rPr>
          <w:sz w:val="20"/>
          <w:szCs w:val="20"/>
          <w:color w:val="auto"/>
        </w:rPr>
      </w:pPr>
      <w:r>
        <w:rPr>
          <w:rFonts w:ascii="Courier New" w:cs="Courier New" w:eastAsia="Courier New" w:hAnsi="Courier New"/>
          <w:sz w:val="17"/>
          <w:szCs w:val="17"/>
          <w:color w:val="auto"/>
        </w:rPr>
        <w:t>UNAUDITED</w:t>
      </w:r>
    </w:p>
    <w:p>
      <w:pPr>
        <w:spacing w:after="0" w:line="190"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7"/>
          <w:szCs w:val="17"/>
          <w:color w:val="auto"/>
        </w:rPr>
        <w:t>CHEMICAL BANKING CORPORATION and Subsidiaries</w:t>
      </w:r>
    </w:p>
    <w:p>
      <w:pPr>
        <w:spacing w:after="0" w:line="27"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7"/>
          <w:szCs w:val="17"/>
          <w:color w:val="auto"/>
        </w:rPr>
        <w:t>ALLOWANCE RELATED INFORMATION</w:t>
      </w:r>
    </w:p>
    <w:tbl>
      <w:tblPr>
        <w:tblLayout w:type="fixed"/>
        <w:tblInd w:w="0" w:type="dxa"/>
        <w:tblCellMar>
          <w:top w:w="0" w:type="dxa"/>
          <w:left w:w="0" w:type="dxa"/>
          <w:bottom w:w="0" w:type="dxa"/>
          <w:right w:w="0" w:type="dxa"/>
        </w:tblCellMar>
      </w:tblPr>
      <w:tr>
        <w:trPr>
          <w:trHeight w:val="280"/>
        </w:trPr>
        <w:tc>
          <w:tcPr>
            <w:tcW w:w="4620" w:type="dxa"/>
            <w:vAlign w:val="bottom"/>
          </w:tcPr>
          <w:p>
            <w:pPr>
              <w:spacing w:after="0"/>
              <w:rPr>
                <w:sz w:val="24"/>
                <w:szCs w:val="24"/>
                <w:color w:val="auto"/>
              </w:rPr>
            </w:pPr>
          </w:p>
        </w:tc>
        <w:tc>
          <w:tcPr>
            <w:tcW w:w="388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(in millions, except ratios)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Allowance for Losses</w:t>
            </w:r>
          </w:p>
        </w:tc>
        <w:tc>
          <w:tcPr>
            <w:tcW w:w="3880" w:type="dxa"/>
            <w:vAlign w:val="bottom"/>
            <w:gridSpan w:val="2"/>
          </w:tcPr>
          <w:p>
            <w:pPr>
              <w:jc w:val="right"/>
              <w:ind w:right="657"/>
              <w:spacing w:after="0"/>
              <w:rPr>
                <w:sz w:val="20"/>
                <w:szCs w:val="20"/>
                <w:color w:val="auto"/>
              </w:rPr>
            </w:pPr>
            <w:r>
              <w:rPr>
                <w:rFonts w:ascii="Courier New" w:cs="Courier New" w:eastAsia="Courier New" w:hAnsi="Courier New"/>
                <w:sz w:val="17"/>
                <w:szCs w:val="17"/>
                <w:color w:val="auto"/>
              </w:rPr>
              <w:t>Three Months Ended</w:t>
            </w:r>
          </w:p>
        </w:tc>
        <w:tc>
          <w:tcPr>
            <w:tcW w:w="2740" w:type="dxa"/>
            <w:vAlign w:val="bottom"/>
            <w:gridSpan w:val="3"/>
          </w:tcPr>
          <w:p>
            <w:pPr>
              <w:jc w:val="right"/>
              <w:ind w:right="217"/>
              <w:spacing w:after="0"/>
              <w:rPr>
                <w:sz w:val="20"/>
                <w:szCs w:val="20"/>
                <w:color w:val="auto"/>
              </w:rPr>
            </w:pPr>
            <w:r>
              <w:rPr>
                <w:rFonts w:ascii="Courier New" w:cs="Courier New" w:eastAsia="Courier New" w:hAnsi="Courier New"/>
                <w:sz w:val="17"/>
                <w:szCs w:val="17"/>
                <w:color w:val="auto"/>
              </w:rPr>
              <w:t>For The Year Ended</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3880" w:type="dxa"/>
            <w:vAlign w:val="bottom"/>
            <w:gridSpan w:val="2"/>
          </w:tcPr>
          <w:p>
            <w:pPr>
              <w:jc w:val="right"/>
              <w:ind w:right="957"/>
              <w:spacing w:after="0" w:line="191" w:lineRule="exact"/>
              <w:rPr>
                <w:sz w:val="20"/>
                <w:szCs w:val="20"/>
                <w:color w:val="auto"/>
              </w:rPr>
            </w:pPr>
            <w:r>
              <w:rPr>
                <w:rFonts w:ascii="Courier New" w:cs="Courier New" w:eastAsia="Courier New" w:hAnsi="Courier New"/>
                <w:sz w:val="17"/>
                <w:szCs w:val="17"/>
                <w:color w:val="auto"/>
              </w:rPr>
              <w:t>December 31,</w:t>
            </w:r>
          </w:p>
        </w:tc>
        <w:tc>
          <w:tcPr>
            <w:tcW w:w="274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3880" w:type="dxa"/>
            <w:vAlign w:val="bottom"/>
            <w:gridSpan w:val="2"/>
          </w:tcPr>
          <w:p>
            <w:pPr>
              <w:ind w:left="1240"/>
              <w:spacing w:after="0" w:line="191" w:lineRule="exact"/>
              <w:rPr>
                <w:sz w:val="20"/>
                <w:szCs w:val="20"/>
                <w:color w:val="auto"/>
              </w:rPr>
            </w:pPr>
            <w:r>
              <w:rPr>
                <w:rFonts w:ascii="Courier New" w:cs="Courier New" w:eastAsia="Courier New" w:hAnsi="Courier New"/>
                <w:sz w:val="17"/>
                <w:szCs w:val="17"/>
                <w:color w:val="auto"/>
              </w:rPr>
              <w:t>----------------------</w:t>
            </w:r>
          </w:p>
        </w:tc>
        <w:tc>
          <w:tcPr>
            <w:tcW w:w="27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240" w:type="dxa"/>
            <w:vAlign w:val="bottom"/>
          </w:tcPr>
          <w:p>
            <w:pPr>
              <w:ind w:left="1240"/>
              <w:spacing w:after="0" w:line="191" w:lineRule="exact"/>
              <w:rPr>
                <w:sz w:val="20"/>
                <w:szCs w:val="20"/>
                <w:color w:val="auto"/>
              </w:rPr>
            </w:pPr>
            <w:r>
              <w:rPr>
                <w:rFonts w:ascii="Courier New" w:cs="Courier New" w:eastAsia="Courier New" w:hAnsi="Courier New"/>
                <w:sz w:val="17"/>
                <w:szCs w:val="17"/>
                <w:color w:val="auto"/>
              </w:rPr>
              <w:t>1993</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1992</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1993</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2240" w:type="dxa"/>
            <w:vAlign w:val="bottom"/>
          </w:tcPr>
          <w:p>
            <w:pPr>
              <w:ind w:left="124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Non-LDC Allowance:</w:t>
            </w:r>
          </w:p>
        </w:tc>
        <w:tc>
          <w:tcPr>
            <w:tcW w:w="22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$2,429</w:t>
            </w:r>
          </w:p>
        </w:tc>
        <w:tc>
          <w:tcPr>
            <w:tcW w:w="1640" w:type="dxa"/>
            <w:vAlign w:val="bottom"/>
            <w:vMerge w:val="restart"/>
          </w:tcPr>
          <w:p>
            <w:pPr>
              <w:jc w:val="right"/>
              <w:ind w:right="457"/>
              <w:spacing w:after="0"/>
              <w:rPr>
                <w:sz w:val="20"/>
                <w:szCs w:val="20"/>
                <w:color w:val="auto"/>
              </w:rPr>
            </w:pPr>
            <w:r>
              <w:rPr>
                <w:rFonts w:ascii="Courier New" w:cs="Courier New" w:eastAsia="Courier New" w:hAnsi="Courier New"/>
                <w:sz w:val="17"/>
                <w:szCs w:val="17"/>
                <w:color w:val="auto"/>
              </w:rPr>
              <w:t>$ 2,210</w:t>
            </w:r>
          </w:p>
        </w:tc>
        <w:tc>
          <w:tcPr>
            <w:tcW w:w="11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$2,206</w:t>
            </w:r>
          </w:p>
        </w:tc>
        <w:tc>
          <w:tcPr>
            <w:tcW w:w="640" w:type="dxa"/>
            <w:vAlign w:val="bottom"/>
          </w:tcPr>
          <w:p>
            <w:pPr>
              <w:spacing w:after="0"/>
              <w:rPr>
                <w:sz w:val="24"/>
                <w:szCs w:val="24"/>
                <w:color w:val="auto"/>
              </w:rPr>
            </w:pPr>
          </w:p>
        </w:tc>
        <w:tc>
          <w:tcPr>
            <w:tcW w:w="10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$2,012</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at Beginning of Period</w:t>
            </w:r>
          </w:p>
        </w:tc>
        <w:tc>
          <w:tcPr>
            <w:tcW w:w="22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(a)</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286</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315</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1,259</w:t>
            </w:r>
          </w:p>
        </w:tc>
        <w:tc>
          <w:tcPr>
            <w:tcW w:w="640" w:type="dxa"/>
            <w:vAlign w:val="bottom"/>
            <w:vMerge w:val="continue"/>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1,365</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Charge-Offs</w:t>
            </w:r>
          </w:p>
        </w:tc>
        <w:tc>
          <w:tcPr>
            <w:tcW w:w="2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(286)</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(315)</w:t>
            </w:r>
          </w:p>
        </w:tc>
        <w:tc>
          <w:tcPr>
            <w:tcW w:w="17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(1,259) (a)</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(1,365)</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Transfer from LDC Allowance</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Allowance related to purchased assets</w:t>
            </w:r>
          </w:p>
        </w:tc>
        <w:tc>
          <w:tcPr>
            <w:tcW w:w="22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40" w:type="dxa"/>
            <w:vAlign w:val="bottom"/>
            <w:vMerge w:val="restart"/>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19</w:t>
            </w:r>
          </w:p>
        </w:tc>
        <w:tc>
          <w:tcPr>
            <w:tcW w:w="640" w:type="dxa"/>
            <w:vAlign w:val="bottom"/>
          </w:tcPr>
          <w:p>
            <w:pPr>
              <w:spacing w:after="0"/>
              <w:rPr>
                <w:sz w:val="16"/>
                <w:szCs w:val="16"/>
                <w:color w:val="auto"/>
              </w:rPr>
            </w:pPr>
          </w:p>
        </w:tc>
        <w:tc>
          <w:tcPr>
            <w:tcW w:w="10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First City Banks</w:t>
            </w:r>
          </w:p>
        </w:tc>
        <w:tc>
          <w:tcPr>
            <w:tcW w:w="22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2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6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191"/>
        </w:trPr>
        <w:tc>
          <w:tcPr>
            <w:tcW w:w="46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Balance at End of Period</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2,423</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2,206</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2,423</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2,206</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2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LDC Allowance:</w:t>
            </w:r>
          </w:p>
        </w:tc>
        <w:tc>
          <w:tcPr>
            <w:tcW w:w="22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543</w:t>
            </w:r>
          </w:p>
        </w:tc>
        <w:tc>
          <w:tcPr>
            <w:tcW w:w="1640" w:type="dxa"/>
            <w:vAlign w:val="bottom"/>
            <w:vMerge w:val="restart"/>
          </w:tcPr>
          <w:p>
            <w:pPr>
              <w:jc w:val="right"/>
              <w:ind w:right="457"/>
              <w:spacing w:after="0"/>
              <w:rPr>
                <w:sz w:val="20"/>
                <w:szCs w:val="20"/>
                <w:color w:val="auto"/>
              </w:rPr>
            </w:pPr>
            <w:r>
              <w:rPr>
                <w:rFonts w:ascii="Courier New" w:cs="Courier New" w:eastAsia="Courier New" w:hAnsi="Courier New"/>
                <w:sz w:val="17"/>
                <w:szCs w:val="17"/>
                <w:color w:val="auto"/>
              </w:rPr>
              <w:t>903</w:t>
            </w:r>
          </w:p>
        </w:tc>
        <w:tc>
          <w:tcPr>
            <w:tcW w:w="11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819</w:t>
            </w:r>
          </w:p>
        </w:tc>
        <w:tc>
          <w:tcPr>
            <w:tcW w:w="640" w:type="dxa"/>
            <w:vAlign w:val="bottom"/>
          </w:tcPr>
          <w:p>
            <w:pPr>
              <w:spacing w:after="0"/>
              <w:rPr>
                <w:sz w:val="24"/>
                <w:szCs w:val="24"/>
                <w:color w:val="auto"/>
              </w:rPr>
            </w:pPr>
          </w:p>
        </w:tc>
        <w:tc>
          <w:tcPr>
            <w:tcW w:w="10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1,263</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at Beginning of Period</w:t>
            </w:r>
          </w:p>
        </w:tc>
        <w:tc>
          <w:tcPr>
            <w:tcW w:w="22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(Charge-Offs) Recoveries</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60</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(61)</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w:t>
            </w:r>
          </w:p>
        </w:tc>
        <w:tc>
          <w:tcPr>
            <w:tcW w:w="6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Losses on Sales and Swaps</w:t>
            </w:r>
          </w:p>
        </w:tc>
        <w:tc>
          <w:tcPr>
            <w:tcW w:w="2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(152)</w:t>
            </w:r>
          </w:p>
        </w:tc>
        <w:tc>
          <w:tcPr>
            <w:tcW w:w="6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Transfer to Non-LDC Allowance</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w:t>
            </w:r>
          </w:p>
        </w:tc>
        <w:tc>
          <w:tcPr>
            <w:tcW w:w="6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191"/>
        </w:trPr>
        <w:tc>
          <w:tcPr>
            <w:tcW w:w="46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Balance at End of Period</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597</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819</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597</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819</w:t>
            </w:r>
          </w:p>
        </w:tc>
        <w:tc>
          <w:tcPr>
            <w:tcW w:w="0" w:type="dxa"/>
            <w:vAlign w:val="bottom"/>
          </w:tcPr>
          <w:p>
            <w:pPr>
              <w:spacing w:after="0"/>
              <w:rPr>
                <w:sz w:val="1"/>
                <w:szCs w:val="1"/>
                <w:color w:val="auto"/>
              </w:rPr>
            </w:pPr>
          </w:p>
        </w:tc>
      </w:tr>
      <w:tr>
        <w:trPr>
          <w:trHeight w:val="191"/>
        </w:trPr>
        <w:tc>
          <w:tcPr>
            <w:tcW w:w="4620" w:type="dxa"/>
            <w:vAlign w:val="bottom"/>
            <w:vMerge w:val="restart"/>
          </w:tcPr>
          <w:p>
            <w:pPr>
              <w:ind w:left="800"/>
              <w:spacing w:after="0"/>
              <w:rPr>
                <w:sz w:val="20"/>
                <w:szCs w:val="20"/>
                <w:color w:val="auto"/>
              </w:rPr>
            </w:pPr>
            <w:r>
              <w:rPr>
                <w:rFonts w:ascii="Courier New" w:cs="Courier New" w:eastAsia="Courier New" w:hAnsi="Courier New"/>
                <w:sz w:val="17"/>
                <w:szCs w:val="17"/>
                <w:color w:val="auto"/>
              </w:rPr>
              <w:t>Total Allowance for Losses</w:t>
            </w: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2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$3,020</w:t>
            </w:r>
          </w:p>
        </w:tc>
        <w:tc>
          <w:tcPr>
            <w:tcW w:w="16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$ 3,025</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$3,020</w:t>
            </w:r>
          </w:p>
        </w:tc>
        <w:tc>
          <w:tcPr>
            <w:tcW w:w="6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$3,025</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2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00" w:right="4560" w:hanging="499"/>
        <w:spacing w:after="0" w:line="274"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and non-LDC net charge-offs for the year-ended December 31, 1993, included $55 million related to the decision to accelerate the disposition of certain nonperforming residential mortgages.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Pr>
          <w:p>
            <w:pPr>
              <w:spacing w:after="0"/>
              <w:rPr>
                <w:sz w:val="20"/>
                <w:szCs w:val="20"/>
                <w:color w:val="auto"/>
              </w:rPr>
            </w:pPr>
            <w:r>
              <w:rPr>
                <w:rFonts w:ascii="Courier New" w:cs="Courier New" w:eastAsia="Courier New" w:hAnsi="Courier New"/>
                <w:sz w:val="17"/>
                <w:szCs w:val="17"/>
                <w:color w:val="auto"/>
              </w:rPr>
              <w:t>Allowance Coverage Ratios (at year-end):</w:t>
            </w:r>
          </w:p>
        </w:tc>
        <w:tc>
          <w:tcPr>
            <w:tcW w:w="3180" w:type="dxa"/>
            <w:vAlign w:val="bottom"/>
            <w:vMerge w:val="restart"/>
          </w:tcPr>
          <w:p>
            <w:pPr>
              <w:jc w:val="right"/>
              <w:ind w:right="577"/>
              <w:spacing w:after="0"/>
              <w:rPr>
                <w:sz w:val="20"/>
                <w:szCs w:val="20"/>
                <w:color w:val="auto"/>
              </w:rPr>
            </w:pPr>
            <w:r>
              <w:rPr>
                <w:rFonts w:ascii="Courier New" w:cs="Courier New" w:eastAsia="Courier New" w:hAnsi="Courier New"/>
                <w:sz w:val="17"/>
                <w:szCs w:val="17"/>
                <w:color w:val="auto"/>
              </w:rPr>
              <w:t>4.0%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3.7%</w:t>
            </w:r>
          </w:p>
        </w:tc>
        <w:tc>
          <w:tcPr>
            <w:tcW w:w="0" w:type="dxa"/>
            <w:vAlign w:val="bottom"/>
          </w:tcPr>
          <w:p>
            <w:pPr>
              <w:spacing w:after="0"/>
              <w:rPr>
                <w:sz w:val="1"/>
                <w:szCs w:val="1"/>
                <w:color w:val="auto"/>
              </w:rPr>
            </w:pPr>
          </w:p>
        </w:tc>
      </w:tr>
      <w:tr>
        <w:trPr>
          <w:trHeight w:val="280"/>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Allowance to Total Loans</w:t>
            </w:r>
          </w:p>
        </w:tc>
        <w:tc>
          <w:tcPr>
            <w:tcW w:w="31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Allowance to Nonperforming Loans</w:t>
            </w:r>
          </w:p>
        </w:tc>
        <w:tc>
          <w:tcPr>
            <w:tcW w:w="318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117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0" w:type="dxa"/>
            <w:vAlign w:val="bottom"/>
          </w:tcPr>
          <w:p>
            <w:pPr>
              <w:spacing w:after="0"/>
              <w:rPr>
                <w:sz w:val="1"/>
                <w:szCs w:val="1"/>
                <w:color w:val="auto"/>
              </w:rPr>
            </w:pPr>
          </w:p>
        </w:tc>
      </w:tr>
      <w:tr>
        <w:trPr>
          <w:trHeight w:val="383"/>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Non-LDC Allowance to Non-LDC Nonperforming Loans</w:t>
            </w:r>
          </w:p>
        </w:tc>
        <w:tc>
          <w:tcPr>
            <w:tcW w:w="318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123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c>
          <w:tcPr>
            <w:tcW w:w="0" w:type="dxa"/>
            <w:vAlign w:val="bottom"/>
          </w:tcPr>
          <w:p>
            <w:pPr>
              <w:spacing w:after="0"/>
              <w:rPr>
                <w:sz w:val="1"/>
                <w:szCs w:val="1"/>
                <w:color w:val="auto"/>
              </w:rPr>
            </w:pPr>
          </w:p>
        </w:tc>
      </w:tr>
      <w:tr>
        <w:trPr>
          <w:trHeight w:val="383"/>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LDC Allowance to LDC Nonperforming Loans</w:t>
            </w:r>
          </w:p>
        </w:tc>
        <w:tc>
          <w:tcPr>
            <w:tcW w:w="318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96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0" w:type="dxa"/>
            <w:vAlign w:val="bottom"/>
          </w:tcPr>
          <w:p>
            <w:pPr>
              <w:spacing w:after="0"/>
              <w:rPr>
                <w:sz w:val="1"/>
                <w:szCs w:val="1"/>
                <w:color w:val="auto"/>
              </w:rPr>
            </w:pPr>
          </w:p>
        </w:tc>
      </w:tr>
      <w:tr>
        <w:trPr>
          <w:trHeight w:val="294"/>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LDC Allowance to:</w:t>
            </w:r>
          </w:p>
        </w:tc>
        <w:tc>
          <w:tcPr>
            <w:tcW w:w="3180" w:type="dxa"/>
            <w:vAlign w:val="bottom"/>
            <w:vMerge w:val="restart"/>
          </w:tcPr>
          <w:p>
            <w:pPr>
              <w:jc w:val="right"/>
              <w:ind w:right="677"/>
              <w:spacing w:after="0"/>
              <w:rPr>
                <w:sz w:val="20"/>
                <w:szCs w:val="20"/>
                <w:color w:val="auto"/>
              </w:rPr>
            </w:pPr>
            <w:r>
              <w:rPr>
                <w:rFonts w:ascii="Courier New" w:cs="Courier New" w:eastAsia="Courier New" w:hAnsi="Courier New"/>
                <w:sz w:val="17"/>
                <w:szCs w:val="17"/>
                <w:color w:val="auto"/>
              </w:rPr>
              <w:t>26</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24</w:t>
            </w:r>
          </w:p>
        </w:tc>
        <w:tc>
          <w:tcPr>
            <w:tcW w:w="0" w:type="dxa"/>
            <w:vAlign w:val="bottom"/>
          </w:tcPr>
          <w:p>
            <w:pPr>
              <w:spacing w:after="0"/>
              <w:rPr>
                <w:sz w:val="1"/>
                <w:szCs w:val="1"/>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Medium- and Long-Term LDC Outstandings</w:t>
            </w:r>
          </w:p>
        </w:tc>
        <w:tc>
          <w:tcPr>
            <w:tcW w:w="31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Total LDC Outstandings</w:t>
            </w:r>
          </w:p>
        </w:tc>
        <w:tc>
          <w:tcPr>
            <w:tcW w:w="318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17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94"/>
        </w:trPr>
        <w:tc>
          <w:tcPr>
            <w:tcW w:w="7120" w:type="dxa"/>
            <w:vAlign w:val="bottom"/>
          </w:tcPr>
          <w:p>
            <w:pPr>
              <w:ind w:left="200"/>
              <w:spacing w:after="0"/>
              <w:rPr>
                <w:sz w:val="20"/>
                <w:szCs w:val="20"/>
                <w:color w:val="auto"/>
              </w:rPr>
            </w:pPr>
            <w:r>
              <w:rPr>
                <w:rFonts w:ascii="Courier New" w:cs="Courier New" w:eastAsia="Courier New" w:hAnsi="Courier New"/>
                <w:sz w:val="17"/>
                <w:szCs w:val="17"/>
                <w:color w:val="auto"/>
              </w:rPr>
              <w:t>LDC Allowance Adjusted for Prior</w:t>
            </w:r>
          </w:p>
        </w:tc>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Charge-Offs with Claims Retained to</w:t>
            </w:r>
          </w:p>
        </w:tc>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Medium- and Long-Term LDC Outstandings</w:t>
            </w:r>
          </w:p>
        </w:tc>
        <w:tc>
          <w:tcPr>
            <w:tcW w:w="3180" w:type="dxa"/>
            <w:vAlign w:val="bottom"/>
            <w:vMerge w:val="restart"/>
          </w:tcPr>
          <w:p>
            <w:pPr>
              <w:jc w:val="right"/>
              <w:ind w:right="677"/>
              <w:spacing w:after="0"/>
              <w:rPr>
                <w:sz w:val="20"/>
                <w:szCs w:val="20"/>
                <w:color w:val="auto"/>
              </w:rPr>
            </w:pPr>
            <w:r>
              <w:rPr>
                <w:rFonts w:ascii="Courier New" w:cs="Courier New" w:eastAsia="Courier New" w:hAnsi="Courier New"/>
                <w:sz w:val="17"/>
                <w:szCs w:val="17"/>
                <w:color w:val="auto"/>
              </w:rPr>
              <w:t>54</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56</w:t>
            </w:r>
          </w:p>
        </w:tc>
        <w:tc>
          <w:tcPr>
            <w:tcW w:w="0" w:type="dxa"/>
            <w:vAlign w:val="bottom"/>
          </w:tcPr>
          <w:p>
            <w:pPr>
              <w:spacing w:after="0"/>
              <w:rPr>
                <w:sz w:val="1"/>
                <w:szCs w:val="1"/>
                <w:color w:val="auto"/>
              </w:rPr>
            </w:pPr>
          </w:p>
        </w:tc>
      </w:tr>
      <w:tr>
        <w:trPr>
          <w:trHeight w:val="280"/>
        </w:trPr>
        <w:tc>
          <w:tcPr>
            <w:tcW w:w="7120" w:type="dxa"/>
            <w:vAlign w:val="bottom"/>
          </w:tcPr>
          <w:p>
            <w:pPr>
              <w:ind w:left="400"/>
              <w:spacing w:after="0"/>
              <w:rPr>
                <w:sz w:val="20"/>
                <w:szCs w:val="20"/>
                <w:color w:val="auto"/>
              </w:rPr>
            </w:pPr>
            <w:r>
              <w:rPr>
                <w:rFonts w:ascii="Courier New" w:cs="Courier New" w:eastAsia="Courier New" w:hAnsi="Courier New"/>
                <w:sz w:val="17"/>
                <w:szCs w:val="17"/>
                <w:color w:val="auto"/>
              </w:rPr>
              <w:t>and Claims Retained</w:t>
            </w:r>
          </w:p>
        </w:tc>
        <w:tc>
          <w:tcPr>
            <w:tcW w:w="31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440" w:top="660" w:right="1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18</w:t>
      </w: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UNAUDITED</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gridSpan w:val="6"/>
          </w:tcPr>
          <w:p>
            <w:pPr>
              <w:ind w:left="300"/>
              <w:spacing w:after="0"/>
              <w:rPr>
                <w:sz w:val="20"/>
                <w:szCs w:val="20"/>
                <w:color w:val="auto"/>
              </w:rPr>
            </w:pPr>
            <w:r>
              <w:rPr>
                <w:rFonts w:ascii="Courier New" w:cs="Courier New" w:eastAsia="Courier New" w:hAnsi="Courier New"/>
                <w:sz w:val="17"/>
                <w:szCs w:val="17"/>
                <w:color w:val="auto"/>
              </w:rPr>
              <w:t>CHEMICAL BANKING CORPORATION and Subsidiaries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6260" w:type="dxa"/>
            <w:vAlign w:val="bottom"/>
            <w:gridSpan w:val="7"/>
          </w:tcPr>
          <w:p>
            <w:pPr>
              <w:jc w:val="right"/>
              <w:ind w:right="117"/>
              <w:spacing w:after="0" w:line="191" w:lineRule="exact"/>
              <w:rPr>
                <w:sz w:val="20"/>
                <w:szCs w:val="20"/>
                <w:color w:val="auto"/>
              </w:rPr>
            </w:pPr>
            <w:r>
              <w:rPr>
                <w:rFonts w:ascii="Courier New" w:cs="Courier New" w:eastAsia="Courier New" w:hAnsi="Courier New"/>
                <w:sz w:val="17"/>
                <w:szCs w:val="17"/>
                <w:color w:val="auto"/>
              </w:rPr>
              <w:t>Consolidated Net Interest Income and Average Balances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gridSpan w:val="6"/>
          </w:tcPr>
          <w:p>
            <w:pPr>
              <w:jc w:val="right"/>
              <w:ind w:right="117"/>
              <w:spacing w:after="0"/>
              <w:rPr>
                <w:sz w:val="20"/>
                <w:szCs w:val="20"/>
                <w:color w:val="auto"/>
              </w:rPr>
            </w:pPr>
            <w:r>
              <w:rPr>
                <w:rFonts w:ascii="Courier New" w:cs="Courier New" w:eastAsia="Courier New" w:hAnsi="Courier New"/>
                <w:sz w:val="17"/>
                <w:szCs w:val="17"/>
                <w:color w:val="auto"/>
                <w:w w:val="96"/>
              </w:rPr>
              <w:t>(Taxable-Equivalent Interest and Rates; in millions)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5"/>
              </w:rPr>
              <w:t>Three Months Ended</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3"/>
          </w:tcPr>
          <w:p>
            <w:pPr>
              <w:jc w:val="right"/>
              <w:ind w:right="817"/>
              <w:spacing w:after="0"/>
              <w:rPr>
                <w:sz w:val="20"/>
                <w:szCs w:val="20"/>
                <w:color w:val="auto"/>
              </w:rPr>
            </w:pPr>
            <w:r>
              <w:rPr>
                <w:rFonts w:ascii="Courier New" w:cs="Courier New" w:eastAsia="Courier New" w:hAnsi="Courier New"/>
                <w:sz w:val="17"/>
                <w:szCs w:val="17"/>
                <w:color w:val="auto"/>
                <w:w w:val="95"/>
              </w:rPr>
              <w:t>Three Months Ended</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December 31, 1993</w:t>
            </w: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80" w:type="dxa"/>
            <w:vAlign w:val="bottom"/>
            <w:gridSpan w:val="3"/>
          </w:tcPr>
          <w:p>
            <w:pPr>
              <w:jc w:val="right"/>
              <w:ind w:right="817"/>
              <w:spacing w:after="0" w:line="191" w:lineRule="exact"/>
              <w:rPr>
                <w:sz w:val="20"/>
                <w:szCs w:val="20"/>
                <w:color w:val="auto"/>
              </w:rPr>
            </w:pPr>
            <w:r>
              <w:rPr>
                <w:rFonts w:ascii="Courier New" w:cs="Courier New" w:eastAsia="Courier New" w:hAnsi="Courier New"/>
                <w:sz w:val="17"/>
                <w:szCs w:val="17"/>
                <w:color w:val="auto"/>
              </w:rPr>
              <w:t>December 31, 1992</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3940" w:type="dxa"/>
            <w:vAlign w:val="bottom"/>
            <w:gridSpan w:val="4"/>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36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Average</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Rate</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Average</w:t>
            </w:r>
          </w:p>
        </w:tc>
        <w:tc>
          <w:tcPr>
            <w:tcW w:w="138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Interest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Rate</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Balance</w:t>
            </w:r>
          </w:p>
        </w:tc>
        <w:tc>
          <w:tcPr>
            <w:tcW w:w="304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rPr>
              <w:t>Interest (Annualized)</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Balance</w:t>
            </w:r>
          </w:p>
        </w:tc>
        <w:tc>
          <w:tcPr>
            <w:tcW w:w="1380" w:type="dxa"/>
            <w:vAlign w:val="bottom"/>
            <w:gridSpan w:val="2"/>
            <w:vMerge w:val="continue"/>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(Annualized)</w:t>
            </w: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3"/>
          </w:tcPr>
          <w:p>
            <w:pPr>
              <w:jc w:val="right"/>
              <w:ind w:right="77"/>
              <w:spacing w:after="0"/>
              <w:rPr>
                <w:sz w:val="20"/>
                <w:szCs w:val="20"/>
                <w:color w:val="auto"/>
              </w:rPr>
            </w:pPr>
            <w:r>
              <w:rPr>
                <w:rFonts w:ascii="Courier New" w:cs="Courier New" w:eastAsia="Courier New" w:hAnsi="Courier New"/>
                <w:sz w:val="17"/>
                <w:szCs w:val="17"/>
                <w:color w:val="auto"/>
              </w:rPr>
              <w:t>-------- ------------</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4,128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67</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6.52%</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3,746</w:t>
            </w: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69</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7.33%</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Federal Funds Sold and</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Securities Purchased Under</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11,491</w:t>
            </w:r>
          </w:p>
        </w:tc>
        <w:tc>
          <w:tcPr>
            <w:tcW w:w="1000" w:type="dxa"/>
            <w:vAlign w:val="bottom"/>
          </w:tcPr>
          <w:p>
            <w:pPr>
              <w:spacing w:after="0"/>
              <w:rPr>
                <w:sz w:val="16"/>
                <w:szCs w:val="16"/>
                <w:color w:val="auto"/>
              </w:rPr>
            </w:pP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94</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3.23%</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8,669</w:t>
            </w:r>
          </w:p>
        </w:tc>
        <w:tc>
          <w:tcPr>
            <w:tcW w:w="700" w:type="dxa"/>
            <w:vAlign w:val="bottom"/>
          </w:tcPr>
          <w:p>
            <w:pPr>
              <w:spacing w:after="0"/>
              <w:rPr>
                <w:sz w:val="16"/>
                <w:szCs w:val="16"/>
                <w:color w:val="auto"/>
              </w:rPr>
            </w:pP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77</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3.57%</w:t>
            </w: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Resale Agreements</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10,305</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135</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5.23%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5,350</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6.88%</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23,727</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430</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7.19%</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23,141</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450</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7.75%</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76,063</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0"/>
              </w:rPr>
              <w:t>1,354</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7.08%</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81,458</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1,498</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7.31%</w:t>
            </w:r>
          </w:p>
        </w:tc>
        <w:tc>
          <w:tcPr>
            <w:tcW w:w="0" w:type="dxa"/>
            <w:vAlign w:val="bottom"/>
          </w:tcPr>
          <w:p>
            <w:pPr>
              <w:spacing w:after="0"/>
              <w:rPr>
                <w:sz w:val="1"/>
                <w:szCs w:val="1"/>
                <w:color w:val="auto"/>
              </w:rPr>
            </w:pPr>
          </w:p>
        </w:tc>
      </w:tr>
      <w:tr>
        <w:trPr>
          <w:trHeight w:val="191"/>
        </w:trPr>
        <w:tc>
          <w:tcPr>
            <w:tcW w:w="32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Total Interest-Earning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6.58%</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7.11%</w:t>
            </w:r>
          </w:p>
        </w:tc>
        <w:tc>
          <w:tcPr>
            <w:tcW w:w="0" w:type="dxa"/>
            <w:vAlign w:val="bottom"/>
          </w:tcPr>
          <w:p>
            <w:pPr>
              <w:spacing w:after="0"/>
              <w:rPr>
                <w:sz w:val="1"/>
                <w:szCs w:val="1"/>
                <w:color w:val="auto"/>
              </w:rPr>
            </w:pPr>
          </w:p>
        </w:tc>
      </w:tr>
      <w:tr>
        <w:trPr>
          <w:trHeight w:val="280"/>
        </w:trPr>
        <w:tc>
          <w:tcPr>
            <w:tcW w:w="328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125,714</w:t>
            </w:r>
          </w:p>
        </w:tc>
        <w:tc>
          <w:tcPr>
            <w:tcW w:w="1000" w:type="dxa"/>
            <w:vAlign w:val="bottom"/>
          </w:tcPr>
          <w:p>
            <w:pPr>
              <w:spacing w:after="0"/>
              <w:rPr>
                <w:sz w:val="24"/>
                <w:szCs w:val="24"/>
                <w:color w:val="auto"/>
              </w:rPr>
            </w:pPr>
          </w:p>
        </w:tc>
        <w:tc>
          <w:tcPr>
            <w:tcW w:w="108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0"/>
              </w:rPr>
              <w:t>2,080</w:t>
            </w:r>
          </w:p>
        </w:tc>
        <w:tc>
          <w:tcPr>
            <w:tcW w:w="960" w:type="dxa"/>
            <w:vAlign w:val="bottom"/>
            <w:vMerge w:val="continue"/>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122,364</w:t>
            </w:r>
          </w:p>
        </w:tc>
        <w:tc>
          <w:tcPr>
            <w:tcW w:w="70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0"/>
              </w:rPr>
              <w:t>2,186</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Allowance for Losses</w:t>
            </w:r>
          </w:p>
        </w:tc>
        <w:tc>
          <w:tcPr>
            <w:tcW w:w="1900" w:type="dxa"/>
            <w:vAlign w:val="bottom"/>
            <w:gridSpan w:val="2"/>
          </w:tcPr>
          <w:p>
            <w:pPr>
              <w:jc w:val="right"/>
              <w:ind w:right="817"/>
              <w:spacing w:after="0"/>
              <w:rPr>
                <w:sz w:val="20"/>
                <w:szCs w:val="20"/>
                <w:color w:val="auto"/>
              </w:rPr>
            </w:pPr>
            <w:r>
              <w:rPr>
                <w:rFonts w:ascii="Courier New" w:cs="Courier New" w:eastAsia="Courier New" w:hAnsi="Courier New"/>
                <w:sz w:val="17"/>
                <w:szCs w:val="17"/>
                <w:color w:val="auto"/>
              </w:rPr>
              <w:t>(3,050)</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(3,227)</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Due from Banks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8,886</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8,563</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15,320</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12,953</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Total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$146,870</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$140,653</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$ 46,986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299</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2.52%</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$ 44,381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307</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2.75%</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Domestic Retail Time Deposits</w:t>
            </w:r>
          </w:p>
        </w:tc>
        <w:tc>
          <w:tcPr>
            <w:tcW w:w="9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Domestic Negotiable</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Certificates of Deposit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5,756</w:t>
            </w:r>
          </w:p>
        </w:tc>
        <w:tc>
          <w:tcPr>
            <w:tcW w:w="1000" w:type="dxa"/>
            <w:vAlign w:val="bottom"/>
          </w:tcPr>
          <w:p>
            <w:pPr>
              <w:spacing w:after="0"/>
              <w:rPr>
                <w:sz w:val="16"/>
                <w:szCs w:val="16"/>
                <w:color w:val="auto"/>
              </w:rPr>
            </w:pP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45</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3.07%</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7,424</w:t>
            </w:r>
          </w:p>
        </w:tc>
        <w:tc>
          <w:tcPr>
            <w:tcW w:w="700" w:type="dxa"/>
            <w:vAlign w:val="bottom"/>
          </w:tcPr>
          <w:p>
            <w:pPr>
              <w:spacing w:after="0"/>
              <w:rPr>
                <w:sz w:val="16"/>
                <w:szCs w:val="16"/>
                <w:color w:val="auto"/>
              </w:rPr>
            </w:pP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58</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3.09%</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Other Deposits</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in Foreign Offices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21,556</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198</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3.69%</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22,606</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206</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3.65%</w:t>
            </w: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Time &amp; Savings Deposits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2.90%</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3.06%</w:t>
            </w: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74,298</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542</w:t>
            </w:r>
          </w:p>
        </w:tc>
        <w:tc>
          <w:tcPr>
            <w:tcW w:w="960" w:type="dxa"/>
            <w:vAlign w:val="bottom"/>
            <w:vMerge w:val="continue"/>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74,411</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571</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w w:val="99"/>
              </w:rPr>
              <w:t>Short-Term and Other Borrowings: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ind w:left="200"/>
              <w:spacing w:after="0"/>
              <w:rPr>
                <w:sz w:val="20"/>
                <w:szCs w:val="20"/>
                <w:color w:val="auto"/>
              </w:rPr>
            </w:pPr>
            <w:r>
              <w:rPr>
                <w:rFonts w:ascii="Courier New" w:cs="Courier New" w:eastAsia="Courier New" w:hAnsi="Courier New"/>
                <w:sz w:val="17"/>
                <w:szCs w:val="17"/>
                <w:color w:val="auto"/>
              </w:rPr>
              <w:t>Federal Funds Purchased and</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Securities Sold Under</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14,191</w:t>
            </w:r>
          </w:p>
        </w:tc>
        <w:tc>
          <w:tcPr>
            <w:tcW w:w="1000" w:type="dxa"/>
            <w:vAlign w:val="bottom"/>
          </w:tcPr>
          <w:p>
            <w:pPr>
              <w:spacing w:after="0"/>
              <w:rPr>
                <w:sz w:val="16"/>
                <w:szCs w:val="16"/>
                <w:color w:val="auto"/>
              </w:rPr>
            </w:pP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100</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2.79%</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15,412</w:t>
            </w:r>
          </w:p>
        </w:tc>
        <w:tc>
          <w:tcPr>
            <w:tcW w:w="700" w:type="dxa"/>
            <w:vAlign w:val="bottom"/>
          </w:tcPr>
          <w:p>
            <w:pPr>
              <w:spacing w:after="0"/>
              <w:rPr>
                <w:sz w:val="16"/>
                <w:szCs w:val="16"/>
                <w:color w:val="auto"/>
              </w:rPr>
            </w:pP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121</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3.16%</w:t>
            </w:r>
          </w:p>
        </w:tc>
        <w:tc>
          <w:tcPr>
            <w:tcW w:w="0" w:type="dxa"/>
            <w:vAlign w:val="bottom"/>
          </w:tcPr>
          <w:p>
            <w:pPr>
              <w:spacing w:after="0"/>
              <w:rPr>
                <w:sz w:val="1"/>
                <w:szCs w:val="1"/>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Repurchase Agreements</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Commercial Paper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2,363</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3.17%</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2,385</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3.59%</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7,052</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131</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7.37%</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5,078</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9.60%</w:t>
            </w:r>
          </w:p>
        </w:tc>
        <w:tc>
          <w:tcPr>
            <w:tcW w:w="0" w:type="dxa"/>
            <w:vAlign w:val="bottom"/>
          </w:tcPr>
          <w:p>
            <w:pPr>
              <w:spacing w:after="0"/>
              <w:rPr>
                <w:sz w:val="1"/>
                <w:szCs w:val="1"/>
                <w:color w:val="auto"/>
              </w:rPr>
            </w:pPr>
          </w:p>
        </w:tc>
      </w:tr>
      <w:tr>
        <w:trPr>
          <w:trHeight w:val="280"/>
        </w:trPr>
        <w:tc>
          <w:tcPr>
            <w:tcW w:w="32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Total Short-Term and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23,606</w:t>
            </w:r>
          </w:p>
        </w:tc>
        <w:tc>
          <w:tcPr>
            <w:tcW w:w="1000" w:type="dxa"/>
            <w:vAlign w:val="bottom"/>
          </w:tcPr>
          <w:p>
            <w:pPr>
              <w:spacing w:after="0"/>
              <w:rPr>
                <w:sz w:val="8"/>
                <w:szCs w:val="8"/>
                <w:color w:val="auto"/>
              </w:rPr>
            </w:pP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249</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4.20%</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22,875</w:t>
            </w:r>
          </w:p>
        </w:tc>
        <w:tc>
          <w:tcPr>
            <w:tcW w:w="700" w:type="dxa"/>
            <w:vAlign w:val="bottom"/>
          </w:tcPr>
          <w:p>
            <w:pPr>
              <w:spacing w:after="0"/>
              <w:rPr>
                <w:sz w:val="8"/>
                <w:szCs w:val="8"/>
                <w:color w:val="auto"/>
              </w:rPr>
            </w:pP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263</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4.63%</w:t>
            </w:r>
          </w:p>
        </w:tc>
        <w:tc>
          <w:tcPr>
            <w:tcW w:w="0" w:type="dxa"/>
            <w:vAlign w:val="bottom"/>
          </w:tcPr>
          <w:p>
            <w:pPr>
              <w:spacing w:after="0"/>
              <w:rPr>
                <w:sz w:val="1"/>
                <w:szCs w:val="1"/>
                <w:color w:val="auto"/>
              </w:rPr>
            </w:pPr>
          </w:p>
        </w:tc>
      </w:tr>
      <w:tr>
        <w:trPr>
          <w:trHeight w:val="191"/>
        </w:trPr>
        <w:tc>
          <w:tcPr>
            <w:tcW w:w="3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 Borrowings</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8,295</w:t>
            </w:r>
          </w:p>
        </w:tc>
        <w:tc>
          <w:tcPr>
            <w:tcW w:w="1000" w:type="dxa"/>
            <w:vAlign w:val="bottom"/>
          </w:tcPr>
          <w:p>
            <w:pPr>
              <w:spacing w:after="0"/>
              <w:rPr>
                <w:sz w:val="16"/>
                <w:szCs w:val="16"/>
                <w:color w:val="auto"/>
              </w:rPr>
            </w:pPr>
          </w:p>
        </w:tc>
        <w:tc>
          <w:tcPr>
            <w:tcW w:w="10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134</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6.43%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6,707</w:t>
            </w:r>
          </w:p>
        </w:tc>
        <w:tc>
          <w:tcPr>
            <w:tcW w:w="7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119</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7.11%</w:t>
            </w:r>
          </w:p>
        </w:tc>
        <w:tc>
          <w:tcPr>
            <w:tcW w:w="0" w:type="dxa"/>
            <w:vAlign w:val="bottom"/>
          </w:tcPr>
          <w:p>
            <w:pPr>
              <w:spacing w:after="0"/>
              <w:rPr>
                <w:sz w:val="1"/>
                <w:szCs w:val="1"/>
                <w:color w:val="auto"/>
              </w:rPr>
            </w:pPr>
          </w:p>
        </w:tc>
      </w:tr>
      <w:tr>
        <w:trPr>
          <w:trHeight w:val="280"/>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106,199</w:t>
            </w:r>
          </w:p>
        </w:tc>
        <w:tc>
          <w:tcPr>
            <w:tcW w:w="1000" w:type="dxa"/>
            <w:vAlign w:val="bottom"/>
          </w:tcPr>
          <w:p>
            <w:pPr>
              <w:spacing w:after="0"/>
              <w:rPr>
                <w:sz w:val="8"/>
                <w:szCs w:val="8"/>
                <w:color w:val="auto"/>
              </w:rPr>
            </w:pPr>
          </w:p>
        </w:tc>
        <w:tc>
          <w:tcPr>
            <w:tcW w:w="1080" w:type="dxa"/>
            <w:vAlign w:val="bottom"/>
            <w:vMerge w:val="restart"/>
          </w:tcPr>
          <w:p>
            <w:pPr>
              <w:jc w:val="right"/>
              <w:ind w:right="517"/>
              <w:spacing w:after="0"/>
              <w:rPr>
                <w:sz w:val="20"/>
                <w:szCs w:val="20"/>
                <w:color w:val="auto"/>
              </w:rPr>
            </w:pPr>
            <w:r>
              <w:rPr>
                <w:rFonts w:ascii="Courier New" w:cs="Courier New" w:eastAsia="Courier New" w:hAnsi="Courier New"/>
                <w:sz w:val="17"/>
                <w:szCs w:val="17"/>
                <w:color w:val="auto"/>
              </w:rPr>
              <w:t>925</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3.47%</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103,993</w:t>
            </w:r>
          </w:p>
        </w:tc>
        <w:tc>
          <w:tcPr>
            <w:tcW w:w="700" w:type="dxa"/>
            <w:vAlign w:val="bottom"/>
          </w:tcPr>
          <w:p>
            <w:pPr>
              <w:spacing w:after="0"/>
              <w:rPr>
                <w:sz w:val="8"/>
                <w:szCs w:val="8"/>
                <w:color w:val="auto"/>
              </w:rPr>
            </w:pPr>
          </w:p>
        </w:tc>
        <w:tc>
          <w:tcPr>
            <w:tcW w:w="6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953</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3.67%</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Bearing Liabilities</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Demand Deposits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22,851</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20,707</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Liabilities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6,788</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6,209</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Liabilities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135,838</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130,909</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1,852</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1,839</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Preferred Stock</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Stockholders' Equity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9,180</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7,905</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Stockholders' Equity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11,032</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9,744</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Liabilities and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$146,870</w:t>
            </w: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$140,653</w:t>
            </w: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SPREAD ON INTEREST-BEARING</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3.11%</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3.44%</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LIABILITIES</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 AND NET</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YIELD ON INTEREST-EARNING</w:t>
            </w:r>
          </w:p>
        </w:tc>
        <w:tc>
          <w:tcPr>
            <w:tcW w:w="900" w:type="dxa"/>
            <w:vAlign w:val="bottom"/>
          </w:tcPr>
          <w:p>
            <w:pPr>
              <w:spacing w:after="0"/>
              <w:rPr>
                <w:sz w:val="16"/>
                <w:szCs w:val="16"/>
                <w:color w:val="auto"/>
              </w:rPr>
            </w:pPr>
          </w:p>
        </w:tc>
        <w:tc>
          <w:tcPr>
            <w:tcW w:w="2080" w:type="dxa"/>
            <w:vAlign w:val="bottom"/>
            <w:gridSpan w:val="2"/>
            <w:vMerge w:val="restart"/>
          </w:tcPr>
          <w:p>
            <w:pPr>
              <w:jc w:val="right"/>
              <w:ind w:right="517"/>
              <w:spacing w:after="0"/>
              <w:rPr>
                <w:sz w:val="20"/>
                <w:szCs w:val="20"/>
                <w:color w:val="auto"/>
              </w:rPr>
            </w:pPr>
            <w:r>
              <w:rPr>
                <w:rFonts w:ascii="Courier New" w:cs="Courier New" w:eastAsia="Courier New" w:hAnsi="Courier New"/>
                <w:sz w:val="17"/>
                <w:szCs w:val="17"/>
                <w:color w:val="auto"/>
              </w:rPr>
              <w:t>$1,155</w:t>
            </w:r>
          </w:p>
        </w:tc>
        <w:tc>
          <w:tcPr>
            <w:tcW w:w="9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3.65%</w:t>
            </w:r>
          </w:p>
        </w:tc>
        <w:tc>
          <w:tcPr>
            <w:tcW w:w="940" w:type="dxa"/>
            <w:vAlign w:val="bottom"/>
          </w:tcPr>
          <w:p>
            <w:pPr>
              <w:spacing w:after="0"/>
              <w:rPr>
                <w:sz w:val="16"/>
                <w:szCs w:val="16"/>
                <w:color w:val="auto"/>
              </w:rPr>
            </w:pPr>
          </w:p>
        </w:tc>
        <w:tc>
          <w:tcPr>
            <w:tcW w:w="1380" w:type="dxa"/>
            <w:vAlign w:val="bottom"/>
            <w:gridSpan w:val="2"/>
            <w:vMerge w:val="restart"/>
          </w:tcPr>
          <w:p>
            <w:pPr>
              <w:jc w:val="right"/>
              <w:ind w:right="117"/>
              <w:spacing w:after="0"/>
              <w:rPr>
                <w:sz w:val="20"/>
                <w:szCs w:val="20"/>
                <w:color w:val="auto"/>
              </w:rPr>
            </w:pPr>
            <w:r>
              <w:rPr>
                <w:rFonts w:ascii="Courier New" w:cs="Courier New" w:eastAsia="Courier New" w:hAnsi="Courier New"/>
                <w:sz w:val="17"/>
                <w:szCs w:val="17"/>
                <w:color w:val="auto"/>
              </w:rPr>
              <w:t>$1,233</w:t>
            </w: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4.01%</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ASSETS</w:t>
            </w:r>
          </w:p>
        </w:tc>
        <w:tc>
          <w:tcPr>
            <w:tcW w:w="9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2"/>
          </w:tcPr>
          <w:p>
            <w:pPr>
              <w:jc w:val="right"/>
              <w:ind w:right="517"/>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24"/>
                <w:szCs w:val="24"/>
                <w:color w:val="auto"/>
              </w:rPr>
            </w:pP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040"/>
          </w:cols>
          <w:pgMar w:left="240" w:top="277" w:right="619" w:bottom="33"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7"/>
                <w:szCs w:val="17"/>
                <w:color w:val="auto"/>
              </w:rPr>
              <w:t>UNAUDITED</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gridSpan w:val="4"/>
          </w:tcPr>
          <w:p>
            <w:pPr>
              <w:jc w:val="right"/>
              <w:ind w:right="397"/>
              <w:spacing w:after="0"/>
              <w:rPr>
                <w:sz w:val="20"/>
                <w:szCs w:val="20"/>
                <w:color w:val="auto"/>
              </w:rPr>
            </w:pPr>
            <w:r>
              <w:rPr>
                <w:rFonts w:ascii="Courier New" w:cs="Courier New" w:eastAsia="Courier New" w:hAnsi="Courier New"/>
                <w:sz w:val="17"/>
                <w:szCs w:val="17"/>
                <w:color w:val="auto"/>
              </w:rPr>
              <w:t>CHEMICAL BANKING CORPORATION and Subsidiaries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36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Consolidated Net Interest Income and Average Balances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gridSpan w:val="4"/>
          </w:tcPr>
          <w:p>
            <w:pPr>
              <w:jc w:val="right"/>
              <w:ind w:right="17"/>
              <w:spacing w:after="0"/>
              <w:rPr>
                <w:sz w:val="20"/>
                <w:szCs w:val="20"/>
                <w:color w:val="auto"/>
              </w:rPr>
            </w:pPr>
            <w:r>
              <w:rPr>
                <w:rFonts w:ascii="Courier New" w:cs="Courier New" w:eastAsia="Courier New" w:hAnsi="Courier New"/>
                <w:sz w:val="17"/>
                <w:szCs w:val="17"/>
                <w:color w:val="auto"/>
                <w:w w:val="98"/>
              </w:rPr>
              <w:t>(Taxable-Equivalent Interest and Rates; in millions)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ind w:left="300"/>
              <w:spacing w:after="0"/>
              <w:rPr>
                <w:sz w:val="20"/>
                <w:szCs w:val="20"/>
                <w:color w:val="auto"/>
              </w:rPr>
            </w:pPr>
            <w:r>
              <w:rPr>
                <w:rFonts w:ascii="Courier New" w:cs="Courier New" w:eastAsia="Courier New" w:hAnsi="Courier New"/>
                <w:sz w:val="17"/>
                <w:szCs w:val="17"/>
                <w:color w:val="auto"/>
              </w:rPr>
              <w:t>For the Year Ended</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gridSpan w:val="2"/>
          </w:tcPr>
          <w:p>
            <w:pPr>
              <w:jc w:val="right"/>
              <w:ind w:right="1017"/>
              <w:spacing w:after="0"/>
              <w:rPr>
                <w:sz w:val="20"/>
                <w:szCs w:val="20"/>
                <w:color w:val="auto"/>
              </w:rPr>
            </w:pPr>
            <w:r>
              <w:rPr>
                <w:rFonts w:ascii="Courier New" w:cs="Courier New" w:eastAsia="Courier New" w:hAnsi="Courier New"/>
                <w:sz w:val="17"/>
                <w:szCs w:val="17"/>
                <w:color w:val="auto"/>
                <w:w w:val="95"/>
              </w:rPr>
              <w:t>For the Year Ended</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December 31, 1993</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gridSpan w:val="2"/>
          </w:tcPr>
          <w:p>
            <w:pPr>
              <w:jc w:val="right"/>
              <w:ind w:right="1017"/>
              <w:spacing w:after="0" w:line="191" w:lineRule="exact"/>
              <w:rPr>
                <w:sz w:val="20"/>
                <w:szCs w:val="20"/>
                <w:color w:val="auto"/>
              </w:rPr>
            </w:pPr>
            <w:r>
              <w:rPr>
                <w:rFonts w:ascii="Courier New" w:cs="Courier New" w:eastAsia="Courier New" w:hAnsi="Courier New"/>
                <w:sz w:val="17"/>
                <w:szCs w:val="17"/>
                <w:color w:val="auto"/>
              </w:rPr>
              <w:t>December 31, 1992</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3940" w:type="dxa"/>
            <w:vAlign w:val="bottom"/>
            <w:gridSpan w:val="3"/>
          </w:tcPr>
          <w:p>
            <w:pPr>
              <w:ind w:left="200"/>
              <w:spacing w:after="0" w:line="191" w:lineRule="exact"/>
              <w:rPr>
                <w:sz w:val="20"/>
                <w:szCs w:val="20"/>
                <w:color w:val="auto"/>
              </w:rPr>
            </w:pPr>
            <w:r>
              <w:rPr>
                <w:rFonts w:ascii="Courier New" w:cs="Courier New" w:eastAsia="Courier New" w:hAnsi="Courier New"/>
                <w:sz w:val="17"/>
                <w:szCs w:val="17"/>
                <w:color w:val="auto"/>
                <w:w w:val="98"/>
              </w:rPr>
              <w:t>-------------------------------------</w:t>
            </w:r>
          </w:p>
        </w:tc>
        <w:tc>
          <w:tcPr>
            <w:tcW w:w="3820" w:type="dxa"/>
            <w:vAlign w:val="bottom"/>
            <w:gridSpan w:val="3"/>
          </w:tcPr>
          <w:p>
            <w:pPr>
              <w:ind w:left="40"/>
              <w:spacing w:after="0" w:line="191" w:lineRule="exact"/>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Average</w:t>
            </w:r>
          </w:p>
        </w:tc>
        <w:tc>
          <w:tcPr>
            <w:tcW w:w="218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Rate</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Average</w:t>
            </w:r>
          </w:p>
        </w:tc>
        <w:tc>
          <w:tcPr>
            <w:tcW w:w="13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Interest</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Rate</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Balance</w:t>
            </w:r>
          </w:p>
        </w:tc>
        <w:tc>
          <w:tcPr>
            <w:tcW w:w="3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Interest (Annualized)</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Balance</w:t>
            </w:r>
          </w:p>
        </w:tc>
        <w:tc>
          <w:tcPr>
            <w:tcW w:w="1380" w:type="dxa"/>
            <w:vAlign w:val="bottom"/>
            <w:vMerge w:val="continue"/>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(Annualized)</w:t>
            </w: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 ------------</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4,202</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  268</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6.39%</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2,605</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274</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10.52%</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Federal Funds Sold and</w:t>
            </w:r>
          </w:p>
        </w:tc>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Securities Purchased Under</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10,300</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339</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3.29%</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8,592</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349</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4.07%</w:t>
            </w:r>
          </w:p>
        </w:tc>
        <w:tc>
          <w:tcPr>
            <w:tcW w:w="0" w:type="dxa"/>
            <w:vAlign w:val="bottom"/>
          </w:tcPr>
          <w:p>
            <w:pPr>
              <w:spacing w:after="0"/>
              <w:rPr>
                <w:sz w:val="1"/>
                <w:szCs w:val="1"/>
                <w:color w:val="auto"/>
              </w:rPr>
            </w:pPr>
          </w:p>
        </w:tc>
      </w:tr>
      <w:tr>
        <w:trPr>
          <w:trHeight w:val="191"/>
        </w:trPr>
        <w:tc>
          <w:tcPr>
            <w:tcW w:w="3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Resale Agreements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8,039</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449</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5.59%</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6,205</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419</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6.76%</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23,654</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1,731</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7.32%</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21,674</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1,758</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8.11%</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78,739</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5,637</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7.16%</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82,173</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6,379</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7.76%</w:t>
            </w:r>
          </w:p>
        </w:tc>
        <w:tc>
          <w:tcPr>
            <w:tcW w:w="0" w:type="dxa"/>
            <w:vAlign w:val="bottom"/>
          </w:tcPr>
          <w:p>
            <w:pPr>
              <w:spacing w:after="0"/>
              <w:rPr>
                <w:sz w:val="1"/>
                <w:szCs w:val="1"/>
                <w:color w:val="auto"/>
              </w:rPr>
            </w:pPr>
          </w:p>
        </w:tc>
      </w:tr>
      <w:tr>
        <w:trPr>
          <w:trHeight w:val="191"/>
        </w:trPr>
        <w:tc>
          <w:tcPr>
            <w:tcW w:w="32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Total Interest-Earning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6.74%</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7.57%</w:t>
            </w:r>
          </w:p>
        </w:tc>
        <w:tc>
          <w:tcPr>
            <w:tcW w:w="0" w:type="dxa"/>
            <w:vAlign w:val="bottom"/>
          </w:tcPr>
          <w:p>
            <w:pPr>
              <w:spacing w:after="0"/>
              <w:rPr>
                <w:sz w:val="1"/>
                <w:szCs w:val="1"/>
                <w:color w:val="auto"/>
              </w:rPr>
            </w:pPr>
          </w:p>
        </w:tc>
      </w:tr>
      <w:tr>
        <w:trPr>
          <w:trHeight w:val="280"/>
        </w:trPr>
        <w:tc>
          <w:tcPr>
            <w:tcW w:w="328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124,934</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8,424</w:t>
            </w:r>
          </w:p>
        </w:tc>
        <w:tc>
          <w:tcPr>
            <w:tcW w:w="860" w:type="dxa"/>
            <w:vAlign w:val="bottom"/>
            <w:vMerge w:val="continue"/>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121,249</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9,179</w:t>
            </w: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Allowance for Losses</w:t>
            </w:r>
          </w:p>
        </w:tc>
        <w:tc>
          <w:tcPr>
            <w:tcW w:w="3080" w:type="dxa"/>
            <w:vAlign w:val="bottom"/>
            <w:gridSpan w:val="2"/>
          </w:tcPr>
          <w:p>
            <w:pPr>
              <w:jc w:val="right"/>
              <w:ind w:right="1997"/>
              <w:spacing w:after="0"/>
              <w:rPr>
                <w:sz w:val="20"/>
                <w:szCs w:val="20"/>
                <w:color w:val="auto"/>
              </w:rPr>
            </w:pPr>
            <w:r>
              <w:rPr>
                <w:rFonts w:ascii="Courier New" w:cs="Courier New" w:eastAsia="Courier New" w:hAnsi="Courier New"/>
                <w:sz w:val="17"/>
                <w:szCs w:val="17"/>
                <w:color w:val="auto"/>
              </w:rPr>
              <w:t>(3,084)</w:t>
            </w:r>
          </w:p>
        </w:tc>
        <w:tc>
          <w:tcPr>
            <w:tcW w:w="8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(3,327)</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Due from Banks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8,537</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8,051</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14,494</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13,356</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Total Assets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$144,881</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$139,329</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$ 46,598</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$1,237</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2.65%</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$ 44,538</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$1,438</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3.23%</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Domestic Retail Deposits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Domestic Negotiable</w:t>
            </w:r>
          </w:p>
        </w:tc>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Certificates of Deposit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6,242</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191</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3.05%</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7,506</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296</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3.94%</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Other Deposits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in Foreign Offices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21,066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813</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3.86%</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21,717</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1,134</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5.22%</w:t>
            </w: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Time &amp; Savings Deposits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3.03%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3.89%</w:t>
            </w: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73,906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2,241</w:t>
            </w:r>
          </w:p>
        </w:tc>
        <w:tc>
          <w:tcPr>
            <w:tcW w:w="860" w:type="dxa"/>
            <w:vAlign w:val="bottom"/>
            <w:vMerge w:val="continue"/>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73,761</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2,868</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w w:val="99"/>
              </w:rPr>
              <w:t>Short-Term and Other Borrowings:</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280" w:type="dxa"/>
            <w:vAlign w:val="bottom"/>
          </w:tcPr>
          <w:p>
            <w:pPr>
              <w:ind w:left="200"/>
              <w:spacing w:after="0"/>
              <w:rPr>
                <w:sz w:val="20"/>
                <w:szCs w:val="20"/>
                <w:color w:val="auto"/>
              </w:rPr>
            </w:pPr>
            <w:r>
              <w:rPr>
                <w:rFonts w:ascii="Courier New" w:cs="Courier New" w:eastAsia="Courier New" w:hAnsi="Courier New"/>
                <w:sz w:val="17"/>
                <w:szCs w:val="17"/>
                <w:color w:val="auto"/>
              </w:rPr>
              <w:t>Federal Funds Purchased and</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ind w:left="300"/>
              <w:spacing w:after="0"/>
              <w:rPr>
                <w:sz w:val="20"/>
                <w:szCs w:val="20"/>
                <w:color w:val="auto"/>
              </w:rPr>
            </w:pPr>
            <w:r>
              <w:rPr>
                <w:rFonts w:ascii="Courier New" w:cs="Courier New" w:eastAsia="Courier New" w:hAnsi="Courier New"/>
                <w:sz w:val="17"/>
                <w:szCs w:val="17"/>
                <w:color w:val="auto"/>
              </w:rPr>
              <w:t>Securities Sold Under</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15,461</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472</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3.05%</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15,658</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623</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3.98%</w:t>
            </w:r>
          </w:p>
        </w:tc>
        <w:tc>
          <w:tcPr>
            <w:tcW w:w="0" w:type="dxa"/>
            <w:vAlign w:val="bottom"/>
          </w:tcPr>
          <w:p>
            <w:pPr>
              <w:spacing w:after="0"/>
              <w:rPr>
                <w:sz w:val="1"/>
                <w:szCs w:val="1"/>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Repurchase Agreements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Commercial Paper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2,438</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83</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3.42%</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2,190</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6,663</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437</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6.56%</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6,376</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518</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8.17%</w:t>
            </w:r>
          </w:p>
        </w:tc>
        <w:tc>
          <w:tcPr>
            <w:tcW w:w="0" w:type="dxa"/>
            <w:vAlign w:val="bottom"/>
          </w:tcPr>
          <w:p>
            <w:pPr>
              <w:spacing w:after="0"/>
              <w:rPr>
                <w:sz w:val="1"/>
                <w:szCs w:val="1"/>
                <w:color w:val="auto"/>
              </w:rPr>
            </w:pPr>
          </w:p>
        </w:tc>
      </w:tr>
      <w:tr>
        <w:trPr>
          <w:trHeight w:val="280"/>
        </w:trPr>
        <w:tc>
          <w:tcPr>
            <w:tcW w:w="32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Total Short-Term and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24,562</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992</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4.04%</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24,224</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1,228</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5.07%</w:t>
            </w:r>
          </w:p>
        </w:tc>
        <w:tc>
          <w:tcPr>
            <w:tcW w:w="0" w:type="dxa"/>
            <w:vAlign w:val="bottom"/>
          </w:tcPr>
          <w:p>
            <w:pPr>
              <w:spacing w:after="0"/>
              <w:rPr>
                <w:sz w:val="1"/>
                <w:szCs w:val="1"/>
                <w:color w:val="auto"/>
              </w:rPr>
            </w:pPr>
          </w:p>
        </w:tc>
      </w:tr>
      <w:tr>
        <w:trPr>
          <w:trHeight w:val="191"/>
        </w:trPr>
        <w:tc>
          <w:tcPr>
            <w:tcW w:w="3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 Borrowings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8,053</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534</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6.64%</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6,220</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454</w:t>
            </w: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7.31%</w:t>
            </w:r>
          </w:p>
        </w:tc>
        <w:tc>
          <w:tcPr>
            <w:tcW w:w="0" w:type="dxa"/>
            <w:vAlign w:val="bottom"/>
          </w:tcPr>
          <w:p>
            <w:pPr>
              <w:spacing w:after="0"/>
              <w:rPr>
                <w:sz w:val="1"/>
                <w:szCs w:val="1"/>
                <w:color w:val="auto"/>
              </w:rPr>
            </w:pPr>
          </w:p>
        </w:tc>
      </w:tr>
      <w:tr>
        <w:trPr>
          <w:trHeight w:val="280"/>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Interest-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106,521</w:t>
            </w: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3,767</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3.54%</w:t>
            </w: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104,205</w:t>
            </w: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4,550</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4.37%</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Bearing Liabilities</w:t>
            </w:r>
          </w:p>
        </w:tc>
        <w:tc>
          <w:tcPr>
            <w:tcW w:w="900" w:type="dxa"/>
            <w:vAlign w:val="bottom"/>
            <w:vMerge w:val="continue"/>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Demand Deposits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21,750</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18,989</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Liabilities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6,027</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6,811</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Liabilities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134,298</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130,005</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1,887</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1,751</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Preferred Stock</w:t>
            </w:r>
          </w:p>
        </w:tc>
        <w:tc>
          <w:tcPr>
            <w:tcW w:w="9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Stockholders' Equity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8,696</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7,573</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Stockholders' Equity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10,583</w:t>
            </w: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9,324</w:t>
            </w: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Total Liabilities and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$144,881</w:t>
            </w:r>
          </w:p>
        </w:tc>
        <w:tc>
          <w:tcPr>
            <w:tcW w:w="2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$139,329</w:t>
            </w:r>
          </w:p>
        </w:tc>
        <w:tc>
          <w:tcPr>
            <w:tcW w:w="13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9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80" w:type="dxa"/>
            <w:vAlign w:val="bottom"/>
          </w:tcPr>
          <w:p>
            <w:pPr>
              <w:spacing w:after="0"/>
              <w:rPr>
                <w:sz w:val="20"/>
                <w:szCs w:val="20"/>
                <w:color w:val="auto"/>
              </w:rPr>
            </w:pPr>
            <w:r>
              <w:rPr>
                <w:rFonts w:ascii="Courier New" w:cs="Courier New" w:eastAsia="Courier New" w:hAnsi="Courier New"/>
                <w:sz w:val="17"/>
                <w:szCs w:val="17"/>
                <w:color w:val="auto"/>
              </w:rPr>
              <w:t>SPREAD ON INTEREST-BEARING</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3.20%</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3.20%</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LIABILITIES</w:t>
            </w:r>
          </w:p>
        </w:tc>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vMerge w:val="restart"/>
          </w:tcPr>
          <w:p>
            <w:pPr>
              <w:spacing w:after="0"/>
              <w:rPr>
                <w:sz w:val="20"/>
                <w:szCs w:val="20"/>
                <w:color w:val="auto"/>
              </w:rPr>
            </w:pPr>
            <w:r>
              <w:rPr>
                <w:rFonts w:ascii="Courier New" w:cs="Courier New" w:eastAsia="Courier New" w:hAnsi="Courier New"/>
                <w:sz w:val="17"/>
                <w:szCs w:val="17"/>
                <w:color w:val="auto"/>
              </w:rPr>
              <w:t>NET INTEREST INCOME AND NET</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4"/>
              </w:rPr>
              <w:t>=====</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YIELD ON INTEREST-EARNING</w:t>
            </w:r>
          </w:p>
        </w:tc>
        <w:tc>
          <w:tcPr>
            <w:tcW w:w="900" w:type="dxa"/>
            <w:vAlign w:val="bottom"/>
          </w:tcPr>
          <w:p>
            <w:pPr>
              <w:spacing w:after="0"/>
              <w:rPr>
                <w:sz w:val="16"/>
                <w:szCs w:val="16"/>
                <w:color w:val="auto"/>
              </w:rPr>
            </w:pPr>
          </w:p>
        </w:tc>
        <w:tc>
          <w:tcPr>
            <w:tcW w:w="21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$4,657</w:t>
            </w:r>
          </w:p>
        </w:tc>
        <w:tc>
          <w:tcPr>
            <w:tcW w:w="8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4"/>
              </w:rPr>
              <w:t>3.73%</w:t>
            </w:r>
          </w:p>
        </w:tc>
        <w:tc>
          <w:tcPr>
            <w:tcW w:w="940" w:type="dxa"/>
            <w:vAlign w:val="bottom"/>
          </w:tcPr>
          <w:p>
            <w:pPr>
              <w:spacing w:after="0"/>
              <w:rPr>
                <w:sz w:val="16"/>
                <w:szCs w:val="16"/>
                <w:color w:val="auto"/>
              </w:rPr>
            </w:pPr>
          </w:p>
        </w:tc>
        <w:tc>
          <w:tcPr>
            <w:tcW w:w="13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$4,629</w:t>
            </w:r>
          </w:p>
        </w:tc>
        <w:tc>
          <w:tcPr>
            <w:tcW w:w="15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3.82%</w:t>
            </w:r>
          </w:p>
        </w:tc>
        <w:tc>
          <w:tcPr>
            <w:tcW w:w="0" w:type="dxa"/>
            <w:vAlign w:val="bottom"/>
          </w:tcPr>
          <w:p>
            <w:pPr>
              <w:spacing w:after="0"/>
              <w:rPr>
                <w:sz w:val="1"/>
                <w:szCs w:val="1"/>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ASSETS</w:t>
            </w:r>
          </w:p>
        </w:tc>
        <w:tc>
          <w:tcPr>
            <w:tcW w:w="90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4"/>
              </w:rPr>
              <w:t>=====</w:t>
            </w:r>
          </w:p>
        </w:tc>
        <w:tc>
          <w:tcPr>
            <w:tcW w:w="940" w:type="dxa"/>
            <w:vAlign w:val="bottom"/>
          </w:tcPr>
          <w:p>
            <w:pPr>
              <w:spacing w:after="0"/>
              <w:rPr>
                <w:sz w:val="24"/>
                <w:szCs w:val="24"/>
                <w:color w:val="auto"/>
              </w:rPr>
            </w:pP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040"/>
          </w:cols>
          <w:pgMar w:left="440" w:top="660" w:right="419" w:bottom="225"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20</w:t>
      </w:r>
    </w:p>
    <w:p>
      <w:pPr>
        <w:spacing w:after="0" w:line="190" w:lineRule="exact"/>
        <w:rPr>
          <w:sz w:val="20"/>
          <w:szCs w:val="20"/>
          <w:color w:val="auto"/>
        </w:rPr>
      </w:pPr>
    </w:p>
    <w:p>
      <w:pPr>
        <w:ind w:left="5580"/>
        <w:spacing w:after="0"/>
        <w:rPr>
          <w:sz w:val="20"/>
          <w:szCs w:val="20"/>
          <w:color w:val="auto"/>
        </w:rPr>
      </w:pPr>
      <w:r>
        <w:rPr>
          <w:rFonts w:ascii="Courier New" w:cs="Courier New" w:eastAsia="Courier New" w:hAnsi="Courier New"/>
          <w:sz w:val="17"/>
          <w:szCs w:val="17"/>
          <w:color w:val="auto"/>
        </w:rPr>
        <w:t>UNAUDITED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9840" w:type="dxa"/>
            <w:vAlign w:val="bottom"/>
            <w:gridSpan w:val="5"/>
          </w:tcPr>
          <w:p>
            <w:pPr>
              <w:jc w:val="right"/>
              <w:ind w:right="597"/>
              <w:spacing w:after="0"/>
              <w:rPr>
                <w:sz w:val="20"/>
                <w:szCs w:val="20"/>
                <w:color w:val="auto"/>
              </w:rPr>
            </w:pPr>
            <w:r>
              <w:rPr>
                <w:rFonts w:ascii="Courier New" w:cs="Courier New" w:eastAsia="Courier New" w:hAnsi="Courier New"/>
                <w:sz w:val="17"/>
                <w:szCs w:val="17"/>
                <w:color w:val="auto"/>
              </w:rPr>
              <w:t>TEXAS COMMERCE BANCSHARES, INC. and Subsidiaries</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43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CONDENSED CONSOLIDATED STATEMENT OF INCOME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(in millions)</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620" w:type="dxa"/>
            <w:vAlign w:val="bottom"/>
          </w:tcPr>
          <w:p>
            <w:pPr>
              <w:spacing w:after="0"/>
              <w:rPr>
                <w:sz w:val="24"/>
                <w:szCs w:val="24"/>
                <w:color w:val="auto"/>
              </w:rPr>
            </w:pPr>
          </w:p>
        </w:tc>
        <w:tc>
          <w:tcPr>
            <w:tcW w:w="2740" w:type="dxa"/>
            <w:vAlign w:val="bottom"/>
            <w:gridSpan w:val="2"/>
          </w:tcPr>
          <w:p>
            <w:pPr>
              <w:jc w:val="center"/>
              <w:ind w:right="357"/>
              <w:spacing w:after="0"/>
              <w:rPr>
                <w:sz w:val="20"/>
                <w:szCs w:val="20"/>
                <w:color w:val="auto"/>
              </w:rPr>
            </w:pPr>
            <w:r>
              <w:rPr>
                <w:rFonts w:ascii="Courier New" w:cs="Courier New" w:eastAsia="Courier New" w:hAnsi="Courier New"/>
                <w:sz w:val="17"/>
                <w:szCs w:val="17"/>
                <w:color w:val="auto"/>
                <w:w w:val="96"/>
              </w:rPr>
              <w:t>Three Months Ended</w:t>
            </w:r>
          </w:p>
        </w:tc>
        <w:tc>
          <w:tcPr>
            <w:tcW w:w="248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For The Year 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740" w:type="dxa"/>
            <w:vAlign w:val="bottom"/>
            <w:gridSpan w:val="2"/>
          </w:tcPr>
          <w:p>
            <w:pPr>
              <w:jc w:val="center"/>
              <w:ind w:right="357"/>
              <w:spacing w:after="0" w:line="191" w:lineRule="exact"/>
              <w:rPr>
                <w:sz w:val="20"/>
                <w:szCs w:val="20"/>
                <w:color w:val="auto"/>
              </w:rPr>
            </w:pPr>
            <w:r>
              <w:rPr>
                <w:rFonts w:ascii="Courier New" w:cs="Courier New" w:eastAsia="Courier New" w:hAnsi="Courier New"/>
                <w:sz w:val="17"/>
                <w:szCs w:val="17"/>
                <w:color w:val="auto"/>
                <w:w w:val="96"/>
              </w:rPr>
              <w:t>December 31,</w:t>
            </w:r>
          </w:p>
        </w:tc>
        <w:tc>
          <w:tcPr>
            <w:tcW w:w="2480" w:type="dxa"/>
            <w:vAlign w:val="bottom"/>
            <w:gridSpan w:val="2"/>
          </w:tcPr>
          <w:p>
            <w:pPr>
              <w:jc w:val="right"/>
              <w:ind w:right="597"/>
              <w:spacing w:after="0" w:line="191" w:lineRule="exact"/>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191"/>
        </w:trPr>
        <w:tc>
          <w:tcPr>
            <w:tcW w:w="7360" w:type="dxa"/>
            <w:vAlign w:val="bottom"/>
            <w:gridSpan w:val="3"/>
          </w:tcPr>
          <w:p>
            <w:pPr>
              <w:jc w:val="center"/>
              <w:ind w:left="4097"/>
              <w:spacing w:after="0" w:line="191" w:lineRule="exact"/>
              <w:rPr>
                <w:sz w:val="20"/>
                <w:szCs w:val="20"/>
                <w:color w:val="auto"/>
              </w:rPr>
            </w:pPr>
            <w:r>
              <w:rPr>
                <w:rFonts w:ascii="Courier New" w:cs="Courier New" w:eastAsia="Courier New" w:hAnsi="Courier New"/>
                <w:sz w:val="17"/>
                <w:szCs w:val="17"/>
                <w:color w:val="auto"/>
                <w:w w:val="97"/>
              </w:rPr>
              <w:t>--------------------------</w:t>
            </w:r>
          </w:p>
        </w:tc>
        <w:tc>
          <w:tcPr>
            <w:tcW w:w="2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1993</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1992</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1993</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11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NET INTEREST INCOME</w:t>
            </w:r>
          </w:p>
        </w:tc>
        <w:tc>
          <w:tcPr>
            <w:tcW w:w="11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$ 169</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$ 158</w:t>
            </w:r>
          </w:p>
        </w:tc>
        <w:tc>
          <w:tcPr>
            <w:tcW w:w="16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$ 692</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$ 602</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Losses</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w:t>
            </w:r>
          </w:p>
        </w:tc>
        <w:tc>
          <w:tcPr>
            <w:tcW w:w="0" w:type="dxa"/>
            <w:vAlign w:val="bottom"/>
          </w:tcPr>
          <w:p>
            <w:pPr>
              <w:spacing w:after="0"/>
              <w:rPr>
                <w:sz w:val="1"/>
                <w:szCs w:val="1"/>
                <w:color w:val="auto"/>
              </w:rPr>
            </w:pPr>
          </w:p>
        </w:tc>
      </w:tr>
      <w:tr>
        <w:trPr>
          <w:trHeight w:val="19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w w:val="98"/>
              </w:rPr>
              <w:t>Net Interest Income After Provision for Losses</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175</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152</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692</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577</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NONINTEREST REVENUE</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95</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79</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392</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293</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NONINTEREST EXPENSE</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206</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184</w:t>
            </w:r>
          </w:p>
        </w:tc>
        <w:tc>
          <w:tcPr>
            <w:tcW w:w="16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858(a)</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686</w:t>
            </w:r>
          </w:p>
        </w:tc>
        <w:tc>
          <w:tcPr>
            <w:tcW w:w="0" w:type="dxa"/>
            <w:vAlign w:val="bottom"/>
          </w:tcPr>
          <w:p>
            <w:pPr>
              <w:spacing w:after="0"/>
              <w:rPr>
                <w:sz w:val="1"/>
                <w:szCs w:val="1"/>
                <w:color w:val="auto"/>
              </w:rPr>
            </w:pPr>
          </w:p>
        </w:tc>
      </w:tr>
      <w:tr>
        <w:trPr>
          <w:trHeight w:val="280"/>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Income Taxes and Effect</w:t>
            </w:r>
          </w:p>
        </w:tc>
        <w:tc>
          <w:tcPr>
            <w:tcW w:w="11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4620" w:type="dxa"/>
            <w:vAlign w:val="bottom"/>
            <w:vMerge w:val="continue"/>
          </w:tcPr>
          <w:p>
            <w:pPr>
              <w:spacing w:after="0"/>
              <w:rPr>
                <w:sz w:val="8"/>
                <w:szCs w:val="8"/>
                <w:color w:val="auto"/>
              </w:rPr>
            </w:pPr>
          </w:p>
        </w:tc>
        <w:tc>
          <w:tcPr>
            <w:tcW w:w="110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64</w:t>
            </w:r>
          </w:p>
        </w:tc>
        <w:tc>
          <w:tcPr>
            <w:tcW w:w="16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47</w:t>
            </w:r>
          </w:p>
        </w:tc>
        <w:tc>
          <w:tcPr>
            <w:tcW w:w="1600" w:type="dxa"/>
            <w:vAlign w:val="bottom"/>
            <w:vMerge w:val="restart"/>
          </w:tcPr>
          <w:p>
            <w:pPr>
              <w:jc w:val="right"/>
              <w:ind w:right="817"/>
              <w:spacing w:after="0"/>
              <w:rPr>
                <w:sz w:val="20"/>
                <w:szCs w:val="20"/>
                <w:color w:val="auto"/>
              </w:rPr>
            </w:pPr>
            <w:r>
              <w:rPr>
                <w:rFonts w:ascii="Courier New" w:cs="Courier New" w:eastAsia="Courier New" w:hAnsi="Courier New"/>
                <w:sz w:val="17"/>
                <w:szCs w:val="17"/>
                <w:color w:val="auto"/>
              </w:rPr>
              <w:t>226</w:t>
            </w:r>
          </w:p>
        </w:tc>
        <w:tc>
          <w:tcPr>
            <w:tcW w:w="8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184</w:t>
            </w:r>
          </w:p>
        </w:tc>
        <w:tc>
          <w:tcPr>
            <w:tcW w:w="0" w:type="dxa"/>
            <w:vAlign w:val="bottom"/>
          </w:tcPr>
          <w:p>
            <w:pPr>
              <w:spacing w:after="0"/>
              <w:rPr>
                <w:sz w:val="1"/>
                <w:szCs w:val="1"/>
                <w:color w:val="auto"/>
              </w:rPr>
            </w:pPr>
          </w:p>
        </w:tc>
      </w:tr>
      <w:tr>
        <w:trPr>
          <w:trHeight w:val="191"/>
        </w:trPr>
        <w:tc>
          <w:tcPr>
            <w:tcW w:w="46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Accounting Changes</w:t>
            </w:r>
          </w:p>
        </w:tc>
        <w:tc>
          <w:tcPr>
            <w:tcW w:w="11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 Expense</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66</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19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Effect of Accounting Changes</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44</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46</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160</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180</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Effect of Changes in Accounting Principles</w:t>
            </w:r>
          </w:p>
        </w:tc>
        <w:tc>
          <w:tcPr>
            <w:tcW w:w="11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9</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39</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46</w:t>
            </w:r>
          </w:p>
        </w:tc>
        <w:tc>
          <w:tcPr>
            <w:tcW w:w="16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$ 169</w:t>
            </w: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$ 180</w:t>
            </w: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4"/>
                <w:szCs w:val="24"/>
                <w:color w:val="auto"/>
              </w:rPr>
            </w:pPr>
          </w:p>
        </w:tc>
        <w:tc>
          <w:tcPr>
            <w:tcW w:w="110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700" w:right="3959" w:hanging="499"/>
        <w:spacing w:after="0" w:line="347" w:lineRule="auto"/>
        <w:tabs>
          <w:tab w:leader="none" w:pos="7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 million restructuring charge related to the acquisition of certain former First City assets.</w:t>
      </w:r>
    </w:p>
    <w:p>
      <w:pPr>
        <w:spacing w:after="0" w:line="3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TEXAS COMMERCE BANCSHARES, INC. and Subsidiaries</w:t>
      </w:r>
    </w:p>
    <w:tbl>
      <w:tblPr>
        <w:tblLayout w:type="fixed"/>
        <w:tblInd w:w="200" w:type="dxa"/>
        <w:tblCellMar>
          <w:top w:w="0" w:type="dxa"/>
          <w:left w:w="0" w:type="dxa"/>
          <w:bottom w:w="0" w:type="dxa"/>
          <w:right w:w="0" w:type="dxa"/>
        </w:tblCellMar>
      </w:tblPr>
      <w:tr>
        <w:trPr>
          <w:trHeight w:val="190"/>
        </w:trPr>
        <w:tc>
          <w:tcPr>
            <w:tcW w:w="8700" w:type="dxa"/>
            <w:vAlign w:val="bottom"/>
            <w:gridSpan w:val="3"/>
          </w:tcPr>
          <w:p>
            <w:pPr>
              <w:jc w:val="right"/>
              <w:ind w:right="57"/>
              <w:spacing w:after="0" w:line="190" w:lineRule="exact"/>
              <w:rPr>
                <w:sz w:val="20"/>
                <w:szCs w:val="20"/>
                <w:color w:val="auto"/>
              </w:rPr>
            </w:pPr>
            <w:r>
              <w:rPr>
                <w:rFonts w:ascii="Courier New" w:cs="Courier New" w:eastAsia="Courier New" w:hAnsi="Courier New"/>
                <w:sz w:val="17"/>
                <w:szCs w:val="17"/>
                <w:color w:val="auto"/>
              </w:rPr>
              <w:t>CONDENSED CONSOLIDATED BALANCE SHEET</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millions)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29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1993</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c>
          <w:tcPr>
            <w:tcW w:w="0" w:type="dxa"/>
            <w:vAlign w:val="bottom"/>
          </w:tcPr>
          <w:p>
            <w:pPr>
              <w:spacing w:after="0"/>
              <w:rPr>
                <w:sz w:val="1"/>
                <w:szCs w:val="1"/>
                <w:color w:val="auto"/>
              </w:rPr>
            </w:pPr>
          </w:p>
        </w:tc>
      </w:tr>
      <w:tr>
        <w:trPr>
          <w:trHeight w:val="280"/>
        </w:trPr>
        <w:tc>
          <w:tcPr>
            <w:tcW w:w="6820" w:type="dxa"/>
            <w:vAlign w:val="bottom"/>
          </w:tcPr>
          <w:p>
            <w:pPr>
              <w:spacing w:after="0"/>
              <w:rPr>
                <w:sz w:val="24"/>
                <w:szCs w:val="24"/>
                <w:color w:val="auto"/>
              </w:rPr>
            </w:pPr>
          </w:p>
        </w:tc>
        <w:tc>
          <w:tcPr>
            <w:tcW w:w="1880" w:type="dxa"/>
            <w:vAlign w:val="bottom"/>
            <w:gridSpan w:val="2"/>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68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right"/>
              <w:ind w:right="557"/>
              <w:spacing w:after="0"/>
              <w:rPr>
                <w:sz w:val="20"/>
                <w:szCs w:val="20"/>
                <w:color w:val="auto"/>
              </w:rPr>
            </w:pPr>
            <w:r>
              <w:rPr>
                <w:rFonts w:ascii="Courier New" w:cs="Courier New" w:eastAsia="Courier New" w:hAnsi="Courier New"/>
                <w:sz w:val="17"/>
                <w:szCs w:val="17"/>
                <w:color w:val="auto"/>
              </w:rPr>
              <w:t>2,160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2,039</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Due from Banks</w:t>
            </w:r>
          </w:p>
        </w:tc>
        <w:tc>
          <w:tcPr>
            <w:tcW w:w="5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Deposits with Banks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Federal Funds Sold and Securities Purchased Under Resale Agreements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5,154</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3,537</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Trading Account Assets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16</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488</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Securities:</w:t>
            </w:r>
          </w:p>
        </w:tc>
        <w:tc>
          <w:tcPr>
            <w:tcW w:w="580" w:type="dxa"/>
            <w:vAlign w:val="bottom"/>
          </w:tcPr>
          <w:p>
            <w:pPr>
              <w:spacing w:after="0"/>
              <w:rPr>
                <w:sz w:val="16"/>
                <w:szCs w:val="16"/>
                <w:color w:val="auto"/>
              </w:rPr>
            </w:pPr>
          </w:p>
        </w:tc>
        <w:tc>
          <w:tcPr>
            <w:tcW w:w="1300" w:type="dxa"/>
            <w:vAlign w:val="bottom"/>
            <w:vMerge w:val="restart"/>
          </w:tcPr>
          <w:p>
            <w:pPr>
              <w:jc w:val="right"/>
              <w:ind w:right="557"/>
              <w:spacing w:after="0"/>
              <w:rPr>
                <w:sz w:val="20"/>
                <w:szCs w:val="20"/>
                <w:color w:val="auto"/>
              </w:rPr>
            </w:pPr>
            <w:r>
              <w:rPr>
                <w:rFonts w:ascii="Courier New" w:cs="Courier New" w:eastAsia="Courier New" w:hAnsi="Courier New"/>
                <w:sz w:val="17"/>
                <w:szCs w:val="17"/>
                <w:color w:val="auto"/>
              </w:rPr>
              <w:t>1,291</w:t>
            </w:r>
          </w:p>
        </w:tc>
        <w:tc>
          <w:tcPr>
            <w:tcW w:w="300" w:type="dxa"/>
            <w:vAlign w:val="bottom"/>
          </w:tcPr>
          <w:p>
            <w:pPr>
              <w:spacing w:after="0"/>
              <w:rPr>
                <w:sz w:val="16"/>
                <w:szCs w:val="16"/>
                <w:color w:val="auto"/>
              </w:rPr>
            </w:pPr>
          </w:p>
        </w:tc>
        <w:tc>
          <w:tcPr>
            <w:tcW w:w="7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1,432</w:t>
            </w:r>
          </w:p>
        </w:tc>
        <w:tc>
          <w:tcPr>
            <w:tcW w:w="0" w:type="dxa"/>
            <w:vAlign w:val="bottom"/>
          </w:tcPr>
          <w:p>
            <w:pPr>
              <w:spacing w:after="0"/>
              <w:rPr>
                <w:sz w:val="1"/>
                <w:szCs w:val="1"/>
                <w:color w:val="auto"/>
              </w:rPr>
            </w:pPr>
          </w:p>
        </w:tc>
      </w:tr>
      <w:tr>
        <w:trPr>
          <w:trHeight w:val="191"/>
        </w:trPr>
        <w:tc>
          <w:tcPr>
            <w:tcW w:w="6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Held-to-Maturity</w:t>
            </w:r>
          </w:p>
        </w:tc>
        <w:tc>
          <w:tcPr>
            <w:tcW w:w="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Available-for-Sale</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1,455</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497</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Loans (Net of Unearned Income)</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10,267</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9,175</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Allowance for Losses</w:t>
            </w:r>
          </w:p>
        </w:tc>
        <w:tc>
          <w:tcPr>
            <w:tcW w:w="580" w:type="dxa"/>
            <w:vAlign w:val="bottom"/>
          </w:tcPr>
          <w:p>
            <w:pPr>
              <w:spacing w:after="0"/>
              <w:rPr>
                <w:sz w:val="16"/>
                <w:szCs w:val="16"/>
                <w:color w:val="auto"/>
              </w:rPr>
            </w:pPr>
          </w:p>
        </w:tc>
        <w:tc>
          <w:tcPr>
            <w:tcW w:w="13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(344)</w:t>
            </w:r>
          </w:p>
        </w:tc>
        <w:tc>
          <w:tcPr>
            <w:tcW w:w="3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(372)</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Assets Acquired as Loan Satisfactions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95</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Assets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1,687</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1,009</w:t>
            </w:r>
          </w:p>
        </w:tc>
        <w:tc>
          <w:tcPr>
            <w:tcW w:w="0" w:type="dxa"/>
            <w:vAlign w:val="bottom"/>
          </w:tcPr>
          <w:p>
            <w:pPr>
              <w:spacing w:after="0"/>
              <w:rPr>
                <w:sz w:val="1"/>
                <w:szCs w:val="1"/>
                <w:color w:val="auto"/>
              </w:rPr>
            </w:pPr>
          </w:p>
        </w:tc>
      </w:tr>
      <w:tr>
        <w:trPr>
          <w:trHeight w:val="191"/>
        </w:trPr>
        <w:tc>
          <w:tcPr>
            <w:tcW w:w="68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ASSETS</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820" w:type="dxa"/>
            <w:vAlign w:val="bottom"/>
            <w:vMerge w:val="continue"/>
          </w:tcPr>
          <w:p>
            <w:pPr>
              <w:spacing w:after="0"/>
              <w:rPr>
                <w:sz w:val="16"/>
                <w:szCs w:val="16"/>
                <w:color w:val="auto"/>
              </w:rPr>
            </w:pP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$ 21,786</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$ 18,033</w:t>
            </w:r>
          </w:p>
        </w:tc>
        <w:tc>
          <w:tcPr>
            <w:tcW w:w="0" w:type="dxa"/>
            <w:vAlign w:val="bottom"/>
          </w:tcPr>
          <w:p>
            <w:pPr>
              <w:spacing w:after="0"/>
              <w:rPr>
                <w:sz w:val="1"/>
                <w:szCs w:val="1"/>
                <w:color w:val="auto"/>
              </w:rPr>
            </w:pPr>
          </w:p>
        </w:tc>
      </w:tr>
      <w:tr>
        <w:trPr>
          <w:trHeight w:val="280"/>
        </w:trPr>
        <w:tc>
          <w:tcPr>
            <w:tcW w:w="6820" w:type="dxa"/>
            <w:vAlign w:val="bottom"/>
          </w:tcPr>
          <w:p>
            <w:pPr>
              <w:spacing w:after="0"/>
              <w:rPr>
                <w:sz w:val="24"/>
                <w:szCs w:val="24"/>
                <w:color w:val="auto"/>
              </w:rPr>
            </w:pPr>
          </w:p>
        </w:tc>
        <w:tc>
          <w:tcPr>
            <w:tcW w:w="18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68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right"/>
              <w:ind w:right="557"/>
              <w:spacing w:after="0"/>
              <w:rPr>
                <w:sz w:val="20"/>
                <w:szCs w:val="20"/>
                <w:color w:val="auto"/>
              </w:rPr>
            </w:pPr>
            <w:r>
              <w:rPr>
                <w:rFonts w:ascii="Courier New" w:cs="Courier New" w:eastAsia="Courier New" w:hAnsi="Courier New"/>
                <w:sz w:val="17"/>
                <w:szCs w:val="17"/>
                <w:color w:val="auto"/>
              </w:rPr>
              <w:t>6,172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5,363</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Demand Deposits (Noninterest Bearing)</w:t>
            </w:r>
          </w:p>
        </w:tc>
        <w:tc>
          <w:tcPr>
            <w:tcW w:w="5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Domestic and Foreign Interest Bearing Deposits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11,204</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9,337</w:t>
            </w:r>
          </w:p>
        </w:tc>
        <w:tc>
          <w:tcPr>
            <w:tcW w:w="0" w:type="dxa"/>
            <w:vAlign w:val="bottom"/>
          </w:tcPr>
          <w:p>
            <w:pPr>
              <w:spacing w:after="0"/>
              <w:rPr>
                <w:sz w:val="1"/>
                <w:szCs w:val="1"/>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All Other Liabilities</w:t>
            </w:r>
          </w:p>
        </w:tc>
        <w:tc>
          <w:tcPr>
            <w:tcW w:w="580" w:type="dxa"/>
            <w:vAlign w:val="bottom"/>
          </w:tcPr>
          <w:p>
            <w:pPr>
              <w:spacing w:after="0"/>
              <w:rPr>
                <w:sz w:val="16"/>
                <w:szCs w:val="16"/>
                <w:color w:val="auto"/>
              </w:rPr>
            </w:pPr>
          </w:p>
        </w:tc>
        <w:tc>
          <w:tcPr>
            <w:tcW w:w="13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2,663</w:t>
            </w:r>
          </w:p>
        </w:tc>
        <w:tc>
          <w:tcPr>
            <w:tcW w:w="30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2,053</w:t>
            </w:r>
          </w:p>
        </w:tc>
        <w:tc>
          <w:tcPr>
            <w:tcW w:w="0" w:type="dxa"/>
            <w:vAlign w:val="bottom"/>
          </w:tcPr>
          <w:p>
            <w:pPr>
              <w:spacing w:after="0"/>
              <w:rPr>
                <w:sz w:val="1"/>
                <w:szCs w:val="1"/>
                <w:color w:val="auto"/>
              </w:rPr>
            </w:pPr>
          </w:p>
        </w:tc>
      </w:tr>
      <w:tr>
        <w:trPr>
          <w:trHeight w:val="191"/>
        </w:trPr>
        <w:tc>
          <w:tcPr>
            <w:tcW w:w="68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LIABILITIES</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6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20,039</w:t>
            </w:r>
          </w:p>
        </w:tc>
        <w:tc>
          <w:tcPr>
            <w:tcW w:w="30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16,753</w:t>
            </w:r>
          </w:p>
        </w:tc>
        <w:tc>
          <w:tcPr>
            <w:tcW w:w="0" w:type="dxa"/>
            <w:vAlign w:val="bottom"/>
          </w:tcPr>
          <w:p>
            <w:pPr>
              <w:spacing w:after="0"/>
              <w:rPr>
                <w:sz w:val="1"/>
                <w:szCs w:val="1"/>
                <w:color w:val="auto"/>
              </w:rPr>
            </w:pPr>
          </w:p>
        </w:tc>
      </w:tr>
      <w:tr>
        <w:trPr>
          <w:trHeight w:val="294"/>
        </w:trPr>
        <w:tc>
          <w:tcPr>
            <w:tcW w:w="68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580" w:type="dxa"/>
            <w:vAlign w:val="bottom"/>
          </w:tcPr>
          <w:p>
            <w:pPr>
              <w:spacing w:after="0"/>
              <w:rPr>
                <w:sz w:val="24"/>
                <w:szCs w:val="24"/>
                <w:color w:val="auto"/>
              </w:rPr>
            </w:pPr>
          </w:p>
        </w:tc>
        <w:tc>
          <w:tcPr>
            <w:tcW w:w="13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1,747</w:t>
            </w:r>
          </w:p>
        </w:tc>
        <w:tc>
          <w:tcPr>
            <w:tcW w:w="30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1,280</w:t>
            </w:r>
          </w:p>
        </w:tc>
        <w:tc>
          <w:tcPr>
            <w:tcW w:w="0" w:type="dxa"/>
            <w:vAlign w:val="bottom"/>
          </w:tcPr>
          <w:p>
            <w:pPr>
              <w:spacing w:after="0"/>
              <w:rPr>
                <w:sz w:val="1"/>
                <w:szCs w:val="1"/>
                <w:color w:val="auto"/>
              </w:rPr>
            </w:pPr>
          </w:p>
        </w:tc>
      </w:tr>
      <w:tr>
        <w:trPr>
          <w:trHeight w:val="191"/>
        </w:trPr>
        <w:tc>
          <w:tcPr>
            <w:tcW w:w="68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820" w:type="dxa"/>
            <w:vAlign w:val="bottom"/>
            <w:vMerge w:val="continue"/>
          </w:tcPr>
          <w:p>
            <w:pPr>
              <w:spacing w:after="0"/>
              <w:rPr>
                <w:sz w:val="16"/>
                <w:szCs w:val="16"/>
                <w:color w:val="auto"/>
              </w:rPr>
            </w:pP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$ 21,786</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$ 18,033</w:t>
            </w:r>
          </w:p>
        </w:tc>
        <w:tc>
          <w:tcPr>
            <w:tcW w:w="0" w:type="dxa"/>
            <w:vAlign w:val="bottom"/>
          </w:tcPr>
          <w:p>
            <w:pPr>
              <w:spacing w:after="0"/>
              <w:rPr>
                <w:sz w:val="1"/>
                <w:szCs w:val="1"/>
                <w:color w:val="auto"/>
              </w:rPr>
            </w:pPr>
          </w:p>
        </w:tc>
      </w:tr>
      <w:tr>
        <w:trPr>
          <w:trHeight w:val="280"/>
        </w:trPr>
        <w:tc>
          <w:tcPr>
            <w:tcW w:w="6820" w:type="dxa"/>
            <w:vAlign w:val="bottom"/>
          </w:tcPr>
          <w:p>
            <w:pPr>
              <w:spacing w:after="0"/>
              <w:rPr>
                <w:sz w:val="24"/>
                <w:szCs w:val="24"/>
                <w:color w:val="auto"/>
              </w:rPr>
            </w:pPr>
          </w:p>
        </w:tc>
        <w:tc>
          <w:tcPr>
            <w:tcW w:w="18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2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2019-12-19T19:57:12Z</dcterms:created>
  <dcterms:modified xsi:type="dcterms:W3CDTF">2019-12-19T19:57:12Z</dcterms:modified>
</cp:coreProperties>
</file>