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124460</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6"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131445</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82"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6" w:lineRule="exact"/>
        <w:rPr>
          <w:sz w:val="24"/>
          <w:szCs w:val="24"/>
          <w:color w:val="auto"/>
        </w:rPr>
      </w:pPr>
    </w:p>
    <w:p>
      <w:pPr>
        <w:ind w:left="3900"/>
        <w:spacing w:after="0"/>
        <w:rPr>
          <w:sz w:val="20"/>
          <w:szCs w:val="20"/>
          <w:color w:val="auto"/>
        </w:rPr>
      </w:pPr>
      <w:r>
        <w:rPr>
          <w:rFonts w:ascii="Arial" w:cs="Arial" w:eastAsia="Arial" w:hAnsi="Arial"/>
          <w:sz w:val="12"/>
          <w:szCs w:val="1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154940</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70"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JPMorgan Chase &amp; Co.</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127000</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21" w:lineRule="exact"/>
        <w:rPr>
          <w:sz w:val="24"/>
          <w:szCs w:val="24"/>
          <w:color w:val="auto"/>
        </w:rPr>
      </w:pPr>
    </w:p>
    <w:tbl>
      <w:tblPr>
        <w:tblLayout w:type="fixed"/>
        <w:tblInd w:w="3540" w:type="dxa"/>
        <w:tblCellMar>
          <w:top w:w="0" w:type="dxa"/>
          <w:left w:w="0" w:type="dxa"/>
          <w:bottom w:w="0" w:type="dxa"/>
          <w:right w:w="0" w:type="dxa"/>
        </w:tblCellMar>
      </w:tblP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92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87"/>
        </w:trPr>
        <w:tc>
          <w:tcPr>
            <w:tcW w:w="1620" w:type="dxa"/>
            <w:vAlign w:val="bottom"/>
          </w:tcPr>
          <w:p>
            <w:pPr>
              <w:jc w:val="center"/>
              <w:ind w:right="18"/>
              <w:spacing w:after="0" w:line="87" w:lineRule="exact"/>
              <w:rPr>
                <w:sz w:val="20"/>
                <w:szCs w:val="20"/>
                <w:color w:val="auto"/>
              </w:rPr>
            </w:pPr>
            <w:r>
              <w:rPr>
                <w:rFonts w:ascii="Arial" w:cs="Arial" w:eastAsia="Arial" w:hAnsi="Arial"/>
                <w:sz w:val="8"/>
                <w:szCs w:val="8"/>
                <w:b w:val="1"/>
                <w:bCs w:val="1"/>
                <w:color w:val="auto"/>
              </w:rPr>
              <w:t>(State or other jurisdiction of</w:t>
            </w:r>
          </w:p>
        </w:tc>
        <w:tc>
          <w:tcPr>
            <w:tcW w:w="1340" w:type="dxa"/>
            <w:vAlign w:val="bottom"/>
          </w:tcPr>
          <w:p>
            <w:pPr>
              <w:jc w:val="center"/>
              <w:ind w:right="118"/>
              <w:spacing w:after="0" w:line="87" w:lineRule="exact"/>
              <w:rPr>
                <w:sz w:val="20"/>
                <w:szCs w:val="20"/>
                <w:color w:val="auto"/>
              </w:rPr>
            </w:pPr>
            <w:r>
              <w:rPr>
                <w:rFonts w:ascii="Arial" w:cs="Arial" w:eastAsia="Arial" w:hAnsi="Arial"/>
                <w:sz w:val="8"/>
                <w:szCs w:val="8"/>
                <w:b w:val="1"/>
                <w:bCs w:val="1"/>
                <w:color w:val="auto"/>
              </w:rPr>
              <w:t>(Commission File Number)</w:t>
            </w:r>
          </w:p>
        </w:tc>
        <w:tc>
          <w:tcPr>
            <w:tcW w:w="920" w:type="dxa"/>
            <w:vAlign w:val="bottom"/>
          </w:tcPr>
          <w:p>
            <w:pPr>
              <w:jc w:val="center"/>
              <w:ind w:left="178"/>
              <w:spacing w:after="0" w:line="87" w:lineRule="exact"/>
              <w:rPr>
                <w:sz w:val="20"/>
                <w:szCs w:val="20"/>
                <w:color w:val="auto"/>
              </w:rPr>
            </w:pPr>
            <w:r>
              <w:rPr>
                <w:rFonts w:ascii="Arial" w:cs="Arial" w:eastAsia="Arial" w:hAnsi="Arial"/>
                <w:sz w:val="8"/>
                <w:szCs w:val="8"/>
                <w:b w:val="1"/>
                <w:bCs w:val="1"/>
                <w:color w:val="auto"/>
              </w:rPr>
              <w:t>(I.R.S. employer</w:t>
            </w:r>
          </w:p>
        </w:tc>
      </w:t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incorporation or organization)</w:t>
            </w:r>
          </w:p>
        </w:tc>
        <w:tc>
          <w:tcPr>
            <w:tcW w:w="1340" w:type="dxa"/>
            <w:vAlign w:val="bottom"/>
          </w:tcPr>
          <w:p>
            <w:pPr>
              <w:spacing w:after="0"/>
              <w:rPr>
                <w:sz w:val="9"/>
                <w:szCs w:val="9"/>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identification no.)</w:t>
            </w:r>
          </w:p>
        </w:tc>
      </w:tr>
      <w:tr>
        <w:trPr>
          <w:trHeight w:val="222"/>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270 Park Avenue,</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7"/>
        </w:trPr>
        <w:tc>
          <w:tcPr>
            <w:tcW w:w="1620" w:type="dxa"/>
            <w:vAlign w:val="bottom"/>
          </w:tcPr>
          <w:p>
            <w:pPr>
              <w:ind w:left="360"/>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0"/>
                <w:szCs w:val="10"/>
                <w:color w:val="auto"/>
              </w:rPr>
            </w:pPr>
          </w:p>
        </w:tc>
        <w:tc>
          <w:tcPr>
            <w:tcW w:w="920" w:type="dxa"/>
            <w:vAlign w:val="bottom"/>
          </w:tcPr>
          <w:p>
            <w:pPr>
              <w:jc w:val="right"/>
              <w:ind w:right="198"/>
              <w:spacing w:after="0"/>
              <w:rPr>
                <w:sz w:val="20"/>
                <w:szCs w:val="20"/>
                <w:color w:val="auto"/>
              </w:rPr>
            </w:pPr>
            <w:r>
              <w:rPr>
                <w:rFonts w:ascii="Arial" w:cs="Arial" w:eastAsia="Arial" w:hAnsi="Arial"/>
                <w:sz w:val="8"/>
                <w:szCs w:val="8"/>
                <w:b w:val="1"/>
                <w:bCs w:val="1"/>
                <w:color w:val="auto"/>
              </w:rPr>
              <w:t>10017</w:t>
            </w:r>
          </w:p>
        </w:tc>
      </w:tr>
      <w:tr>
        <w:trPr>
          <w:trHeight w:val="14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(Address of principal executive offices)</w:t>
            </w:r>
          </w:p>
        </w:tc>
        <w:tc>
          <w:tcPr>
            <w:tcW w:w="1340" w:type="dxa"/>
            <w:vAlign w:val="bottom"/>
          </w:tcPr>
          <w:p>
            <w:pPr>
              <w:spacing w:after="0"/>
              <w:rPr>
                <w:sz w:val="12"/>
                <w:szCs w:val="12"/>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(Zip Code)</w:t>
            </w:r>
          </w:p>
        </w:tc>
      </w:tr>
    </w:tbl>
    <w:p>
      <w:pPr>
        <w:spacing w:after="0" w:line="53"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97"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84"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60" w:type="dxa"/>
        <w:tblCellMar>
          <w:top w:w="0" w:type="dxa"/>
          <w:left w:w="0" w:type="dxa"/>
          <w:bottom w:w="0" w:type="dxa"/>
          <w:right w:w="0" w:type="dxa"/>
        </w:tblCellMar>
      </w:tblPr>
      <w:tr>
        <w:trPr>
          <w:trHeight w:val="93"/>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Title of each class</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Trading Symbol(s)</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118"/>
        </w:trPr>
        <w:tc>
          <w:tcPr>
            <w:tcW w:w="720" w:type="dxa"/>
            <w:vAlign w:val="bottom"/>
          </w:tcPr>
          <w:p>
            <w:pPr>
              <w:spacing w:after="0"/>
              <w:rPr>
                <w:sz w:val="20"/>
                <w:szCs w:val="20"/>
                <w:color w:val="auto"/>
              </w:rPr>
            </w:pPr>
            <w:r>
              <w:rPr>
                <w:rFonts w:ascii="Arial" w:cs="Arial" w:eastAsia="Arial" w:hAnsi="Arial"/>
                <w:sz w:val="8"/>
                <w:szCs w:val="8"/>
                <w:b w:val="1"/>
                <w:bCs w:val="1"/>
                <w:color w:val="auto"/>
              </w:rPr>
              <w:t>Common stock</w:t>
            </w:r>
          </w:p>
        </w:tc>
        <w:tc>
          <w:tcPr>
            <w:tcW w:w="4920" w:type="dxa"/>
            <w:vAlign w:val="bottom"/>
          </w:tcPr>
          <w:p>
            <w:pPr>
              <w:spacing w:after="0"/>
              <w:rPr>
                <w:sz w:val="10"/>
                <w:szCs w:val="10"/>
                <w:color w:val="auto"/>
              </w:rPr>
            </w:pP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D</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C</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J</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K</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L</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M</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JPM/32</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Alerian MLP Index ETNs due January 28, 2044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AMJB</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Inverse VIX Short-Term Futures ETNs due March 22, 2045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VYLD</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NYSE Arca, Inc.</w:t>
            </w:r>
          </w:p>
        </w:tc>
      </w:tr>
    </w:tbl>
    <w:p>
      <w:pPr>
        <w:spacing w:after="0" w:line="100" w:lineRule="exact"/>
        <w:rPr>
          <w:sz w:val="24"/>
          <w:szCs w:val="24"/>
          <w:color w:val="auto"/>
        </w:rPr>
      </w:pPr>
    </w:p>
    <w:p>
      <w:pPr>
        <w:ind w:right="580"/>
        <w:spacing w:after="0" w:line="146"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1"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381000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2"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42" w:lineRule="exact"/>
        <w:rPr>
          <w:sz w:val="20"/>
          <w:szCs w:val="20"/>
          <w:color w:val="auto"/>
        </w:rPr>
      </w:pPr>
    </w:p>
    <w:p>
      <w:pPr>
        <w:ind w:left="8" w:right="140"/>
        <w:spacing w:after="0" w:line="286" w:lineRule="auto"/>
        <w:rPr>
          <w:sz w:val="20"/>
          <w:szCs w:val="20"/>
          <w:color w:val="auto"/>
        </w:rPr>
      </w:pPr>
      <w:r>
        <w:rPr>
          <w:rFonts w:ascii="Arial" w:cs="Arial" w:eastAsia="Arial" w:hAnsi="Arial"/>
          <w:sz w:val="12"/>
          <w:szCs w:val="12"/>
          <w:color w:val="auto"/>
        </w:rPr>
        <w:t>On June 24, 2026, JPMorgan Chase &amp; Co. (“JPMorganChase” or the “Firm”) released the results of its company-run 2026 Dodd-Frank Act Stress Test (“DFAST”) for JPMorganChase and JPMorgan Chase Bank, National Association. A copy of that information is attached as Exhibit 99.</w:t>
      </w:r>
    </w:p>
    <w:p>
      <w:pPr>
        <w:spacing w:after="0" w:line="121" w:lineRule="exact"/>
        <w:rPr>
          <w:sz w:val="20"/>
          <w:szCs w:val="20"/>
          <w:color w:val="auto"/>
        </w:rPr>
      </w:pPr>
    </w:p>
    <w:p>
      <w:pPr>
        <w:ind w:left="8" w:right="300"/>
        <w:spacing w:after="0" w:line="268" w:lineRule="auto"/>
        <w:rPr>
          <w:sz w:val="20"/>
          <w:szCs w:val="20"/>
          <w:color w:val="auto"/>
        </w:rPr>
      </w:pPr>
      <w:r>
        <w:rPr>
          <w:rFonts w:ascii="Arial" w:cs="Arial" w:eastAsia="Arial" w:hAnsi="Arial"/>
          <w:sz w:val="12"/>
          <w:szCs w:val="12"/>
          <w:color w:val="auto"/>
        </w:rPr>
        <w:t>The company-run 2026 DFAST results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16" w:lineRule="exact"/>
        <w:rPr>
          <w:sz w:val="20"/>
          <w:szCs w:val="20"/>
          <w:color w:val="auto"/>
        </w:rPr>
      </w:pPr>
    </w:p>
    <w:p>
      <w:pPr>
        <w:ind w:left="8" w:right="120"/>
        <w:spacing w:after="0" w:line="256" w:lineRule="auto"/>
        <w:rPr>
          <w:sz w:val="20"/>
          <w:szCs w:val="20"/>
          <w:color w:val="auto"/>
        </w:rPr>
      </w:pPr>
      <w:r>
        <w:rPr>
          <w:rFonts w:ascii="Arial" w:cs="Arial" w:eastAsia="Arial" w:hAnsi="Arial"/>
          <w:sz w:val="12"/>
          <w:szCs w:val="12"/>
          <w:i w:val="1"/>
          <w:iCs w:val="1"/>
          <w:color w:val="auto"/>
        </w:rPr>
        <w:t xml:space="preserve">This Current Report on Form 8-K (including the Exhibit hereto) contains forward-looking statements within the meaning of the Private Securities Litigation Reform Act of 1995. These statements are based on the beliefs and expectations of JPMorganChase’s management, speak only as of the date on which they were made,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2025 and Quarterly Report on Form 10-Q for the quarter ended March 31, 2026, which have been filed with the Securities and Exchange Commission and are available on JPMorganChase’s website </w:t>
      </w:r>
      <w:r>
        <w:rPr>
          <w:rFonts w:ascii="Arial" w:cs="Arial" w:eastAsia="Arial" w:hAnsi="Arial"/>
          <w:sz w:val="12"/>
          <w:szCs w:val="12"/>
          <w:i w:val="1"/>
          <w:iCs w:val="1"/>
          <w:u w:val="single" w:color="auto"/>
          <w:color w:val="auto"/>
        </w:rPr>
        <w:t>(https://jpmorganchaseco.gcs-web.com/ir/sec-other-filings/overview</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8"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00" w:type="dxa"/>
            <w:vAlign w:val="bottom"/>
          </w:tcPr>
          <w:p>
            <w:pPr>
              <w:spacing w:after="0"/>
              <w:rPr>
                <w:sz w:val="13"/>
                <w:szCs w:val="13"/>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6700" w:type="dxa"/>
            <w:vAlign w:val="bottom"/>
            <w:tcBorders>
              <w:bottom w:val="single" w:sz="8" w:color="auto"/>
            </w:tcBorders>
          </w:tcPr>
          <w:p>
            <w:pPr>
              <w:jc w:val="right"/>
              <w:ind w:right="4060"/>
              <w:spacing w:after="0"/>
              <w:rPr>
                <w:sz w:val="20"/>
                <w:szCs w:val="20"/>
                <w:color w:val="auto"/>
              </w:rPr>
            </w:pPr>
            <w:r>
              <w:rPr>
                <w:rFonts w:ascii="Arial" w:cs="Arial" w:eastAsia="Arial" w:hAnsi="Arial"/>
                <w:sz w:val="12"/>
                <w:szCs w:val="12"/>
                <w:b w:val="1"/>
                <w:bCs w:val="1"/>
                <w:color w:val="auto"/>
              </w:rPr>
              <w:t>Description of Exhibit</w:t>
            </w:r>
          </w:p>
        </w:tc>
        <w:tc>
          <w:tcPr>
            <w:tcW w:w="100" w:type="dxa"/>
            <w:vAlign w:val="bottom"/>
          </w:tcPr>
          <w:p>
            <w:pPr>
              <w:spacing w:after="0"/>
              <w:rPr>
                <w:sz w:val="13"/>
                <w:szCs w:val="13"/>
                <w:color w:val="auto"/>
              </w:rPr>
            </w:pPr>
          </w:p>
        </w:tc>
      </w:tr>
      <w:tr>
        <w:trPr>
          <w:trHeight w:val="214"/>
        </w:trPr>
        <w:tc>
          <w:tcPr>
            <w:tcW w:w="1580" w:type="dxa"/>
            <w:vAlign w:val="bottom"/>
            <w:gridSpan w:val="2"/>
          </w:tcPr>
          <w:p>
            <w:pPr>
              <w:ind w:left="100"/>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3"/>
          </w:tcPr>
          <w:p>
            <w:pPr>
              <w:spacing w:after="0"/>
              <w:rPr>
                <w:sz w:val="20"/>
                <w:szCs w:val="20"/>
                <w:color w:val="auto"/>
              </w:rPr>
            </w:pPr>
            <w:r>
              <w:rPr>
                <w:rFonts w:ascii="Arial" w:cs="Arial" w:eastAsia="Arial" w:hAnsi="Arial"/>
                <w:sz w:val="12"/>
                <w:szCs w:val="12"/>
                <w:color w:val="0000FF"/>
              </w:rPr>
              <w:t>2026 Annual Stress Test Disclosure - DFAST results</w:t>
            </w:r>
          </w:p>
        </w:tc>
      </w:tr>
      <w:tr>
        <w:trPr>
          <w:trHeight w:val="20"/>
        </w:trPr>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r>
      <w:tr>
        <w:trPr>
          <w:trHeight w:val="156"/>
        </w:trPr>
        <w:tc>
          <w:tcPr>
            <w:tcW w:w="1580" w:type="dxa"/>
            <w:vAlign w:val="bottom"/>
            <w:gridSpan w:val="2"/>
          </w:tcPr>
          <w:p>
            <w:pPr>
              <w:ind w:left="10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3"/>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9"/>
        </w:trPr>
        <w:tc>
          <w:tcPr>
            <w:tcW w:w="1580" w:type="dxa"/>
            <w:vAlign w:val="bottom"/>
            <w:gridSpan w:val="2"/>
          </w:tcPr>
          <w:p>
            <w:pPr>
              <w:ind w:left="10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29"/>
        </w:trPr>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80" w:type="dxa"/>
            <w:vAlign w:val="bottom"/>
            <w:gridSpan w:val="3"/>
          </w:tcPr>
          <w:p>
            <w:pPr>
              <w:jc w:val="right"/>
              <w:ind w:right="54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r>
      <w:tr>
        <w:trPr>
          <w:trHeight w:val="70"/>
        </w:trPr>
        <w:tc>
          <w:tcPr>
            <w:tcW w:w="1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760" w:type="dxa"/>
            <w:vAlign w:val="bottom"/>
            <w:tcBorders>
              <w:bottom w:val="single" w:sz="8" w:color="9A9A9A"/>
            </w:tcBorders>
          </w:tcPr>
          <w:p>
            <w:pPr>
              <w:spacing w:after="0"/>
              <w:rPr>
                <w:sz w:val="6"/>
                <w:szCs w:val="6"/>
                <w:color w:val="auto"/>
              </w:rPr>
            </w:pPr>
          </w:p>
        </w:tc>
        <w:tc>
          <w:tcPr>
            <w:tcW w:w="67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tbl>
      <w:tblPr>
        <w:tblLayout w:type="fixed"/>
        <w:tblInd w:w="580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90"/>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Jordan A. Costa</w:t>
            </w:r>
          </w:p>
        </w:tc>
      </w:tr>
      <w:tr>
        <w:trPr>
          <w:trHeight w:val="13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Jordan A. Costa</w:t>
            </w:r>
          </w:p>
        </w:tc>
      </w:tr>
      <w:tr>
        <w:trPr>
          <w:trHeight w:val="159"/>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Managing Director</w:t>
            </w:r>
          </w:p>
        </w:tc>
      </w:tr>
    </w:tbl>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June 24, 2026</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75"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44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44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44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44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44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44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2026-06-24T15:25:17Z</dcterms:created>
  <dcterms:modified xsi:type="dcterms:W3CDTF">2026-06-24T15:25:17Z</dcterms:modified>
</cp:coreProperties>
</file>