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8186-01_fwp.htm"/>
      <w:bookmarkStart w:id="1" w:name="ksea030818601_fwp"/>
      <w:bookmarkStart w:id="2" w:name="ea0308186-01_fwp.htm"/>
      <w:bookmarkStart w:id="3" w:name="ksea030818601_fwp"/>
      <w:bookmarkEnd w:id="2"/>
      <w:bookmarkEnd w:id="3"/>
    </w:p>
    <w:tbl>
      <w:tblPr>
        <w:tblW w:w="10205" w:type="dxa"/>
        <w:jc w:val="left"/>
        <w:tblInd w:w="0" w:type="dxa"/>
        <w:tblLayout w:type="fixed"/>
        <w:tblCellMar>
          <w:top w:w="0" w:type="dxa"/>
          <w:left w:w="0" w:type="dxa"/>
          <w:bottom w:w="0" w:type="dxa"/>
          <w:right w:w="0" w:type="dxa"/>
        </w:tblCellMar>
      </w:tblPr>
      <w:tblGrid>
        <w:gridCol w:w="6148"/>
        <w:gridCol w:w="4057"/>
      </w:tblGrid>
      <w:tr>
        <w:trPr/>
        <w:tc>
          <w:tcPr>
            <w:tcW w:w="6148"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left"/>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405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48" w:type="dxa"/>
            <w:vMerge w:val="continue"/>
            <w:tcBorders/>
            <w:vAlign w:val="center"/>
          </w:tcPr>
          <w:p>
            <w:pPr>
              <w:pStyle w:val="Normal"/>
              <w:bidi w:val="0"/>
              <w:jc w:val="left"/>
              <w:rPr/>
            </w:pPr>
            <w:r>
              <w:rPr/>
            </w:r>
          </w:p>
        </w:tc>
        <w:tc>
          <w:tcPr>
            <w:tcW w:w="4057" w:type="dxa"/>
            <w:tcBorders/>
            <w:vAlign w:val="center"/>
          </w:tcPr>
          <w:p>
            <w:pPr>
              <w:pStyle w:val="TableContents"/>
              <w:bidi w:val="0"/>
              <w:spacing w:before="0" w:after="283"/>
              <w:jc w:val="right"/>
              <w:rPr/>
            </w:pPr>
            <w:r>
              <w:rPr/>
              <w:drawing>
                <wp:inline distT="0" distB="0" distL="0" distR="0">
                  <wp:extent cx="17430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4572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Lockheed Martin Corporation, the Common Stock of QUALCOMM Incorporated and the Common Stock of Packaging Corporation of America due October 19, 2028</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8, 2026 to Preliminary Pricing Supplement dated October 8,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3"/>
                              <w:gridCol w:w="9062"/>
                            </w:tblGrid>
                            <w:tr>
                              <w:trPr/>
                              <w:tc>
                                <w:tcPr>
                                  <w:tcW w:w="11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Lockheed Martin Corporation (Bloomberg ticker: LMT), the common stock of QUALCOMM Incorporated (Bloomberg ticker: QCOM) and the common stock of Packaging Corporation of America (Bloomberg ticker: PKG)</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16,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21,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19, 2028</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2"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10.00% per annum (to be provided in the pricing supplement)</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January 2027 to September 2028, inclusive, is greater than or equal to its call value,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Value:</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90% of its starting price</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16</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November 2026 and ending October 2028.  We refer to October 16, 2028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3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3"/>
                        <w:gridCol w:w="9062"/>
                      </w:tblGrid>
                      <w:tr>
                        <w:trPr/>
                        <w:tc>
                          <w:tcPr>
                            <w:tcW w:w="114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Lockheed Martin Corporation (Bloomberg ticker: LMT), the common stock of QUALCOMM Incorporated (Bloomberg ticker: QCOM) and the common stock of Packaging Corporation of America (Bloomberg ticker: PKG)</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16,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21, 2026</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19, 2028</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2"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10.00% per annum (to be provided in the pricing supplement)</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January 2027 to September 2028, inclusive, is greater than or equal to its call value,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Value:</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90% of its starting price</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16</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November 2026 and ending October 2028.  We refer to October 16, 2028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3"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2"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3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50%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46661PKY2</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2.075%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333750" cy="2276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276475"/>
                                          </a:xfrm>
                                          <a:prstGeom prst="rect">
                                            <a:avLst/>
                                          </a:prstGeom>
                                        </pic:spPr>
                                      </pic:pic>
                                    </a:graphicData>
                                  </a:graphic>
                                </wp:inline>
                              </w:drawing>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50%, and possibly all, of the principal amount of your securities at maturity.</w:t>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$953.00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40"/>
                              <w:ind w:left="130" w:right="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w:t>
                                <w:br/>
                                <w:t>000121390026108063/ea0308112-01_424b2.htm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50%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46661PKY2</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2.075%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333750" cy="22764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276475"/>
                                    </a:xfrm>
                                    <a:prstGeom prst="rect">
                                      <a:avLst/>
                                    </a:prstGeom>
                                  </pic:spPr>
                                </pic:pic>
                              </a:graphicData>
                            </a:graphic>
                          </wp:inline>
                        </w:drawing>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50%, and possibly all, of the principal amount of your securities at maturity.</w:t>
                      </w:r>
                    </w:p>
                    <w:p>
                      <w:pPr>
                        <w:pStyle w:val="TextBody"/>
                        <w:bidi w:val="0"/>
                        <w:spacing w:before="0" w:after="40"/>
                        <w:ind w:left="13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13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$953.00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40"/>
                        <w:ind w:left="130" w:right="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w:t>
                          <w:br/>
                          <w:t>000121390026108063/ea0308112-01_424b2.htm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1"/>
        <w:gridCol w:w="5184"/>
      </w:tblGrid>
      <w:tr>
        <w:trPr/>
        <w:tc>
          <w:tcPr>
            <w:tcW w:w="5021"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50%,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184"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Times New Roman;Times;Serif" w:hAnsi="Times New Roman;Times;Serif"/>
                <w:b w:val="false"/>
                <w:i w:val="false"/>
                <w:caps w:val="false"/>
                <w:smallCaps w:val="false"/>
                <w:sz w:val="24"/>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24"/>
              </w:rPr>
              <w:t xml:space="preserve">        </w:t>
            </w:r>
            <w:r>
              <w:rPr>
                <w:rFonts w:ascii="Georgia;Times;Serif" w:hAnsi="Georgia;Times;Serif"/>
                <w:b/>
                <w:i w:val="false"/>
                <w:caps w:val="false"/>
                <w:smallCaps w:val="false"/>
                <w:sz w:val="18"/>
              </w:rPr>
              <w:t>No Affiliation with Any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 xml:space="preserve">Any Payment on the Securities Will Depend upon the Performance of Each Underlying Stock and Therefore the Securities Are Subject to the Risks Associated with Each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8063/ea0308112-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8063/ea0308112-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1858</Words>
  <Characters>10047</Characters>
  <CharactersWithSpaces>11993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