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00045-01_fwp.htm"/>
      <w:bookmarkStart w:id="1" w:name="ksea0300045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July 31,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60.5-Month SX5E/TPX/UKX/SMI/AS51 Basket Dual Directional Trigger Jump Securities</w:t>
      </w:r>
    </w:p>
    <w:p>
      <w:pPr>
        <w:pStyle w:val="TextBody"/>
        <w:bidi w:val="0"/>
        <w:ind w:left="86"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spacing w:before="0" w:after="0"/>
        <w:jc w:val="center"/>
        <w:rPr/>
      </w:pPr>
      <w:r>
        <w:rPr/>
        <w:t>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4720" w:type="dxa"/>
                              <w:jc w:val="left"/>
                              <w:tblInd w:w="0" w:type="dxa"/>
                              <w:tblLayout w:type="fixed"/>
                              <w:tblCellMar>
                                <w:top w:w="0" w:type="dxa"/>
                                <w:left w:w="0" w:type="dxa"/>
                                <w:bottom w:w="0" w:type="dxa"/>
                                <w:right w:w="0" w:type="dxa"/>
                              </w:tblCellMar>
                            </w:tblPr>
                            <w:tblGrid>
                              <w:gridCol w:w="905"/>
                              <w:gridCol w:w="3815"/>
                            </w:tblGrid>
                            <w:tr>
                              <w:trPr/>
                              <w:tc>
                                <w:tcPr>
                                  <w:tcW w:w="905"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3815" w:type="dxa"/>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9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3815" w:type="dxa"/>
                                  <w:tcBorders/>
                                  <w:shd w:fill="DCEBF4" w:val="clear"/>
                                  <w:vAlign w:val="center"/>
                                </w:tcPr>
                                <w:p>
                                  <w:pPr>
                                    <w:pStyle w:val="TableContents"/>
                                    <w:bidi w:val="0"/>
                                    <w:spacing w:before="0" w:after="283"/>
                                    <w:jc w:val="left"/>
                                    <w:rPr>
                                      <w:sz w:val="14"/>
                                    </w:rPr>
                                  </w:pPr>
                                  <w:r>
                                    <w:rPr>
                                      <w:sz w:val="14"/>
                                    </w:rPr>
                                    <w:t>JPMorgan Chase &amp; Co.</w:t>
                                  </w:r>
                                </w:p>
                              </w:tc>
                            </w:tr>
                          </w:tbl>
                          <w:tbl>
                            <w:tblPr>
                              <w:tblW w:w="10205" w:type="dxa"/>
                              <w:jc w:val="left"/>
                              <w:tblInd w:w="0" w:type="dxa"/>
                              <w:tblLayout w:type="fixed"/>
                              <w:tblCellMar>
                                <w:top w:w="0" w:type="dxa"/>
                                <w:left w:w="0" w:type="dxa"/>
                                <w:bottom w:w="0" w:type="dxa"/>
                                <w:right w:w="0" w:type="dxa"/>
                              </w:tblCellMar>
                            </w:tblPr>
                            <w:tblGrid>
                              <w:gridCol w:w="601"/>
                              <w:gridCol w:w="5652"/>
                              <w:gridCol w:w="2254"/>
                              <w:gridCol w:w="1698"/>
                            </w:tblGrid>
                            <w:tr>
                              <w:trPr/>
                              <w:tc>
                                <w:tcPr>
                                  <w:tcW w:w="601" w:type="dxa"/>
                                  <w:vMerge w:val="restart"/>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Basket:</w:t>
                                  </w:r>
                                </w:p>
                              </w:tc>
                              <w:tc>
                                <w:tcPr>
                                  <w:tcW w:w="565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2254"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Bloomberg</w:t>
                                    <w:br/>
                                    <w:t>ticker symbol</w:t>
                                  </w:r>
                                </w:p>
                              </w:tc>
                              <w:tc>
                                <w:tcPr>
                                  <w:tcW w:w="1698"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br/>
                                    <w:t>weighting</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2254" w:type="dxa"/>
                                  <w:tcBorders/>
                                  <w:vAlign w:val="center"/>
                                </w:tcPr>
                                <w:p>
                                  <w:pPr>
                                    <w:pStyle w:val="TableContents"/>
                                    <w:bidi w:val="0"/>
                                    <w:spacing w:before="0" w:after="283"/>
                                    <w:jc w:val="left"/>
                                    <w:rPr>
                                      <w:sz w:val="14"/>
                                    </w:rPr>
                                  </w:pPr>
                                  <w:r>
                                    <w:rPr>
                                      <w:sz w:val="14"/>
                                    </w:rPr>
                                    <w:t>SX5E</w:t>
                                  </w:r>
                                </w:p>
                              </w:tc>
                              <w:tc>
                                <w:tcPr>
                                  <w:tcW w:w="1698" w:type="dxa"/>
                                  <w:tcBorders/>
                                  <w:vAlign w:val="center"/>
                                </w:tcPr>
                                <w:p>
                                  <w:pPr>
                                    <w:pStyle w:val="TableContents"/>
                                    <w:bidi w:val="0"/>
                                    <w:spacing w:before="0" w:after="283"/>
                                    <w:jc w:val="left"/>
                                    <w:rPr>
                                      <w:sz w:val="14"/>
                                    </w:rPr>
                                  </w:pPr>
                                  <w:r>
                                    <w:rPr>
                                      <w:sz w:val="14"/>
                                    </w:rPr>
                                    <w:t>40.00%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2254" w:type="dxa"/>
                                  <w:tcBorders/>
                                  <w:vAlign w:val="center"/>
                                </w:tcPr>
                                <w:p>
                                  <w:pPr>
                                    <w:pStyle w:val="TableContents"/>
                                    <w:bidi w:val="0"/>
                                    <w:spacing w:before="0" w:after="283"/>
                                    <w:jc w:val="left"/>
                                    <w:rPr>
                                      <w:sz w:val="14"/>
                                    </w:rPr>
                                  </w:pPr>
                                  <w:r>
                                    <w:rPr>
                                      <w:sz w:val="14"/>
                                    </w:rPr>
                                    <w:t>TPX</w:t>
                                  </w:r>
                                </w:p>
                              </w:tc>
                              <w:tc>
                                <w:tcPr>
                                  <w:tcW w:w="1698" w:type="dxa"/>
                                  <w:tcBorders/>
                                  <w:vAlign w:val="center"/>
                                </w:tcPr>
                                <w:p>
                                  <w:pPr>
                                    <w:pStyle w:val="TableContents"/>
                                    <w:bidi w:val="0"/>
                                    <w:spacing w:before="0" w:after="283"/>
                                    <w:jc w:val="left"/>
                                    <w:rPr>
                                      <w:sz w:val="14"/>
                                    </w:rPr>
                                  </w:pPr>
                                  <w:r>
                                    <w:rPr>
                                      <w:sz w:val="14"/>
                                    </w:rPr>
                                    <w:t>25.00%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2254" w:type="dxa"/>
                                  <w:tcBorders/>
                                  <w:vAlign w:val="center"/>
                                </w:tcPr>
                                <w:p>
                                  <w:pPr>
                                    <w:pStyle w:val="TableContents"/>
                                    <w:bidi w:val="0"/>
                                    <w:spacing w:before="0" w:after="283"/>
                                    <w:jc w:val="left"/>
                                    <w:rPr>
                                      <w:sz w:val="14"/>
                                    </w:rPr>
                                  </w:pPr>
                                  <w:r>
                                    <w:rPr>
                                      <w:sz w:val="14"/>
                                    </w:rPr>
                                    <w:t>UKX</w:t>
                                  </w:r>
                                </w:p>
                              </w:tc>
                              <w:tc>
                                <w:tcPr>
                                  <w:tcW w:w="1698" w:type="dxa"/>
                                  <w:tcBorders/>
                                  <w:vAlign w:val="center"/>
                                </w:tcPr>
                                <w:p>
                                  <w:pPr>
                                    <w:pStyle w:val="TableContents"/>
                                    <w:bidi w:val="0"/>
                                    <w:spacing w:before="0" w:after="283"/>
                                    <w:jc w:val="left"/>
                                    <w:rPr>
                                      <w:sz w:val="14"/>
                                    </w:rPr>
                                  </w:pPr>
                                  <w:r>
                                    <w:rPr>
                                      <w:sz w:val="14"/>
                                    </w:rPr>
                                    <w:t>17.50%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Swiss Market Index (the “SMI Index”)</w:t>
                                  </w:r>
                                </w:p>
                              </w:tc>
                              <w:tc>
                                <w:tcPr>
                                  <w:tcW w:w="2254" w:type="dxa"/>
                                  <w:tcBorders/>
                                  <w:vAlign w:val="center"/>
                                </w:tcPr>
                                <w:p>
                                  <w:pPr>
                                    <w:pStyle w:val="TableContents"/>
                                    <w:bidi w:val="0"/>
                                    <w:spacing w:before="0" w:after="283"/>
                                    <w:jc w:val="left"/>
                                    <w:rPr>
                                      <w:sz w:val="14"/>
                                    </w:rPr>
                                  </w:pPr>
                                  <w:r>
                                    <w:rPr>
                                      <w:sz w:val="14"/>
                                    </w:rPr>
                                    <w:t>SMI</w:t>
                                  </w:r>
                                </w:p>
                              </w:tc>
                              <w:tc>
                                <w:tcPr>
                                  <w:tcW w:w="1698" w:type="dxa"/>
                                  <w:tcBorders/>
                                  <w:vAlign w:val="center"/>
                                </w:tcPr>
                                <w:p>
                                  <w:pPr>
                                    <w:pStyle w:val="TableContents"/>
                                    <w:bidi w:val="0"/>
                                    <w:spacing w:before="0" w:after="283"/>
                                    <w:jc w:val="left"/>
                                    <w:rPr>
                                      <w:sz w:val="14"/>
                                    </w:rPr>
                                  </w:pPr>
                                  <w:r>
                                    <w:rPr>
                                      <w:sz w:val="14"/>
                                    </w:rPr>
                                    <w:t>10.00%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S&amp;P/ASX 200 Index (the “AS51 Index”)</w:t>
                                  </w:r>
                                </w:p>
                              </w:tc>
                              <w:tc>
                                <w:tcPr>
                                  <w:tcW w:w="2254" w:type="dxa"/>
                                  <w:tcBorders/>
                                  <w:vAlign w:val="center"/>
                                </w:tcPr>
                                <w:p>
                                  <w:pPr>
                                    <w:pStyle w:val="TableContents"/>
                                    <w:bidi w:val="0"/>
                                    <w:spacing w:before="0" w:after="283"/>
                                    <w:jc w:val="left"/>
                                    <w:rPr>
                                      <w:sz w:val="14"/>
                                    </w:rPr>
                                  </w:pPr>
                                  <w:r>
                                    <w:rPr>
                                      <w:sz w:val="14"/>
                                    </w:rPr>
                                    <w:t>AS51</w:t>
                                  </w:r>
                                </w:p>
                              </w:tc>
                              <w:tc>
                                <w:tcPr>
                                  <w:tcW w:w="1698" w:type="dxa"/>
                                  <w:tcBorders/>
                                  <w:vAlign w:val="center"/>
                                </w:tcPr>
                                <w:p>
                                  <w:pPr>
                                    <w:pStyle w:val="TableContents"/>
                                    <w:bidi w:val="0"/>
                                    <w:spacing w:before="0" w:after="283"/>
                                    <w:jc w:val="left"/>
                                    <w:rPr>
                                      <w:sz w:val="14"/>
                                    </w:rPr>
                                  </w:pPr>
                                  <w:r>
                                    <w:rPr>
                                      <w:sz w:val="14"/>
                                    </w:rPr>
                                    <w:t>7.50%</w:t>
                                  </w:r>
                                </w:p>
                              </w:tc>
                            </w:tr>
                            <w:tr>
                              <w:trPr/>
                              <w:tc>
                                <w:tcPr>
                                  <w:tcW w:w="601" w:type="dxa"/>
                                  <w:vMerge w:val="continue"/>
                                  <w:tcBorders/>
                                  <w:vAlign w:val="center"/>
                                </w:tcPr>
                                <w:p>
                                  <w:pPr>
                                    <w:pStyle w:val="Normal"/>
                                    <w:bidi w:val="0"/>
                                    <w:jc w:val="left"/>
                                    <w:rPr/>
                                  </w:pPr>
                                  <w:r>
                                    <w:rPr/>
                                  </w:r>
                                </w:p>
                              </w:tc>
                              <w:tc>
                                <w:tcPr>
                                  <w:tcW w:w="9604" w:type="dxa"/>
                                  <w:gridSpan w:val="3"/>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securities and your payment at maturity will depend significantly on the performance of the SX5E Index.</w:t>
                                  </w:r>
                                </w:p>
                              </w:tc>
                            </w:tr>
                          </w:tbl>
                          <w:tbl>
                            <w:tblPr>
                              <w:tblW w:w="10205" w:type="dxa"/>
                              <w:jc w:val="left"/>
                              <w:tblInd w:w="0" w:type="dxa"/>
                              <w:tblLayout w:type="fixed"/>
                              <w:tblCellMar>
                                <w:top w:w="0" w:type="dxa"/>
                                <w:left w:w="0" w:type="dxa"/>
                                <w:bottom w:w="0" w:type="dxa"/>
                                <w:right w:w="0" w:type="dxa"/>
                              </w:tblCellMar>
                            </w:tblPr>
                            <w:tblGrid>
                              <w:gridCol w:w="2260"/>
                              <w:gridCol w:w="7945"/>
                            </w:tblGrid>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w:t>
                                    <w:br/>
                                    <w:t xml:space="preserve">maturity: </w:t>
                                  </w:r>
                                </w:p>
                              </w:tc>
                              <w:tc>
                                <w:tcPr>
                                  <w:tcW w:w="7945"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initial basket value, for each $1,000 stated principal amount security:</w:t>
                                  </w:r>
                                </w:p>
                                <w:p>
                                  <w:pPr>
                                    <w:pStyle w:val="TableContents"/>
                                    <w:bidi w:val="0"/>
                                    <w:spacing w:before="40" w:after="40"/>
                                    <w:ind w:left="40" w:right="40"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the greater of (a) $1,000 × basket percent change and (b) the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less than</w:t>
                                  </w:r>
                                  <w:r>
                                    <w:rPr>
                                      <w:rFonts w:ascii="Arial;Helvetica;Sans-Serif" w:hAnsi="Arial;Helvetica;Sans-Serif"/>
                                      <w:b w:val="false"/>
                                      <w:i w:val="false"/>
                                      <w:caps w:val="false"/>
                                      <w:smallCaps w:val="false"/>
                                      <w:sz w:val="14"/>
                                    </w:rPr>
                                    <w:t xml:space="preserve"> the initial basket value but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trigger level, for each $1,000 stated principal amount security:</w:t>
                                  </w:r>
                                </w:p>
                                <w:p>
                                  <w:pPr>
                                    <w:pStyle w:val="TableContents"/>
                                    <w:bidi w:val="0"/>
                                    <w:spacing w:before="40" w:after="40"/>
                                    <w:ind w:left="40" w:right="40"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($1,000 × absolute basket return)</w:t>
                                  </w:r>
                                </w:p>
                                <w:p>
                                  <w:pPr>
                                    <w:pStyle w:val="TableContents"/>
                                    <w:bidi w:val="0"/>
                                    <w:spacing w:before="40" w:after="40"/>
                                    <w:ind w:left="40" w:right="4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In this scenario, you will receive a 1% positive return on the securities for each 1% negative return on the basket. In no event will this amount exceed the stated principal amount plus $250.00.</w:t>
                                  </w:r>
                                </w:p>
                                <w:p>
                                  <w:pPr>
                                    <w:pStyle w:val="TableContents"/>
                                    <w:bidi w:val="0"/>
                                    <w:spacing w:before="40" w:after="40"/>
                                    <w:ind w:left="40" w:right="4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Accordingly, the maximum downside payment at maturity is $1,250.00 per security.</w:t>
                                  </w:r>
                                </w:p>
                                <w:p>
                                  <w:pPr>
                                    <w:pStyle w:val="TableContents"/>
                                    <w:bidi w:val="0"/>
                                    <w:spacing w:before="40" w:after="40"/>
                                    <w:ind w:left="40" w:right="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less than</w:t>
                                  </w:r>
                                  <w:r>
                                    <w:rPr>
                                      <w:rFonts w:ascii="Arial;Helvetica;Sans-Serif" w:hAnsi="Arial;Helvetica;Sans-Serif"/>
                                      <w:b w:val="false"/>
                                      <w:i w:val="false"/>
                                      <w:caps w:val="false"/>
                                      <w:smallCaps w:val="false"/>
                                      <w:sz w:val="14"/>
                                    </w:rPr>
                                    <w:t xml:space="preserve"> the trigger level, for each $1,000 stated principal amount security:</w:t>
                                  </w:r>
                                </w:p>
                                <w:p>
                                  <w:pPr>
                                    <w:pStyle w:val="TableContents"/>
                                    <w:bidi w:val="0"/>
                                    <w:spacing w:before="40" w:after="40"/>
                                    <w:ind w:left="40" w:right="40"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basket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This amount will be less than the stated principal amount of $1,000 per security, and will represent a loss of more than 25%, and possibly all, of your investment.</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7945" w:type="dxa"/>
                                  <w:tcBorders/>
                                  <w:vAlign w:val="center"/>
                                </w:tcPr>
                                <w:p>
                                  <w:pPr>
                                    <w:pStyle w:val="TableContents"/>
                                    <w:bidi w:val="0"/>
                                    <w:spacing w:before="0" w:after="283"/>
                                    <w:jc w:val="left"/>
                                    <w:rPr>
                                      <w:sz w:val="14"/>
                                    </w:rPr>
                                  </w:pPr>
                                  <w:r>
                                    <w:rPr>
                                      <w:sz w:val="14"/>
                                    </w:rPr>
                                    <w:t>At least $453.50 per $1,000 stated principal amount security (at least 45.35% of the stated principal amount)</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Basket percent</w:t>
                                    <w:br/>
                                    <w:t>change:</w:t>
                                  </w:r>
                                </w:p>
                              </w:tc>
                              <w:tc>
                                <w:tcPr>
                                  <w:tcW w:w="7945"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basket</w:t>
                                    <w:br/>
                                    <w:t>return:</w:t>
                                  </w:r>
                                </w:p>
                              </w:tc>
                              <w:tc>
                                <w:tcPr>
                                  <w:tcW w:w="7945" w:type="dxa"/>
                                  <w:tcBorders/>
                                  <w:vAlign w:val="center"/>
                                </w:tcPr>
                                <w:p>
                                  <w:pPr>
                                    <w:pStyle w:val="TableContents"/>
                                    <w:bidi w:val="0"/>
                                    <w:spacing w:before="0" w:after="283"/>
                                    <w:jc w:val="left"/>
                                    <w:rPr>
                                      <w:sz w:val="14"/>
                                    </w:rPr>
                                  </w:pPr>
                                  <w:r>
                                    <w:rPr>
                                      <w:sz w:val="14"/>
                                    </w:rPr>
                                    <w:t>The absolute value of the basket percent change.  For example, a -5% basket percent change will result in a +5% absolute basket return.</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basket</w:t>
                                    <w:br/>
                                    <w:t xml:space="preserve">value: </w:t>
                                  </w:r>
                                </w:p>
                              </w:tc>
                              <w:tc>
                                <w:tcPr>
                                  <w:tcW w:w="7945" w:type="dxa"/>
                                  <w:tcBorders/>
                                  <w:shd w:fill="DCEBF4" w:val="clear"/>
                                  <w:vAlign w:val="center"/>
                                </w:tcPr>
                                <w:p>
                                  <w:pPr>
                                    <w:pStyle w:val="TableContents"/>
                                    <w:bidi w:val="0"/>
                                    <w:spacing w:before="0" w:after="283"/>
                                    <w:jc w:val="left"/>
                                    <w:rPr>
                                      <w:sz w:val="14"/>
                                    </w:rPr>
                                  </w:pPr>
                                  <w:r>
                                    <w:rPr>
                                      <w:sz w:val="14"/>
                                    </w:rPr>
                                    <w:t>Set equal to 100 on the pricing date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basket value: </w:t>
                                  </w:r>
                                </w:p>
                              </w:tc>
                              <w:tc>
                                <w:tcPr>
                                  <w:tcW w:w="7945" w:type="dxa"/>
                                  <w:tcBorders/>
                                  <w:vAlign w:val="center"/>
                                </w:tcPr>
                                <w:p>
                                  <w:pPr>
                                    <w:pStyle w:val="TableContents"/>
                                    <w:bidi w:val="0"/>
                                    <w:spacing w:before="0" w:after="283"/>
                                    <w:jc w:val="left"/>
                                    <w:rPr>
                                      <w:sz w:val="14"/>
                                    </w:rPr>
                                  </w:pPr>
                                  <w:r>
                                    <w:rPr>
                                      <w:sz w:val="14"/>
                                    </w:rPr>
                                    <w:t>The basket closing value on the valuation date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w:t>
                                    <w:br/>
                                    <w:t xml:space="preserve">value: </w:t>
                                  </w:r>
                                </w:p>
                              </w:tc>
                              <w:tc>
                                <w:tcPr>
                                  <w:tcW w:w="7945"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w:t>
                                    <w:br/>
                                    <w:t xml:space="preserve">value: </w:t>
                                  </w:r>
                                </w:p>
                              </w:tc>
                              <w:tc>
                                <w:tcPr>
                                  <w:tcW w:w="7945" w:type="dxa"/>
                                  <w:tcBorders/>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7945" w:type="dxa"/>
                                  <w:tcBorders/>
                                  <w:shd w:fill="DCEBF4" w:val="clear"/>
                                  <w:vAlign w:val="center"/>
                                </w:tcPr>
                                <w:p>
                                  <w:pPr>
                                    <w:pStyle w:val="TableContents"/>
                                    <w:bidi w:val="0"/>
                                    <w:spacing w:before="0" w:after="283"/>
                                    <w:jc w:val="left"/>
                                    <w:rPr>
                                      <w:sz w:val="14"/>
                                    </w:rPr>
                                  </w:pPr>
                                  <w:r>
                                    <w:rPr>
                                      <w:sz w:val="14"/>
                                    </w:rPr>
                                    <w:t>75, which is 75% of the initial basket value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Basket</w:t>
                                    <w:br/>
                                    <w:t>performance factor:</w:t>
                                  </w:r>
                                </w:p>
                              </w:tc>
                              <w:tc>
                                <w:tcPr>
                                  <w:tcW w:w="7945" w:type="dxa"/>
                                  <w:tcBorders/>
                                  <w:vAlign w:val="center"/>
                                </w:tcPr>
                                <w:p>
                                  <w:pPr>
                                    <w:pStyle w:val="TableContents"/>
                                    <w:bidi w:val="0"/>
                                    <w:spacing w:before="0" w:after="283"/>
                                    <w:jc w:val="left"/>
                                    <w:rPr>
                                      <w:sz w:val="14"/>
                                    </w:rPr>
                                  </w:pPr>
                                  <w:r>
                                    <w:rPr>
                                      <w:sz w:val="14"/>
                                    </w:rPr>
                                    <w:t>final basket value / initial basket value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945" w:type="dxa"/>
                                  <w:tcBorders/>
                                  <w:shd w:fill="DCEBF4" w:val="clear"/>
                                  <w:vAlign w:val="center"/>
                                </w:tcPr>
                                <w:p>
                                  <w:pPr>
                                    <w:pStyle w:val="TableContents"/>
                                    <w:bidi w:val="0"/>
                                    <w:spacing w:before="0" w:after="283"/>
                                    <w:jc w:val="left"/>
                                    <w:rPr>
                                      <w:sz w:val="14"/>
                                    </w:rPr>
                                  </w:pPr>
                                  <w:r>
                                    <w:rPr>
                                      <w:sz w:val="14"/>
                                    </w:rPr>
                                    <w:t>$1,000 per security</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945" w:type="dxa"/>
                                  <w:tcBorders/>
                                  <w:vAlign w:val="center"/>
                                </w:tcPr>
                                <w:p>
                                  <w:pPr>
                                    <w:pStyle w:val="TableContents"/>
                                    <w:bidi w:val="0"/>
                                    <w:spacing w:before="0" w:after="283"/>
                                    <w:jc w:val="left"/>
                                    <w:rPr>
                                      <w:sz w:val="14"/>
                                    </w:rPr>
                                  </w:pPr>
                                  <w:r>
                                    <w:rPr>
                                      <w:sz w:val="14"/>
                                    </w:rPr>
                                    <w:t>$1,000 per security</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945" w:type="dxa"/>
                                  <w:tcBorders/>
                                  <w:shd w:fill="DCEBF4" w:val="clear"/>
                                  <w:vAlign w:val="center"/>
                                </w:tcPr>
                                <w:p>
                                  <w:pPr>
                                    <w:pStyle w:val="TableContents"/>
                                    <w:bidi w:val="0"/>
                                    <w:spacing w:before="0" w:after="283"/>
                                    <w:jc w:val="left"/>
                                    <w:rPr>
                                      <w:sz w:val="14"/>
                                    </w:rPr>
                                  </w:pPr>
                                  <w:r>
                                    <w:rPr>
                                      <w:sz w:val="14"/>
                                    </w:rPr>
                                    <w:t>Expected to be August 14, 2026</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945" w:type="dxa"/>
                                  <w:tcBorders/>
                                  <w:vAlign w:val="center"/>
                                </w:tcPr>
                                <w:p>
                                  <w:pPr>
                                    <w:pStyle w:val="TableContents"/>
                                    <w:bidi w:val="0"/>
                                    <w:spacing w:before="0" w:after="283"/>
                                    <w:jc w:val="left"/>
                                    <w:rPr>
                                      <w:sz w:val="14"/>
                                    </w:rPr>
                                  </w:pPr>
                                  <w:r>
                                    <w:rPr>
                                      <w:sz w:val="14"/>
                                    </w:rPr>
                                    <w:t>3 business days after the pricing date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45" w:type="dxa"/>
                                  <w:tcBorders/>
                                  <w:shd w:fill="DCEBF4" w:val="clear"/>
                                  <w:vAlign w:val="center"/>
                                </w:tcPr>
                                <w:p>
                                  <w:pPr>
                                    <w:pStyle w:val="TableContents"/>
                                    <w:bidi w:val="0"/>
                                    <w:spacing w:before="0" w:after="283"/>
                                    <w:jc w:val="left"/>
                                    <w:rPr>
                                      <w:sz w:val="14"/>
                                    </w:rPr>
                                  </w:pPr>
                                  <w:r>
                                    <w:rPr>
                                      <w:sz w:val="14"/>
                                    </w:rPr>
                                    <w:t>August 29, 2031</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45" w:type="dxa"/>
                                  <w:tcBorders/>
                                  <w:vAlign w:val="center"/>
                                </w:tcPr>
                                <w:p>
                                  <w:pPr>
                                    <w:pStyle w:val="TableContents"/>
                                    <w:bidi w:val="0"/>
                                    <w:spacing w:before="0" w:after="283"/>
                                    <w:jc w:val="left"/>
                                    <w:rPr>
                                      <w:sz w:val="14"/>
                                    </w:rPr>
                                  </w:pPr>
                                  <w:r>
                                    <w:rPr>
                                      <w:sz w:val="14"/>
                                    </w:rPr>
                                    <w:t>September 4, 2031</w:t>
                                  </w:r>
                                </w:p>
                              </w:tc>
                            </w:tr>
                            <w:tr>
                              <w:trPr/>
                              <w:tc>
                                <w:tcPr>
                                  <w:tcW w:w="2260"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7945" w:type="dxa"/>
                                  <w:tcBorders/>
                                  <w:shd w:fill="DCEBF4" w:val="clear"/>
                                  <w:vAlign w:val="center"/>
                                </w:tcPr>
                                <w:p>
                                  <w:pPr>
                                    <w:pStyle w:val="TableContents"/>
                                    <w:bidi w:val="0"/>
                                    <w:spacing w:before="0" w:after="283"/>
                                    <w:jc w:val="left"/>
                                    <w:rPr>
                                      <w:sz w:val="14"/>
                                    </w:rPr>
                                  </w:pPr>
                                  <w:r>
                                    <w:rPr>
                                      <w:sz w:val="14"/>
                                    </w:rPr>
                                    <w:t>46661K2R8 / US46661K2R85</w:t>
                                  </w:r>
                                </w:p>
                              </w:tc>
                            </w:tr>
                            <w:tr>
                              <w:trPr/>
                              <w:tc>
                                <w:tcPr>
                                  <w:tcW w:w="2260"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45" w:type="dxa"/>
                                  <w:tcBorders/>
                                  <w:vAlign w:val="center"/>
                                </w:tcPr>
                                <w:p>
                                  <w:pPr>
                                    <w:pStyle w:val="TableContents"/>
                                    <w:bidi w:val="0"/>
                                    <w:spacing w:before="0" w:after="283"/>
                                    <w:jc w:val="left"/>
                                    <w:rPr/>
                                  </w:pPr>
                                  <w:hyperlink r:id="rId2">
                                    <w:r>
                                      <w:rPr>
                                        <w:rStyle w:val="InternetLink"/>
                                        <w:sz w:val="14"/>
                                      </w:rPr>
                                      <w:t>http://www.sec.gov/Archives/edgar/data/19617/000121390026083567/</w:t>
                                      <w:br/>
                                      <w:t>ea0299949-01_424b2.htm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rP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4720" w:type="dxa"/>
                        <w:jc w:val="left"/>
                        <w:tblInd w:w="0" w:type="dxa"/>
                        <w:tblLayout w:type="fixed"/>
                        <w:tblCellMar>
                          <w:top w:w="0" w:type="dxa"/>
                          <w:left w:w="0" w:type="dxa"/>
                          <w:bottom w:w="0" w:type="dxa"/>
                          <w:right w:w="0" w:type="dxa"/>
                        </w:tblCellMar>
                      </w:tblPr>
                      <w:tblGrid>
                        <w:gridCol w:w="905"/>
                        <w:gridCol w:w="3815"/>
                      </w:tblGrid>
                      <w:tr>
                        <w:trPr/>
                        <w:tc>
                          <w:tcPr>
                            <w:tcW w:w="905"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3815" w:type="dxa"/>
                            <w:tcBorders/>
                            <w:shd w:fill="FFFFFF" w:val="clear"/>
                            <w:vAlign w:val="center"/>
                          </w:tcPr>
                          <w:p>
                            <w:pPr>
                              <w:pStyle w:val="TableContents"/>
                              <w:bidi w:val="0"/>
                              <w:spacing w:before="0" w:after="283"/>
                              <w:jc w:val="left"/>
                              <w:rPr>
                                <w:sz w:val="14"/>
                              </w:rPr>
                            </w:pPr>
                            <w:r>
                              <w:rPr>
                                <w:sz w:val="14"/>
                              </w:rPr>
                              <w:t>JPMorgan Chase Financial Company LLC (“JPMorgan Financial”)</w:t>
                            </w:r>
                          </w:p>
                        </w:tc>
                      </w:tr>
                      <w:tr>
                        <w:trPr/>
                        <w:tc>
                          <w:tcPr>
                            <w:tcW w:w="905"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3815" w:type="dxa"/>
                            <w:tcBorders/>
                            <w:shd w:fill="DCEBF4" w:val="clear"/>
                            <w:vAlign w:val="center"/>
                          </w:tcPr>
                          <w:p>
                            <w:pPr>
                              <w:pStyle w:val="TableContents"/>
                              <w:bidi w:val="0"/>
                              <w:spacing w:before="0" w:after="283"/>
                              <w:jc w:val="left"/>
                              <w:rPr>
                                <w:sz w:val="14"/>
                              </w:rPr>
                            </w:pPr>
                            <w:r>
                              <w:rPr>
                                <w:sz w:val="14"/>
                              </w:rPr>
                              <w:t>JPMorgan Chase &amp; Co.</w:t>
                            </w:r>
                          </w:p>
                        </w:tc>
                      </w:tr>
                    </w:tbl>
                    <w:tbl>
                      <w:tblPr>
                        <w:tblW w:w="10205" w:type="dxa"/>
                        <w:jc w:val="left"/>
                        <w:tblInd w:w="0" w:type="dxa"/>
                        <w:tblLayout w:type="fixed"/>
                        <w:tblCellMar>
                          <w:top w:w="0" w:type="dxa"/>
                          <w:left w:w="0" w:type="dxa"/>
                          <w:bottom w:w="0" w:type="dxa"/>
                          <w:right w:w="0" w:type="dxa"/>
                        </w:tblCellMar>
                      </w:tblPr>
                      <w:tblGrid>
                        <w:gridCol w:w="601"/>
                        <w:gridCol w:w="5652"/>
                        <w:gridCol w:w="2254"/>
                        <w:gridCol w:w="1698"/>
                      </w:tblGrid>
                      <w:tr>
                        <w:trPr/>
                        <w:tc>
                          <w:tcPr>
                            <w:tcW w:w="601" w:type="dxa"/>
                            <w:vMerge w:val="restart"/>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Basket:</w:t>
                            </w:r>
                          </w:p>
                        </w:tc>
                        <w:tc>
                          <w:tcPr>
                            <w:tcW w:w="5652"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Underlying indices</w:t>
                            </w:r>
                          </w:p>
                        </w:tc>
                        <w:tc>
                          <w:tcPr>
                            <w:tcW w:w="2254"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Bloomberg</w:t>
                              <w:br/>
                              <w:t>ticker symbol</w:t>
                            </w:r>
                          </w:p>
                        </w:tc>
                        <w:tc>
                          <w:tcPr>
                            <w:tcW w:w="1698" w:type="dxa"/>
                            <w:tcBorders/>
                            <w:vAlign w:val="center"/>
                          </w:tcPr>
                          <w:p>
                            <w:pPr>
                              <w:pStyle w:val="TableContents"/>
                              <w:bidi w:val="0"/>
                              <w:spacing w:before="0" w:after="283"/>
                              <w:jc w:val="left"/>
                              <w:rPr>
                                <w:rFonts w:ascii="Arial;Helvetica;Sans-Serif" w:hAnsi="Arial;Helvetica;Sans-Serif"/>
                                <w:b/>
                                <w:color w:val="296DC1"/>
                                <w:sz w:val="14"/>
                              </w:rPr>
                            </w:pPr>
                            <w:r>
                              <w:rPr>
                                <w:rFonts w:ascii="Arial;Helvetica;Sans-Serif" w:hAnsi="Arial;Helvetica;Sans-Serif"/>
                                <w:b/>
                                <w:color w:val="296DC1"/>
                                <w:sz w:val="14"/>
                              </w:rPr>
                              <w:t>Basket</w:t>
                              <w:br/>
                              <w:t>weighting</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EURO STOXX 50</w:t>
                            </w:r>
                            <w:r>
                              <w:rPr>
                                <w:position w:val="5"/>
                                <w:sz w:val="11"/>
                                <w:sz w:val="14"/>
                              </w:rPr>
                              <w:t>®</w:t>
                            </w:r>
                            <w:r>
                              <w:rPr>
                                <w:sz w:val="14"/>
                              </w:rPr>
                              <w:t xml:space="preserve"> Index (the “SX5E Index”)</w:t>
                            </w:r>
                          </w:p>
                        </w:tc>
                        <w:tc>
                          <w:tcPr>
                            <w:tcW w:w="2254" w:type="dxa"/>
                            <w:tcBorders/>
                            <w:vAlign w:val="center"/>
                          </w:tcPr>
                          <w:p>
                            <w:pPr>
                              <w:pStyle w:val="TableContents"/>
                              <w:bidi w:val="0"/>
                              <w:spacing w:before="0" w:after="283"/>
                              <w:jc w:val="left"/>
                              <w:rPr>
                                <w:sz w:val="14"/>
                              </w:rPr>
                            </w:pPr>
                            <w:r>
                              <w:rPr>
                                <w:sz w:val="14"/>
                              </w:rPr>
                              <w:t>SX5E</w:t>
                            </w:r>
                          </w:p>
                        </w:tc>
                        <w:tc>
                          <w:tcPr>
                            <w:tcW w:w="1698" w:type="dxa"/>
                            <w:tcBorders/>
                            <w:vAlign w:val="center"/>
                          </w:tcPr>
                          <w:p>
                            <w:pPr>
                              <w:pStyle w:val="TableContents"/>
                              <w:bidi w:val="0"/>
                              <w:spacing w:before="0" w:after="283"/>
                              <w:jc w:val="left"/>
                              <w:rPr>
                                <w:sz w:val="14"/>
                              </w:rPr>
                            </w:pPr>
                            <w:r>
                              <w:rPr>
                                <w:sz w:val="14"/>
                              </w:rPr>
                              <w:t>40.00%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TOPIX</w:t>
                            </w:r>
                            <w:r>
                              <w:rPr>
                                <w:position w:val="5"/>
                                <w:sz w:val="11"/>
                                <w:sz w:val="14"/>
                              </w:rPr>
                              <w:t>®</w:t>
                            </w:r>
                            <w:r>
                              <w:rPr>
                                <w:sz w:val="14"/>
                              </w:rPr>
                              <w:t xml:space="preserve"> Index (the “TPX Index”)</w:t>
                            </w:r>
                          </w:p>
                        </w:tc>
                        <w:tc>
                          <w:tcPr>
                            <w:tcW w:w="2254" w:type="dxa"/>
                            <w:tcBorders/>
                            <w:vAlign w:val="center"/>
                          </w:tcPr>
                          <w:p>
                            <w:pPr>
                              <w:pStyle w:val="TableContents"/>
                              <w:bidi w:val="0"/>
                              <w:spacing w:before="0" w:after="283"/>
                              <w:jc w:val="left"/>
                              <w:rPr>
                                <w:sz w:val="14"/>
                              </w:rPr>
                            </w:pPr>
                            <w:r>
                              <w:rPr>
                                <w:sz w:val="14"/>
                              </w:rPr>
                              <w:t>TPX</w:t>
                            </w:r>
                          </w:p>
                        </w:tc>
                        <w:tc>
                          <w:tcPr>
                            <w:tcW w:w="1698" w:type="dxa"/>
                            <w:tcBorders/>
                            <w:vAlign w:val="center"/>
                          </w:tcPr>
                          <w:p>
                            <w:pPr>
                              <w:pStyle w:val="TableContents"/>
                              <w:bidi w:val="0"/>
                              <w:spacing w:before="0" w:after="283"/>
                              <w:jc w:val="left"/>
                              <w:rPr>
                                <w:sz w:val="14"/>
                              </w:rPr>
                            </w:pPr>
                            <w:r>
                              <w:rPr>
                                <w:sz w:val="14"/>
                              </w:rPr>
                              <w:t>25.00%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FTSE</w:t>
                            </w:r>
                            <w:r>
                              <w:rPr>
                                <w:position w:val="5"/>
                                <w:sz w:val="11"/>
                                <w:sz w:val="14"/>
                              </w:rPr>
                              <w:t xml:space="preserve">® </w:t>
                            </w:r>
                            <w:r>
                              <w:rPr>
                                <w:sz w:val="14"/>
                              </w:rPr>
                              <w:t>100 Index (the “UKX Index”)</w:t>
                            </w:r>
                          </w:p>
                        </w:tc>
                        <w:tc>
                          <w:tcPr>
                            <w:tcW w:w="2254" w:type="dxa"/>
                            <w:tcBorders/>
                            <w:vAlign w:val="center"/>
                          </w:tcPr>
                          <w:p>
                            <w:pPr>
                              <w:pStyle w:val="TableContents"/>
                              <w:bidi w:val="0"/>
                              <w:spacing w:before="0" w:after="283"/>
                              <w:jc w:val="left"/>
                              <w:rPr>
                                <w:sz w:val="14"/>
                              </w:rPr>
                            </w:pPr>
                            <w:r>
                              <w:rPr>
                                <w:sz w:val="14"/>
                              </w:rPr>
                              <w:t>UKX</w:t>
                            </w:r>
                          </w:p>
                        </w:tc>
                        <w:tc>
                          <w:tcPr>
                            <w:tcW w:w="1698" w:type="dxa"/>
                            <w:tcBorders/>
                            <w:vAlign w:val="center"/>
                          </w:tcPr>
                          <w:p>
                            <w:pPr>
                              <w:pStyle w:val="TableContents"/>
                              <w:bidi w:val="0"/>
                              <w:spacing w:before="0" w:after="283"/>
                              <w:jc w:val="left"/>
                              <w:rPr>
                                <w:sz w:val="14"/>
                              </w:rPr>
                            </w:pPr>
                            <w:r>
                              <w:rPr>
                                <w:sz w:val="14"/>
                              </w:rPr>
                              <w:t>17.50%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Swiss Market Index (the “SMI Index”)</w:t>
                            </w:r>
                          </w:p>
                        </w:tc>
                        <w:tc>
                          <w:tcPr>
                            <w:tcW w:w="2254" w:type="dxa"/>
                            <w:tcBorders/>
                            <w:vAlign w:val="center"/>
                          </w:tcPr>
                          <w:p>
                            <w:pPr>
                              <w:pStyle w:val="TableContents"/>
                              <w:bidi w:val="0"/>
                              <w:spacing w:before="0" w:after="283"/>
                              <w:jc w:val="left"/>
                              <w:rPr>
                                <w:sz w:val="14"/>
                              </w:rPr>
                            </w:pPr>
                            <w:r>
                              <w:rPr>
                                <w:sz w:val="14"/>
                              </w:rPr>
                              <w:t>SMI</w:t>
                            </w:r>
                          </w:p>
                        </w:tc>
                        <w:tc>
                          <w:tcPr>
                            <w:tcW w:w="1698" w:type="dxa"/>
                            <w:tcBorders/>
                            <w:vAlign w:val="center"/>
                          </w:tcPr>
                          <w:p>
                            <w:pPr>
                              <w:pStyle w:val="TableContents"/>
                              <w:bidi w:val="0"/>
                              <w:spacing w:before="0" w:after="283"/>
                              <w:jc w:val="left"/>
                              <w:rPr>
                                <w:sz w:val="14"/>
                              </w:rPr>
                            </w:pPr>
                            <w:r>
                              <w:rPr>
                                <w:sz w:val="14"/>
                              </w:rPr>
                              <w:t>10.00%</w:t>
                            </w:r>
                          </w:p>
                        </w:tc>
                      </w:tr>
                      <w:tr>
                        <w:trPr/>
                        <w:tc>
                          <w:tcPr>
                            <w:tcW w:w="601" w:type="dxa"/>
                            <w:vMerge w:val="continue"/>
                            <w:tcBorders/>
                            <w:vAlign w:val="center"/>
                          </w:tcPr>
                          <w:p>
                            <w:pPr>
                              <w:pStyle w:val="Normal"/>
                              <w:bidi w:val="0"/>
                              <w:jc w:val="left"/>
                              <w:rPr/>
                            </w:pPr>
                            <w:r>
                              <w:rPr/>
                            </w:r>
                          </w:p>
                        </w:tc>
                        <w:tc>
                          <w:tcPr>
                            <w:tcW w:w="5652" w:type="dxa"/>
                            <w:tcBorders/>
                            <w:vAlign w:val="center"/>
                          </w:tcPr>
                          <w:p>
                            <w:pPr>
                              <w:pStyle w:val="TableContents"/>
                              <w:bidi w:val="0"/>
                              <w:spacing w:before="0" w:after="283"/>
                              <w:jc w:val="left"/>
                              <w:rPr>
                                <w:sz w:val="14"/>
                              </w:rPr>
                            </w:pPr>
                            <w:r>
                              <w:rPr>
                                <w:sz w:val="14"/>
                              </w:rPr>
                              <w:t>S&amp;P/ASX 200 Index (the “AS51 Index”)</w:t>
                            </w:r>
                          </w:p>
                        </w:tc>
                        <w:tc>
                          <w:tcPr>
                            <w:tcW w:w="2254" w:type="dxa"/>
                            <w:tcBorders/>
                            <w:vAlign w:val="center"/>
                          </w:tcPr>
                          <w:p>
                            <w:pPr>
                              <w:pStyle w:val="TableContents"/>
                              <w:bidi w:val="0"/>
                              <w:spacing w:before="0" w:after="283"/>
                              <w:jc w:val="left"/>
                              <w:rPr>
                                <w:sz w:val="14"/>
                              </w:rPr>
                            </w:pPr>
                            <w:r>
                              <w:rPr>
                                <w:sz w:val="14"/>
                              </w:rPr>
                              <w:t>AS51</w:t>
                            </w:r>
                          </w:p>
                        </w:tc>
                        <w:tc>
                          <w:tcPr>
                            <w:tcW w:w="1698" w:type="dxa"/>
                            <w:tcBorders/>
                            <w:vAlign w:val="center"/>
                          </w:tcPr>
                          <w:p>
                            <w:pPr>
                              <w:pStyle w:val="TableContents"/>
                              <w:bidi w:val="0"/>
                              <w:spacing w:before="0" w:after="283"/>
                              <w:jc w:val="left"/>
                              <w:rPr>
                                <w:sz w:val="14"/>
                              </w:rPr>
                            </w:pPr>
                            <w:r>
                              <w:rPr>
                                <w:sz w:val="14"/>
                              </w:rPr>
                              <w:t>7.50%</w:t>
                            </w:r>
                          </w:p>
                        </w:tc>
                      </w:tr>
                      <w:tr>
                        <w:trPr/>
                        <w:tc>
                          <w:tcPr>
                            <w:tcW w:w="601" w:type="dxa"/>
                            <w:vMerge w:val="continue"/>
                            <w:tcBorders/>
                            <w:vAlign w:val="center"/>
                          </w:tcPr>
                          <w:p>
                            <w:pPr>
                              <w:pStyle w:val="Normal"/>
                              <w:bidi w:val="0"/>
                              <w:jc w:val="left"/>
                              <w:rPr/>
                            </w:pPr>
                            <w:r>
                              <w:rPr/>
                            </w:r>
                          </w:p>
                        </w:tc>
                        <w:tc>
                          <w:tcPr>
                            <w:tcW w:w="9604" w:type="dxa"/>
                            <w:gridSpan w:val="3"/>
                            <w:tcBorders/>
                            <w:vAlign w:val="center"/>
                          </w:tcPr>
                          <w:p>
                            <w:pPr>
                              <w:pStyle w:val="TableContents"/>
                              <w:bidi w:val="0"/>
                              <w:spacing w:before="0" w:after="283"/>
                              <w:jc w:val="left"/>
                              <w:rPr>
                                <w:sz w:val="14"/>
                              </w:rPr>
                            </w:pPr>
                            <w:r>
                              <w:rPr>
                                <w:sz w:val="14"/>
                              </w:rPr>
                              <w:t>We refer to the SX5E Index, the TPX Index, the UKX Index, the SMI Index and the AS51 Index as the underlying indices.  Because the SX5E Index makes up 40% of the basket, we expect that generally the market value of your securities and your payment at maturity will depend significantly on the performance of the SX5E Index.</w:t>
                            </w:r>
                          </w:p>
                        </w:tc>
                      </w:tr>
                    </w:tbl>
                    <w:tbl>
                      <w:tblPr>
                        <w:tblW w:w="10205" w:type="dxa"/>
                        <w:jc w:val="left"/>
                        <w:tblInd w:w="0" w:type="dxa"/>
                        <w:tblLayout w:type="fixed"/>
                        <w:tblCellMar>
                          <w:top w:w="0" w:type="dxa"/>
                          <w:left w:w="0" w:type="dxa"/>
                          <w:bottom w:w="0" w:type="dxa"/>
                          <w:right w:w="0" w:type="dxa"/>
                        </w:tblCellMar>
                      </w:tblPr>
                      <w:tblGrid>
                        <w:gridCol w:w="2260"/>
                        <w:gridCol w:w="7945"/>
                      </w:tblGrid>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Payment at</w:t>
                              <w:br/>
                              <w:t xml:space="preserve">maturity: </w:t>
                            </w:r>
                          </w:p>
                        </w:tc>
                        <w:tc>
                          <w:tcPr>
                            <w:tcW w:w="7945" w:type="dxa"/>
                            <w:tcBorders/>
                            <w:shd w:fill="DCEBF4" w:val="clear"/>
                            <w:vAlign w:val="center"/>
                          </w:tcPr>
                          <w:p>
                            <w:pPr>
                              <w:pStyle w:val="TableContents"/>
                              <w:bidi w:val="0"/>
                              <w:spacing w:before="40" w:after="40"/>
                              <w:ind w:left="40" w:right="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initial basket value, for each $1,000 stated principal amount security:</w:t>
                            </w:r>
                          </w:p>
                          <w:p>
                            <w:pPr>
                              <w:pStyle w:val="TableContents"/>
                              <w:bidi w:val="0"/>
                              <w:spacing w:before="40" w:after="40"/>
                              <w:ind w:left="40" w:right="40"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the greater of (a) $1,000 × basket percent change and (b) the upside payment</w:t>
                            </w:r>
                          </w:p>
                          <w:p>
                            <w:pPr>
                              <w:pStyle w:val="TableContents"/>
                              <w:bidi w:val="0"/>
                              <w:spacing w:before="40" w:after="40"/>
                              <w:ind w:left="40" w:right="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less than</w:t>
                            </w:r>
                            <w:r>
                              <w:rPr>
                                <w:rFonts w:ascii="Arial;Helvetica;Sans-Serif" w:hAnsi="Arial;Helvetica;Sans-Serif"/>
                                <w:b w:val="false"/>
                                <w:i w:val="false"/>
                                <w:caps w:val="false"/>
                                <w:smallCaps w:val="false"/>
                                <w:sz w:val="14"/>
                              </w:rPr>
                              <w:t xml:space="preserve"> the initial basket value but is </w:t>
                            </w:r>
                            <w:r>
                              <w:rPr>
                                <w:rFonts w:ascii="Arial;Helvetica;Sans-Serif" w:hAnsi="Arial;Helvetica;Sans-Serif"/>
                                <w:b w:val="false"/>
                                <w:i/>
                                <w:caps w:val="false"/>
                                <w:smallCaps w:val="false"/>
                                <w:sz w:val="14"/>
                              </w:rPr>
                              <w:t>greater than or equal to</w:t>
                            </w:r>
                            <w:r>
                              <w:rPr>
                                <w:rFonts w:ascii="Arial;Helvetica;Sans-Serif" w:hAnsi="Arial;Helvetica;Sans-Serif"/>
                                <w:b w:val="false"/>
                                <w:i w:val="false"/>
                                <w:caps w:val="false"/>
                                <w:smallCaps w:val="false"/>
                                <w:sz w:val="14"/>
                              </w:rPr>
                              <w:t xml:space="preserve"> the trigger level, for each $1,000 stated principal amount security:</w:t>
                            </w:r>
                          </w:p>
                          <w:p>
                            <w:pPr>
                              <w:pStyle w:val="TableContents"/>
                              <w:bidi w:val="0"/>
                              <w:spacing w:before="40" w:after="40"/>
                              <w:ind w:left="40" w:right="40"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($1,000 × absolute basket return)</w:t>
                            </w:r>
                          </w:p>
                          <w:p>
                            <w:pPr>
                              <w:pStyle w:val="TableContents"/>
                              <w:bidi w:val="0"/>
                              <w:spacing w:before="40" w:after="40"/>
                              <w:ind w:left="40" w:right="4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In this scenario, you will receive a 1% positive return on the securities for each 1% negative return on the basket. In no event will this amount exceed the stated principal amount plus $250.00.</w:t>
                            </w:r>
                          </w:p>
                          <w:p>
                            <w:pPr>
                              <w:pStyle w:val="TableContents"/>
                              <w:bidi w:val="0"/>
                              <w:spacing w:before="40" w:after="40"/>
                              <w:ind w:left="40" w:right="4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Accordingly, the maximum downside payment at maturity is $1,250.00 per security.</w:t>
                            </w:r>
                          </w:p>
                          <w:p>
                            <w:pPr>
                              <w:pStyle w:val="TableContents"/>
                              <w:bidi w:val="0"/>
                              <w:spacing w:before="40" w:after="40"/>
                              <w:ind w:left="40" w:right="40" w:hanging="0"/>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If the final basket value is </w:t>
                            </w:r>
                            <w:r>
                              <w:rPr>
                                <w:rFonts w:ascii="Arial;Helvetica;Sans-Serif" w:hAnsi="Arial;Helvetica;Sans-Serif"/>
                                <w:b w:val="false"/>
                                <w:i/>
                                <w:caps w:val="false"/>
                                <w:smallCaps w:val="false"/>
                                <w:sz w:val="14"/>
                              </w:rPr>
                              <w:t>less than</w:t>
                            </w:r>
                            <w:r>
                              <w:rPr>
                                <w:rFonts w:ascii="Arial;Helvetica;Sans-Serif" w:hAnsi="Arial;Helvetica;Sans-Serif"/>
                                <w:b w:val="false"/>
                                <w:i w:val="false"/>
                                <w:caps w:val="false"/>
                                <w:smallCaps w:val="false"/>
                                <w:sz w:val="14"/>
                              </w:rPr>
                              <w:t xml:space="preserve"> the trigger level, for each $1,000 stated principal amount security:</w:t>
                            </w:r>
                          </w:p>
                          <w:p>
                            <w:pPr>
                              <w:pStyle w:val="TableContents"/>
                              <w:bidi w:val="0"/>
                              <w:spacing w:before="40" w:after="40"/>
                              <w:ind w:left="40" w:right="40" w:firstLine="245"/>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$1,000 × basket performance factor</w:t>
                            </w:r>
                          </w:p>
                          <w:p>
                            <w:pPr>
                              <w:pStyle w:val="TableContents"/>
                              <w:bidi w:val="0"/>
                              <w:spacing w:before="40" w:after="40"/>
                              <w:ind w:left="40" w:right="40" w:hanging="0"/>
                              <w:jc w:val="left"/>
                              <w:rPr>
                                <w:rFonts w:ascii="Arial;Helvetica;Sans-Serif" w:hAnsi="Arial;Helvetica;Sans-Serif"/>
                                <w:b w:val="false"/>
                                <w:i/>
                                <w:caps w:val="false"/>
                                <w:smallCaps w:val="false"/>
                                <w:sz w:val="14"/>
                              </w:rPr>
                            </w:pPr>
                            <w:r>
                              <w:rPr>
                                <w:rFonts w:ascii="Arial;Helvetica;Sans-Serif" w:hAnsi="Arial;Helvetica;Sans-Serif"/>
                                <w:b w:val="false"/>
                                <w:i/>
                                <w:caps w:val="false"/>
                                <w:smallCaps w:val="false"/>
                                <w:sz w:val="14"/>
                              </w:rPr>
                              <w:t>This amount will be less than the stated principal amount of $1,000 per security, and will represent a loss of more than 25%, and possibly all, of your investment.</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Upside payment:</w:t>
                            </w:r>
                          </w:p>
                        </w:tc>
                        <w:tc>
                          <w:tcPr>
                            <w:tcW w:w="7945" w:type="dxa"/>
                            <w:tcBorders/>
                            <w:vAlign w:val="center"/>
                          </w:tcPr>
                          <w:p>
                            <w:pPr>
                              <w:pStyle w:val="TableContents"/>
                              <w:bidi w:val="0"/>
                              <w:spacing w:before="0" w:after="283"/>
                              <w:jc w:val="left"/>
                              <w:rPr>
                                <w:sz w:val="14"/>
                              </w:rPr>
                            </w:pPr>
                            <w:r>
                              <w:rPr>
                                <w:sz w:val="14"/>
                              </w:rPr>
                              <w:t>At least $453.50 per $1,000 stated principal amount security (at least 45.35% of the stated principal amount)</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Basket percent</w:t>
                              <w:br/>
                              <w:t>change:</w:t>
                            </w:r>
                          </w:p>
                        </w:tc>
                        <w:tc>
                          <w:tcPr>
                            <w:tcW w:w="7945" w:type="dxa"/>
                            <w:tcBorders/>
                            <w:shd w:fill="DCEBF4" w:val="clear"/>
                            <w:vAlign w:val="center"/>
                          </w:tcPr>
                          <w:p>
                            <w:pPr>
                              <w:pStyle w:val="TableContents"/>
                              <w:bidi w:val="0"/>
                              <w:spacing w:before="0" w:after="283"/>
                              <w:jc w:val="left"/>
                              <w:rPr>
                                <w:sz w:val="14"/>
                              </w:rPr>
                            </w:pPr>
                            <w:r>
                              <w:rPr>
                                <w:sz w:val="14"/>
                              </w:rPr>
                              <w:t>(final basket value – initial basket value) / initial basket value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Absolute basket</w:t>
                              <w:br/>
                              <w:t>return:</w:t>
                            </w:r>
                          </w:p>
                        </w:tc>
                        <w:tc>
                          <w:tcPr>
                            <w:tcW w:w="7945" w:type="dxa"/>
                            <w:tcBorders/>
                            <w:vAlign w:val="center"/>
                          </w:tcPr>
                          <w:p>
                            <w:pPr>
                              <w:pStyle w:val="TableContents"/>
                              <w:bidi w:val="0"/>
                              <w:spacing w:before="0" w:after="283"/>
                              <w:jc w:val="left"/>
                              <w:rPr>
                                <w:sz w:val="14"/>
                              </w:rPr>
                            </w:pPr>
                            <w:r>
                              <w:rPr>
                                <w:sz w:val="14"/>
                              </w:rPr>
                              <w:t>The absolute value of the basket percent change.  For example, a -5% basket percent change will result in a +5% absolute basket return.</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basket</w:t>
                              <w:br/>
                              <w:t xml:space="preserve">value: </w:t>
                            </w:r>
                          </w:p>
                        </w:tc>
                        <w:tc>
                          <w:tcPr>
                            <w:tcW w:w="7945" w:type="dxa"/>
                            <w:tcBorders/>
                            <w:shd w:fill="DCEBF4" w:val="clear"/>
                            <w:vAlign w:val="center"/>
                          </w:tcPr>
                          <w:p>
                            <w:pPr>
                              <w:pStyle w:val="TableContents"/>
                              <w:bidi w:val="0"/>
                              <w:spacing w:before="0" w:after="283"/>
                              <w:jc w:val="left"/>
                              <w:rPr>
                                <w:sz w:val="14"/>
                              </w:rPr>
                            </w:pPr>
                            <w:r>
                              <w:rPr>
                                <w:sz w:val="14"/>
                              </w:rPr>
                              <w:t>Set equal to 100 on the pricing date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Final basket value: </w:t>
                            </w:r>
                          </w:p>
                        </w:tc>
                        <w:tc>
                          <w:tcPr>
                            <w:tcW w:w="7945" w:type="dxa"/>
                            <w:tcBorders/>
                            <w:vAlign w:val="center"/>
                          </w:tcPr>
                          <w:p>
                            <w:pPr>
                              <w:pStyle w:val="TableContents"/>
                              <w:bidi w:val="0"/>
                              <w:spacing w:before="0" w:after="283"/>
                              <w:jc w:val="left"/>
                              <w:rPr>
                                <w:sz w:val="14"/>
                              </w:rPr>
                            </w:pPr>
                            <w:r>
                              <w:rPr>
                                <w:sz w:val="14"/>
                              </w:rPr>
                              <w:t>The basket closing value on the valuation date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w:t>
                              <w:br/>
                              <w:t xml:space="preserve">value: </w:t>
                            </w:r>
                          </w:p>
                        </w:tc>
                        <w:tc>
                          <w:tcPr>
                            <w:tcW w:w="7945" w:type="dxa"/>
                            <w:tcBorders/>
                            <w:shd w:fill="DCEBF4" w:val="clear"/>
                            <w:vAlign w:val="center"/>
                          </w:tcPr>
                          <w:p>
                            <w:pPr>
                              <w:pStyle w:val="TableContents"/>
                              <w:bidi w:val="0"/>
                              <w:spacing w:before="0" w:after="283"/>
                              <w:jc w:val="left"/>
                              <w:rPr>
                                <w:sz w:val="14"/>
                              </w:rPr>
                            </w:pPr>
                            <w:r>
                              <w:rPr>
                                <w:sz w:val="14"/>
                              </w:rPr>
                              <w:t>With respect to each underlying index, the closing level of that underlying index on the pricing date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w:t>
                              <w:br/>
                              <w:t xml:space="preserve">value: </w:t>
                            </w:r>
                          </w:p>
                        </w:tc>
                        <w:tc>
                          <w:tcPr>
                            <w:tcW w:w="7945" w:type="dxa"/>
                            <w:tcBorders/>
                            <w:vAlign w:val="center"/>
                          </w:tcPr>
                          <w:p>
                            <w:pPr>
                              <w:pStyle w:val="TableContents"/>
                              <w:bidi w:val="0"/>
                              <w:spacing w:before="0" w:after="283"/>
                              <w:jc w:val="left"/>
                              <w:rPr>
                                <w:sz w:val="14"/>
                              </w:rPr>
                            </w:pPr>
                            <w:r>
                              <w:rPr>
                                <w:sz w:val="14"/>
                              </w:rPr>
                              <w:t>With respect to each underlying index, the closing level of that underlying index on the valuation date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Trigger level:</w:t>
                            </w:r>
                          </w:p>
                        </w:tc>
                        <w:tc>
                          <w:tcPr>
                            <w:tcW w:w="7945" w:type="dxa"/>
                            <w:tcBorders/>
                            <w:shd w:fill="DCEBF4" w:val="clear"/>
                            <w:vAlign w:val="center"/>
                          </w:tcPr>
                          <w:p>
                            <w:pPr>
                              <w:pStyle w:val="TableContents"/>
                              <w:bidi w:val="0"/>
                              <w:spacing w:before="0" w:after="283"/>
                              <w:jc w:val="left"/>
                              <w:rPr>
                                <w:sz w:val="14"/>
                              </w:rPr>
                            </w:pPr>
                            <w:r>
                              <w:rPr>
                                <w:sz w:val="14"/>
                              </w:rPr>
                              <w:t>75, which is 75% of the initial basket value</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Basket</w:t>
                              <w:br/>
                              <w:t>performance factor:</w:t>
                            </w:r>
                          </w:p>
                        </w:tc>
                        <w:tc>
                          <w:tcPr>
                            <w:tcW w:w="7945" w:type="dxa"/>
                            <w:tcBorders/>
                            <w:vAlign w:val="center"/>
                          </w:tcPr>
                          <w:p>
                            <w:pPr>
                              <w:pStyle w:val="TableContents"/>
                              <w:bidi w:val="0"/>
                              <w:spacing w:before="0" w:after="283"/>
                              <w:jc w:val="left"/>
                              <w:rPr>
                                <w:sz w:val="14"/>
                              </w:rPr>
                            </w:pPr>
                            <w:r>
                              <w:rPr>
                                <w:sz w:val="14"/>
                              </w:rPr>
                              <w:t>final basket value / initial basket value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Stated principal amount:</w:t>
                            </w:r>
                          </w:p>
                        </w:tc>
                        <w:tc>
                          <w:tcPr>
                            <w:tcW w:w="7945" w:type="dxa"/>
                            <w:tcBorders/>
                            <w:shd w:fill="DCEBF4" w:val="clear"/>
                            <w:vAlign w:val="center"/>
                          </w:tcPr>
                          <w:p>
                            <w:pPr>
                              <w:pStyle w:val="TableContents"/>
                              <w:bidi w:val="0"/>
                              <w:spacing w:before="0" w:after="283"/>
                              <w:jc w:val="left"/>
                              <w:rPr>
                                <w:sz w:val="14"/>
                              </w:rPr>
                            </w:pPr>
                            <w:r>
                              <w:rPr>
                                <w:sz w:val="14"/>
                              </w:rPr>
                              <w:t>$1,000 per security</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Issue price:</w:t>
                            </w:r>
                          </w:p>
                        </w:tc>
                        <w:tc>
                          <w:tcPr>
                            <w:tcW w:w="7945" w:type="dxa"/>
                            <w:tcBorders/>
                            <w:vAlign w:val="center"/>
                          </w:tcPr>
                          <w:p>
                            <w:pPr>
                              <w:pStyle w:val="TableContents"/>
                              <w:bidi w:val="0"/>
                              <w:spacing w:before="0" w:after="283"/>
                              <w:jc w:val="left"/>
                              <w:rPr>
                                <w:sz w:val="14"/>
                              </w:rPr>
                            </w:pPr>
                            <w:r>
                              <w:rPr>
                                <w:sz w:val="14"/>
                              </w:rPr>
                              <w:t>$1,000 per security</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7945" w:type="dxa"/>
                            <w:tcBorders/>
                            <w:shd w:fill="DCEBF4" w:val="clear"/>
                            <w:vAlign w:val="center"/>
                          </w:tcPr>
                          <w:p>
                            <w:pPr>
                              <w:pStyle w:val="TableContents"/>
                              <w:bidi w:val="0"/>
                              <w:spacing w:before="0" w:after="283"/>
                              <w:jc w:val="left"/>
                              <w:rPr>
                                <w:sz w:val="14"/>
                              </w:rPr>
                            </w:pPr>
                            <w:r>
                              <w:rPr>
                                <w:sz w:val="14"/>
                              </w:rPr>
                              <w:t>Expected to be August 14, 2026</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7945" w:type="dxa"/>
                            <w:tcBorders/>
                            <w:vAlign w:val="center"/>
                          </w:tcPr>
                          <w:p>
                            <w:pPr>
                              <w:pStyle w:val="TableContents"/>
                              <w:bidi w:val="0"/>
                              <w:spacing w:before="0" w:after="283"/>
                              <w:jc w:val="left"/>
                              <w:rPr>
                                <w:sz w:val="14"/>
                              </w:rPr>
                            </w:pPr>
                            <w:r>
                              <w:rPr>
                                <w:sz w:val="14"/>
                              </w:rPr>
                              <w:t>3 business days after the pricing date</w:t>
                            </w:r>
                          </w:p>
                        </w:tc>
                      </w:tr>
                      <w:tr>
                        <w:trPr/>
                        <w:tc>
                          <w:tcPr>
                            <w:tcW w:w="226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Valuation date</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45" w:type="dxa"/>
                            <w:tcBorders/>
                            <w:shd w:fill="DCEBF4" w:val="clear"/>
                            <w:vAlign w:val="center"/>
                          </w:tcPr>
                          <w:p>
                            <w:pPr>
                              <w:pStyle w:val="TableContents"/>
                              <w:bidi w:val="0"/>
                              <w:spacing w:before="0" w:after="283"/>
                              <w:jc w:val="left"/>
                              <w:rPr>
                                <w:sz w:val="14"/>
                              </w:rPr>
                            </w:pPr>
                            <w:r>
                              <w:rPr>
                                <w:sz w:val="14"/>
                              </w:rPr>
                              <w:t>August 29, 2031</w:t>
                            </w:r>
                          </w:p>
                        </w:tc>
                      </w:tr>
                      <w:tr>
                        <w:trPr/>
                        <w:tc>
                          <w:tcPr>
                            <w:tcW w:w="226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45" w:type="dxa"/>
                            <w:tcBorders/>
                            <w:vAlign w:val="center"/>
                          </w:tcPr>
                          <w:p>
                            <w:pPr>
                              <w:pStyle w:val="TableContents"/>
                              <w:bidi w:val="0"/>
                              <w:spacing w:before="0" w:after="283"/>
                              <w:jc w:val="left"/>
                              <w:rPr>
                                <w:sz w:val="14"/>
                              </w:rPr>
                            </w:pPr>
                            <w:r>
                              <w:rPr>
                                <w:sz w:val="14"/>
                              </w:rPr>
                              <w:t>September 4, 2031</w:t>
                            </w:r>
                          </w:p>
                        </w:tc>
                      </w:tr>
                      <w:tr>
                        <w:trPr/>
                        <w:tc>
                          <w:tcPr>
                            <w:tcW w:w="2260" w:type="dxa"/>
                            <w:tcBorders/>
                            <w:shd w:fill="DCEBF4" w:val="clear"/>
                            <w:vAlign w:val="center"/>
                          </w:tcPr>
                          <w:p>
                            <w:pPr>
                              <w:pStyle w:val="TableContents"/>
                              <w:bidi w:val="0"/>
                              <w:spacing w:before="0" w:after="283"/>
                              <w:jc w:val="left"/>
                              <w:rPr>
                                <w:b/>
                                <w:color w:val="296DC1"/>
                                <w:sz w:val="16"/>
                              </w:rPr>
                            </w:pPr>
                            <w:r>
                              <w:rPr>
                                <w:b/>
                                <w:color w:val="296DC1"/>
                                <w:sz w:val="16"/>
                              </w:rPr>
                              <w:t>CUSIP / ISIN:</w:t>
                            </w:r>
                          </w:p>
                        </w:tc>
                        <w:tc>
                          <w:tcPr>
                            <w:tcW w:w="7945" w:type="dxa"/>
                            <w:tcBorders/>
                            <w:shd w:fill="DCEBF4" w:val="clear"/>
                            <w:vAlign w:val="center"/>
                          </w:tcPr>
                          <w:p>
                            <w:pPr>
                              <w:pStyle w:val="TableContents"/>
                              <w:bidi w:val="0"/>
                              <w:spacing w:before="0" w:after="283"/>
                              <w:jc w:val="left"/>
                              <w:rPr>
                                <w:sz w:val="14"/>
                              </w:rPr>
                            </w:pPr>
                            <w:r>
                              <w:rPr>
                                <w:sz w:val="14"/>
                              </w:rPr>
                              <w:t>46661K2R8 / US46661K2R85</w:t>
                            </w:r>
                          </w:p>
                        </w:tc>
                      </w:tr>
                      <w:tr>
                        <w:trPr/>
                        <w:tc>
                          <w:tcPr>
                            <w:tcW w:w="2260" w:type="dxa"/>
                            <w:tcBorders/>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45" w:type="dxa"/>
                            <w:tcBorders/>
                            <w:vAlign w:val="center"/>
                          </w:tcPr>
                          <w:p>
                            <w:pPr>
                              <w:pStyle w:val="TableContents"/>
                              <w:bidi w:val="0"/>
                              <w:spacing w:before="0" w:after="283"/>
                              <w:jc w:val="left"/>
                              <w:rPr/>
                            </w:pPr>
                            <w:hyperlink r:id="rId3">
                              <w:r>
                                <w:rPr>
                                  <w:rStyle w:val="InternetLink"/>
                                  <w:sz w:val="14"/>
                                </w:rPr>
                                <w:t>http://www.sec.gov/Archives/edgar/data/19617/000121390026083567/</w:t>
                                <w:br/>
                                <w:t>ea0299949-01_424b2.htm</w:t>
                              </w:r>
                            </w:hyperlink>
                          </w:p>
                        </w:tc>
                      </w:tr>
                    </w:tbl>
                    <w:p>
                      <w:pPr>
                        <w:pStyle w:val="TextBody"/>
                        <w:bidi w:val="0"/>
                        <w:spacing w:before="0" w:after="40"/>
                        <w:ind w:left="108" w:right="0" w:hanging="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4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975" w:type="dxa"/>
                              <w:jc w:val="left"/>
                              <w:tblInd w:w="0" w:type="dxa"/>
                              <w:tblLayout w:type="fixed"/>
                              <w:tblCellMar>
                                <w:top w:w="0" w:type="dxa"/>
                                <w:left w:w="0" w:type="dxa"/>
                                <w:bottom w:w="0" w:type="dxa"/>
                                <w:right w:w="0" w:type="dxa"/>
                              </w:tblCellMar>
                            </w:tblPr>
                            <w:tblGrid>
                              <w:gridCol w:w="6975"/>
                            </w:tblGrid>
                            <w:tr>
                              <w:trPr/>
                              <w:tc>
                                <w:tcPr>
                                  <w:tcW w:w="697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Dual Directional Trigger Jump Securities Payoff Diagram*</w:t>
                                  </w:r>
                                </w:p>
                              </w:tc>
                            </w:tr>
                            <w:tr>
                              <w:trPr/>
                              <w:tc>
                                <w:tcPr>
                                  <w:tcW w:w="6975" w:type="dxa"/>
                                  <w:tcBorders/>
                                  <w:vAlign w:val="center"/>
                                </w:tcPr>
                                <w:p>
                                  <w:pPr>
                                    <w:pStyle w:val="TableContents"/>
                                    <w:bidi w:val="0"/>
                                    <w:spacing w:before="0" w:after="283"/>
                                    <w:jc w:val="center"/>
                                    <w:rPr/>
                                  </w:pPr>
                                  <w:r>
                                    <w:rPr/>
                                    <w:drawing>
                                      <wp:inline distT="0" distB="0" distL="0" distR="0">
                                        <wp:extent cx="4410075" cy="25431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4"/>
                                                <a:stretch>
                                                  <a:fillRect/>
                                                </a:stretch>
                                              </pic:blipFill>
                                              <pic:spPr bwMode="auto">
                                                <a:xfrm>
                                                  <a:off x="0" y="0"/>
                                                  <a:ext cx="4410075" cy="2543175"/>
                                                </a:xfrm>
                                                <a:prstGeom prst="rect">
                                                  <a:avLst/>
                                                </a:prstGeom>
                                              </pic:spPr>
                                            </pic:pic>
                                          </a:graphicData>
                                        </a:graphic>
                                      </wp:inline>
                                    </w:drawing>
                                  </w:r>
                                </w:p>
                              </w:tc>
                            </w:tr>
                          </w:tbl>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$453.50 per security.</w:t>
                            </w:r>
                          </w:p>
                          <w:tbl>
                            <w:tblPr>
                              <w:tblW w:w="3445" w:type="dxa"/>
                              <w:jc w:val="center"/>
                              <w:tblInd w:w="0" w:type="dxa"/>
                              <w:tblLayout w:type="fixed"/>
                              <w:tblCellMar>
                                <w:top w:w="0" w:type="dxa"/>
                                <w:left w:w="0" w:type="dxa"/>
                                <w:bottom w:w="0" w:type="dxa"/>
                                <w:right w:w="0" w:type="dxa"/>
                              </w:tblCellMar>
                            </w:tblPr>
                            <w:tblGrid>
                              <w:gridCol w:w="1430"/>
                              <w:gridCol w:w="2015"/>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201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Securities*</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01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bl>
                          <w:tbl>
                            <w:tblPr>
                              <w:tblW w:w="5180" w:type="dxa"/>
                              <w:jc w:val="center"/>
                              <w:tblInd w:w="0" w:type="dxa"/>
                              <w:tblLayout w:type="fixed"/>
                              <w:tblCellMar>
                                <w:top w:w="0" w:type="dxa"/>
                                <w:left w:w="0" w:type="dxa"/>
                                <w:bottom w:w="0" w:type="dxa"/>
                                <w:right w:w="0" w:type="dxa"/>
                              </w:tblCellMar>
                            </w:tblPr>
                            <w:tblGrid>
                              <w:gridCol w:w="2590"/>
                              <w:gridCol w:w="2590"/>
                            </w:tblGrid>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5180" w:type="dxa"/>
                                  <w:gridSpan w:val="2"/>
                                  <w:tcBorders/>
                                  <w:shd w:fill="FFFFFF" w:val="clear"/>
                                  <w:vAlign w:val="center"/>
                                </w:tcPr>
                                <w:p>
                                  <w:pPr>
                                    <w:pStyle w:val="TableContents"/>
                                    <w:bidi w:val="0"/>
                                    <w:spacing w:before="0" w:after="283"/>
                                    <w:jc w:val="center"/>
                                    <w:rPr>
                                      <w:rFonts w:ascii="Arial;Helvetica;Sans-Serif" w:hAnsi="Arial;Helvetica;Sans-Serif"/>
                                      <w:i/>
                                      <w:sz w:val="16"/>
                                    </w:rPr>
                                  </w:pPr>
                                  <w:r>
                                    <w:rPr>
                                      <w:rFonts w:ascii="Arial;Helvetica;Sans-Serif" w:hAnsi="Arial;Helvetica;Sans-Serif"/>
                                      <w:i/>
                                      <w:sz w:val="16"/>
                                    </w:rPr>
                                    <w:t>*Assumes an upside payment of 45.35% of the stated principal amount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4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$920.00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ind w:left="3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6975" w:type="dxa"/>
                        <w:jc w:val="left"/>
                        <w:tblInd w:w="0" w:type="dxa"/>
                        <w:tblLayout w:type="fixed"/>
                        <w:tblCellMar>
                          <w:top w:w="0" w:type="dxa"/>
                          <w:left w:w="0" w:type="dxa"/>
                          <w:bottom w:w="0" w:type="dxa"/>
                          <w:right w:w="0" w:type="dxa"/>
                        </w:tblCellMar>
                      </w:tblPr>
                      <w:tblGrid>
                        <w:gridCol w:w="6975"/>
                      </w:tblGrid>
                      <w:tr>
                        <w:trPr/>
                        <w:tc>
                          <w:tcPr>
                            <w:tcW w:w="6975" w:type="dxa"/>
                            <w:tcBorders/>
                            <w:shd w:fill="DCEBF4" w:val="clear"/>
                            <w:vAlign w:val="center"/>
                          </w:tcPr>
                          <w:p>
                            <w:pPr>
                              <w:pStyle w:val="TableContents"/>
                              <w:bidi w:val="0"/>
                              <w:spacing w:before="0" w:after="283"/>
                              <w:jc w:val="center"/>
                              <w:rPr>
                                <w:rFonts w:ascii="Arial;Helvetica;Sans-Serif" w:hAnsi="Arial;Helvetica;Sans-Serif"/>
                                <w:b/>
                                <w:color w:val="296DC1"/>
                                <w:sz w:val="17"/>
                              </w:rPr>
                            </w:pPr>
                            <w:r>
                              <w:rPr>
                                <w:rFonts w:ascii="Arial;Helvetica;Sans-Serif" w:hAnsi="Arial;Helvetica;Sans-Serif"/>
                                <w:b/>
                                <w:color w:val="296DC1"/>
                                <w:sz w:val="17"/>
                              </w:rPr>
                              <w:t>Dual Directional Trigger Jump Securities Payoff Diagram*</w:t>
                            </w:r>
                          </w:p>
                        </w:tc>
                      </w:tr>
                      <w:tr>
                        <w:trPr/>
                        <w:tc>
                          <w:tcPr>
                            <w:tcW w:w="6975" w:type="dxa"/>
                            <w:tcBorders/>
                            <w:vAlign w:val="center"/>
                          </w:tcPr>
                          <w:p>
                            <w:pPr>
                              <w:pStyle w:val="TableContents"/>
                              <w:bidi w:val="0"/>
                              <w:spacing w:before="0" w:after="283"/>
                              <w:jc w:val="center"/>
                              <w:rPr/>
                            </w:pPr>
                            <w:r>
                              <w:rPr/>
                              <w:drawing>
                                <wp:inline distT="0" distB="0" distL="0" distR="0">
                                  <wp:extent cx="4410075" cy="25431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5"/>
                                          <a:stretch>
                                            <a:fillRect/>
                                          </a:stretch>
                                        </pic:blipFill>
                                        <pic:spPr bwMode="auto">
                                          <a:xfrm>
                                            <a:off x="0" y="0"/>
                                            <a:ext cx="4410075" cy="2543175"/>
                                          </a:xfrm>
                                          <a:prstGeom prst="rect">
                                            <a:avLst/>
                                          </a:prstGeom>
                                        </pic:spPr>
                                      </pic:pic>
                                    </a:graphicData>
                                  </a:graphic>
                                </wp:inline>
                              </w:drawing>
                            </w:r>
                          </w:p>
                        </w:tc>
                      </w:tr>
                    </w:tbl>
                    <w:p>
                      <w:pPr>
                        <w:pStyle w:val="TextBody"/>
                        <w:bidi w:val="0"/>
                        <w:spacing w:before="0" w:after="0"/>
                        <w:ind w:left="108"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actual upside payment will be provided in the pricing supplement and will not be less than $453.50 per security.</w:t>
                      </w:r>
                    </w:p>
                    <w:tbl>
                      <w:tblPr>
                        <w:tblW w:w="3445" w:type="dxa"/>
                        <w:jc w:val="center"/>
                        <w:tblInd w:w="0" w:type="dxa"/>
                        <w:tblLayout w:type="fixed"/>
                        <w:tblCellMar>
                          <w:top w:w="0" w:type="dxa"/>
                          <w:left w:w="0" w:type="dxa"/>
                          <w:bottom w:w="0" w:type="dxa"/>
                          <w:right w:w="0" w:type="dxa"/>
                        </w:tblCellMar>
                      </w:tblPr>
                      <w:tblGrid>
                        <w:gridCol w:w="1430"/>
                        <w:gridCol w:w="2015"/>
                      </w:tblGrid>
                      <w:tr>
                        <w:trPr/>
                        <w:tc>
                          <w:tcPr>
                            <w:tcW w:w="1430"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Basket</w:t>
                            </w:r>
                          </w:p>
                        </w:tc>
                        <w:tc>
                          <w:tcPr>
                            <w:tcW w:w="2015"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Return on the Securities*</w:t>
                            </w:r>
                          </w:p>
                        </w:tc>
                      </w:tr>
                      <w:tr>
                        <w:trPr/>
                        <w:tc>
                          <w:tcPr>
                            <w:tcW w:w="143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01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bl>
                    <w:tbl>
                      <w:tblPr>
                        <w:tblW w:w="5180" w:type="dxa"/>
                        <w:jc w:val="center"/>
                        <w:tblInd w:w="0" w:type="dxa"/>
                        <w:tblLayout w:type="fixed"/>
                        <w:tblCellMar>
                          <w:top w:w="0" w:type="dxa"/>
                          <w:left w:w="0" w:type="dxa"/>
                          <w:bottom w:w="0" w:type="dxa"/>
                          <w:right w:w="0" w:type="dxa"/>
                        </w:tblCellMar>
                      </w:tblPr>
                      <w:tblGrid>
                        <w:gridCol w:w="2590"/>
                        <w:gridCol w:w="2590"/>
                      </w:tblGrid>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2590" w:type="dxa"/>
                            <w:tcBorders/>
                            <w:shd w:fill="FFFFFF"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45.35%</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r>
                      <w:tr>
                        <w:trPr/>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259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r>
                      <w:tr>
                        <w:trPr/>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259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r>
                      <w:tr>
                        <w:trPr/>
                        <w:tc>
                          <w:tcPr>
                            <w:tcW w:w="5180" w:type="dxa"/>
                            <w:gridSpan w:val="2"/>
                            <w:tcBorders/>
                            <w:shd w:fill="FFFFFF" w:val="clear"/>
                            <w:vAlign w:val="center"/>
                          </w:tcPr>
                          <w:p>
                            <w:pPr>
                              <w:pStyle w:val="TableContents"/>
                              <w:bidi w:val="0"/>
                              <w:spacing w:before="0" w:after="283"/>
                              <w:jc w:val="center"/>
                              <w:rPr>
                                <w:rFonts w:ascii="Arial;Helvetica;Sans-Serif" w:hAnsi="Arial;Helvetica;Sans-Serif"/>
                                <w:i/>
                                <w:sz w:val="16"/>
                              </w:rPr>
                            </w:pPr>
                            <w:r>
                              <w:rPr>
                                <w:rFonts w:ascii="Arial;Helvetica;Sans-Serif" w:hAnsi="Arial;Helvetica;Sans-Serif"/>
                                <w:i/>
                                <w:sz w:val="16"/>
                              </w:rPr>
                              <w:t>*Assumes an upside payment of 45.35% of the stated principal amount</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pPr>
      <w:r>
        <w:rPr/>
        <w:t> </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60.5-Month SX5E/TPX/UKX/SMI/AS51 Basket Dual Directional Trigger Jump Securities</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Basket and Underlying Indices</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more information about any underlying index, including historical performance information, see the accompanying preliminary pricing supplement.</w:t>
      </w:r>
    </w:p>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spacing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1"/>
        <w:gridCol w:w="138"/>
        <w:gridCol w:w="10026"/>
      </w:tblGrid>
      <w:tr>
        <w:trPr/>
        <w:tc>
          <w:tcPr>
            <w:tcW w:w="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6" w:type="dxa"/>
            <w:tcBorders/>
            <w:vAlign w:val="center"/>
          </w:tcPr>
          <w:p>
            <w:pPr>
              <w:pStyle w:val="TableContents"/>
              <w:bidi w:val="0"/>
              <w:spacing w:before="0" w:after="283"/>
              <w:jc w:val="left"/>
              <w:rPr>
                <w:sz w:val="16"/>
              </w:rPr>
            </w:pPr>
            <w:r>
              <w:rPr>
                <w:sz w:val="16"/>
              </w:rPr>
              <w:t>The securities do not pay interest or guarantee the return of any principal and your investment in the securities may result in a loss.</w:t>
            </w:r>
          </w:p>
        </w:tc>
      </w:tr>
    </w:tbl>
    <w:tbl>
      <w:tblPr>
        <w:tblW w:w="5000" w:type="pct"/>
        <w:jc w:val="left"/>
        <w:tblInd w:w="0" w:type="dxa"/>
        <w:tblLayout w:type="fixed"/>
        <w:tblCellMar>
          <w:top w:w="0" w:type="dxa"/>
          <w:left w:w="0" w:type="dxa"/>
          <w:bottom w:w="0" w:type="dxa"/>
          <w:right w:w="0" w:type="dxa"/>
        </w:tblCellMar>
      </w:tblPr>
      <w:tblGrid>
        <w:gridCol w:w="69"/>
        <w:gridCol w:w="227"/>
        <w:gridCol w:w="9909"/>
      </w:tblGrid>
      <w:tr>
        <w:trPr/>
        <w:tc>
          <w:tcPr>
            <w:tcW w:w="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6"/>
              </w:rPr>
            </w:pPr>
            <w:r>
              <w:rPr>
                <w:sz w:val="16"/>
              </w:rPr>
              <w:t>Your maximum downside gain on the securities is limited by the trigger level.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64" w:type="dxa"/>
            <w:tcBorders/>
            <w:vAlign w:val="center"/>
          </w:tcPr>
          <w:p>
            <w:pPr>
              <w:pStyle w:val="TableContents"/>
              <w:bidi w:val="0"/>
              <w:spacing w:before="0" w:after="283"/>
              <w:jc w:val="left"/>
              <w:rPr>
                <w:sz w:val="16"/>
              </w:rPr>
            </w:pPr>
            <w:r>
              <w:rPr>
                <w:sz w:val="16"/>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09" w:type="dxa"/>
            <w:tcBorders/>
            <w:vAlign w:val="center"/>
          </w:tcPr>
          <w:p>
            <w:pPr>
              <w:pStyle w:val="TableContents"/>
              <w:bidi w:val="0"/>
              <w:spacing w:before="0" w:after="283"/>
              <w:jc w:val="left"/>
              <w:rPr>
                <w:sz w:val="16"/>
              </w:rPr>
            </w:pPr>
            <w:r>
              <w:rPr>
                <w:sz w:val="16"/>
              </w:rPr>
              <w:t>The benefit provided by the trigger level may terminate on the valuation date.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Correlation (or lack of correlation) of performances among the underlying indices may reduce the performance of the basket, and changes in the values of the underlying indices may offset each other.</w:t>
            </w:r>
          </w:p>
        </w:tc>
      </w:tr>
    </w:tbl>
    <w:tbl>
      <w:tblPr>
        <w:tblW w:w="5000" w:type="pct"/>
        <w:jc w:val="left"/>
        <w:tblInd w:w="0" w:type="dxa"/>
        <w:tblLayout w:type="fixed"/>
        <w:tblCellMar>
          <w:top w:w="0" w:type="dxa"/>
          <w:left w:w="0" w:type="dxa"/>
          <w:bottom w:w="0" w:type="dxa"/>
          <w:right w:w="0" w:type="dxa"/>
        </w:tblCellMar>
      </w:tblPr>
      <w:tblGrid>
        <w:gridCol w:w="107"/>
        <w:gridCol w:w="354"/>
        <w:gridCol w:w="9744"/>
      </w:tblGrid>
      <w:tr>
        <w:trPr/>
        <w:tc>
          <w:tcPr>
            <w:tcW w:w="10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744" w:type="dxa"/>
            <w:tcBorders/>
            <w:vAlign w:val="center"/>
          </w:tcPr>
          <w:p>
            <w:pPr>
              <w:pStyle w:val="TableContents"/>
              <w:bidi w:val="0"/>
              <w:spacing w:before="0" w:after="283"/>
              <w:jc w:val="left"/>
              <w:rPr>
                <w:sz w:val="16"/>
              </w:rPr>
            </w:pPr>
            <w:r>
              <w:rPr>
                <w:sz w:val="16"/>
              </w:rPr>
              <w:t>The underlying indices are not equally weighted.</w:t>
            </w:r>
          </w:p>
        </w:tc>
      </w:tr>
    </w:tbl>
    <w:tbl>
      <w:tblPr>
        <w:tblW w:w="5000" w:type="pct"/>
        <w:jc w:val="left"/>
        <w:tblInd w:w="0" w:type="dxa"/>
        <w:tblLayout w:type="fixed"/>
        <w:tblCellMar>
          <w:top w:w="0" w:type="dxa"/>
          <w:left w:w="0" w:type="dxa"/>
          <w:bottom w:w="0" w:type="dxa"/>
          <w:right w:w="0" w:type="dxa"/>
        </w:tblCellMar>
      </w:tblPr>
      <w:tblGrid>
        <w:gridCol w:w="149"/>
        <w:gridCol w:w="491"/>
        <w:gridCol w:w="9565"/>
      </w:tblGrid>
      <w:tr>
        <w:trPr/>
        <w:tc>
          <w:tcPr>
            <w:tcW w:w="1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5" w:type="dxa"/>
            <w:tcBorders/>
            <w:vAlign w:val="center"/>
          </w:tcPr>
          <w:p>
            <w:pPr>
              <w:pStyle w:val="TableContents"/>
              <w:bidi w:val="0"/>
              <w:spacing w:before="0" w:after="283"/>
              <w:jc w:val="left"/>
              <w:rPr>
                <w:sz w:val="16"/>
              </w:rPr>
            </w:pPr>
            <w:r>
              <w:rPr>
                <w:sz w:val="16"/>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rP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6"/>
              </w:rPr>
            </w:pPr>
            <w:r>
              <w:rPr>
                <w:sz w:val="16"/>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77"/>
        <w:gridCol w:w="254"/>
        <w:gridCol w:w="9874"/>
      </w:tblGrid>
      <w:tr>
        <w:trPr/>
        <w:tc>
          <w:tcPr>
            <w:tcW w:w="7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74" w:type="dxa"/>
            <w:tcBorders/>
            <w:vAlign w:val="center"/>
          </w:tcPr>
          <w:p>
            <w:pPr>
              <w:pStyle w:val="TableContents"/>
              <w:bidi w:val="0"/>
              <w:spacing w:before="0" w:after="283"/>
              <w:jc w:val="left"/>
              <w:rPr>
                <w:sz w:val="16"/>
              </w:rPr>
            </w:pPr>
            <w:r>
              <w:rPr>
                <w:sz w:val="16"/>
              </w:rPr>
              <w:t>The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6"/>
              </w:rPr>
            </w:pPr>
            <w:r>
              <w:rPr>
                <w:sz w:val="16"/>
              </w:rPr>
              <w:t>Economic interests of the issuer, the guarantor, the calculation agent, the agent of the offering of the securities and other affiliates of the issuer may be different from those of investors.</w:t>
            </w:r>
          </w:p>
        </w:tc>
      </w:tr>
    </w:tbl>
    <w:tbl>
      <w:tblPr>
        <w:tblW w:w="5000" w:type="pct"/>
        <w:jc w:val="left"/>
        <w:tblInd w:w="0" w:type="dxa"/>
        <w:tblLayout w:type="fixed"/>
        <w:tblCellMar>
          <w:top w:w="0" w:type="dxa"/>
          <w:left w:w="0" w:type="dxa"/>
          <w:bottom w:w="0" w:type="dxa"/>
          <w:right w:w="0" w:type="dxa"/>
        </w:tblCellMar>
      </w:tblPr>
      <w:tblGrid>
        <w:gridCol w:w="49"/>
        <w:gridCol w:w="163"/>
        <w:gridCol w:w="9993"/>
      </w:tblGrid>
      <w:tr>
        <w:trPr/>
        <w:tc>
          <w:tcPr>
            <w:tcW w:w="4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3" w:type="dxa"/>
            <w:tcBorders/>
            <w:vAlign w:val="center"/>
          </w:tcPr>
          <w:p>
            <w:pPr>
              <w:pStyle w:val="TableContents"/>
              <w:bidi w:val="0"/>
              <w:spacing w:before="0" w:after="283"/>
              <w:jc w:val="left"/>
              <w:rPr>
                <w:sz w:val="16"/>
              </w:rPr>
            </w:pPr>
            <w:r>
              <w:rPr>
                <w:sz w:val="16"/>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8"/>
        <w:gridCol w:w="161"/>
        <w:gridCol w:w="9996"/>
      </w:tblGrid>
      <w:tr>
        <w:trP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6" w:type="dxa"/>
            <w:tcBorders/>
            <w:vAlign w:val="center"/>
          </w:tcPr>
          <w:p>
            <w:pPr>
              <w:pStyle w:val="TableContents"/>
              <w:bidi w:val="0"/>
              <w:spacing w:before="0" w:after="283"/>
              <w:jc w:val="left"/>
              <w:rPr>
                <w:sz w:val="16"/>
              </w:rPr>
            </w:pPr>
            <w:r>
              <w:rPr>
                <w:sz w:val="16"/>
              </w:rPr>
              <w:t>The estimated value of the securities will be lower than the original issue price (price to public) of the securities</w:t>
            </w:r>
            <w:r>
              <w:rPr>
                <w:rFonts w:ascii="Arial;Helvetica;Sans-Serif" w:hAnsi="Arial;Helvetica;Sans-Serif"/>
                <w:b w:val="false"/>
                <w:sz w:val="16"/>
              </w:rPr>
              <w:t>.</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16" w:type="dxa"/>
            <w:tcBorders/>
            <w:vAlign w:val="center"/>
          </w:tcPr>
          <w:p>
            <w:pPr>
              <w:pStyle w:val="TableContents"/>
              <w:bidi w:val="0"/>
              <w:spacing w:before="0" w:after="283"/>
              <w:jc w:val="left"/>
              <w:rPr>
                <w:sz w:val="16"/>
              </w:rPr>
            </w:pPr>
            <w:r>
              <w:rPr>
                <w:sz w:val="16"/>
              </w:rPr>
              <w:t>The estimated value of the securities does not represent future values of the securities and may differ from others’ estimates</w:t>
            </w:r>
            <w:r>
              <w:rPr>
                <w:rFonts w:ascii="Arial;Helvetica;Sans-Serif" w:hAnsi="Arial;Helvetica;Sans-Serif"/>
                <w:b w:val="false"/>
                <w:sz w:val="16"/>
              </w:rPr>
              <w:t>.</w:t>
            </w:r>
          </w:p>
        </w:tc>
      </w:tr>
    </w:tbl>
    <w:tbl>
      <w:tblPr>
        <w:tblW w:w="5000" w:type="pct"/>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47" w:type="dxa"/>
            <w:tcBorders/>
            <w:vAlign w:val="center"/>
          </w:tcPr>
          <w:p>
            <w:pPr>
              <w:pStyle w:val="TableContents"/>
              <w:bidi w:val="0"/>
              <w:spacing w:before="0" w:after="283"/>
              <w:jc w:val="left"/>
              <w:rPr/>
            </w:pPr>
            <w:r>
              <w:rPr>
                <w:rFonts w:ascii="Arial;Helvetica;Sans-Serif" w:hAnsi="Arial;Helvetica;Sans-Serif"/>
                <w:b w:val="false"/>
                <w:sz w:val="16"/>
              </w:rPr>
              <w:t xml:space="preserve">The estimated value of the </w:t>
            </w:r>
            <w:r>
              <w:rPr>
                <w:sz w:val="16"/>
              </w:rPr>
              <w:t xml:space="preserve">securities </w:t>
            </w:r>
            <w:r>
              <w:rPr>
                <w:rFonts w:ascii="Arial;Helvetica;Sans-Serif" w:hAnsi="Arial;Helvetica;Sans-Serif"/>
                <w:b w:val="false"/>
                <w:sz w:val="16"/>
              </w:rPr>
              <w:t>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pPr>
            <w:r>
              <w:rPr>
                <w:rFonts w:ascii="Arial;Helvetica;Sans-Serif" w:hAnsi="Arial;Helvetica;Sans-Serif"/>
                <w:b w:val="false"/>
                <w:sz w:val="16"/>
              </w:rPr>
              <w:t xml:space="preserve">The value of the </w:t>
            </w:r>
            <w:r>
              <w:rPr>
                <w:sz w:val="16"/>
              </w:rPr>
              <w:t xml:space="preserve">securities </w:t>
            </w:r>
            <w:r>
              <w:rPr>
                <w:rFonts w:ascii="Arial;Helvetica;Sans-Serif" w:hAnsi="Arial;Helvetica;Sans-Serif"/>
                <w:b w:val="false"/>
                <w:sz w:val="16"/>
              </w:rPr>
              <w:t xml:space="preserve">as published by J.P. Morgan Securities LLC (and which may be reflected on customer account statements) may be higher than the then-current estimated value of the </w:t>
            </w:r>
            <w:r>
              <w:rPr>
                <w:sz w:val="16"/>
              </w:rPr>
              <w:t xml:space="preserve">securities </w:t>
            </w:r>
            <w:r>
              <w:rPr>
                <w:rFonts w:ascii="Arial;Helvetica;Sans-Serif" w:hAnsi="Arial;Helvetica;Sans-Serif"/>
                <w:b w:val="false"/>
                <w:sz w:val="16"/>
              </w:rPr>
              <w:t>for a limited time period.</w:t>
            </w:r>
          </w:p>
        </w:tc>
      </w:tr>
    </w:tbl>
    <w:tbl>
      <w:tblPr>
        <w:tblW w:w="5000" w:type="pct"/>
        <w:jc w:val="left"/>
        <w:tblInd w:w="0" w:type="dxa"/>
        <w:tblLayout w:type="fixed"/>
        <w:tblCellMar>
          <w:top w:w="0" w:type="dxa"/>
          <w:left w:w="0" w:type="dxa"/>
          <w:bottom w:w="0" w:type="dxa"/>
          <w:right w:w="0" w:type="dxa"/>
        </w:tblCellMar>
      </w:tblPr>
      <w:tblGrid>
        <w:gridCol w:w="51"/>
        <w:gridCol w:w="168"/>
        <w:gridCol w:w="9986"/>
      </w:tblGrid>
      <w:tr>
        <w:trPr/>
        <w:tc>
          <w:tcPr>
            <w:tcW w:w="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86" w:type="dxa"/>
            <w:tcBorders/>
            <w:vAlign w:val="center"/>
          </w:tcPr>
          <w:p>
            <w:pPr>
              <w:pStyle w:val="TableContents"/>
              <w:bidi w:val="0"/>
              <w:spacing w:before="0" w:after="283"/>
              <w:jc w:val="left"/>
              <w:rPr>
                <w:sz w:val="16"/>
              </w:rPr>
            </w:pPr>
            <w:r>
              <w:rPr>
                <w:sz w:val="16"/>
              </w:rPr>
              <w:t>Secondary market prices of the securities will likely be lower than the original issue price of the securities</w:t>
            </w:r>
            <w:r>
              <w:rPr>
                <w:rFonts w:ascii="Arial;Helvetica;Sans-Serif" w:hAnsi="Arial;Helvetica;Sans-Serif"/>
                <w:b w:val="false"/>
                <w:sz w:val="16"/>
              </w:rPr>
              <w:t xml:space="preserve">. </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rP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pPr>
            <w:r>
              <w:rPr>
                <w:rFonts w:ascii="Arial;Helvetica;Sans-Serif" w:hAnsi="Arial;Helvetica;Sans-Serif"/>
                <w:b w:val="false"/>
                <w:sz w:val="16"/>
              </w:rPr>
              <w:t xml:space="preserve">Secondary market prices of the </w:t>
            </w:r>
            <w:r>
              <w:rPr>
                <w:sz w:val="16"/>
              </w:rPr>
              <w:t xml:space="preserve">securities </w:t>
            </w:r>
            <w:r>
              <w:rPr>
                <w:rFonts w:ascii="Arial;Helvetica;Sans-Serif" w:hAnsi="Arial;Helvetica;Sans-Serif"/>
                <w:b w:val="false"/>
                <w:sz w:val="16"/>
              </w:rPr>
              <w:t>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56"/>
        <w:gridCol w:w="185"/>
        <w:gridCol w:w="9964"/>
      </w:tblGrid>
      <w:tr>
        <w:trPr/>
        <w:tc>
          <w:tcPr>
            <w:tcW w:w="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64" w:type="dxa"/>
            <w:tcBorders/>
            <w:vAlign w:val="center"/>
          </w:tcPr>
          <w:p>
            <w:pPr>
              <w:pStyle w:val="TableContents"/>
              <w:bidi w:val="0"/>
              <w:spacing w:before="0" w:after="283"/>
              <w:jc w:val="left"/>
              <w:rPr/>
            </w:pPr>
            <w:r>
              <w:rPr>
                <w:rFonts w:ascii="Arial;Helvetica;Sans-Serif" w:hAnsi="Arial;Helvetica;Sans-Serif"/>
                <w:b w:val="false"/>
                <w:sz w:val="16"/>
              </w:rPr>
              <w:t xml:space="preserve">Investing in the </w:t>
            </w:r>
            <w:r>
              <w:rPr>
                <w:sz w:val="16"/>
              </w:rPr>
              <w:t xml:space="preserve">securities </w:t>
            </w:r>
            <w:r>
              <w:rPr>
                <w:rFonts w:ascii="Arial;Helvetica;Sans-Serif" w:hAnsi="Arial;Helvetica;Sans-Serif"/>
                <w:b w:val="false"/>
                <w:sz w:val="16"/>
              </w:rPr>
              <w:t>is not equivalent to investing in the basket or the underlying indices.</w:t>
            </w:r>
          </w:p>
        </w:tc>
      </w:tr>
    </w:tbl>
    <w:tbl>
      <w:tblPr>
        <w:tblW w:w="5000" w:type="pct"/>
        <w:jc w:val="left"/>
        <w:tblInd w:w="0" w:type="dxa"/>
        <w:tblLayout w:type="fixed"/>
        <w:tblCellMar>
          <w:top w:w="0" w:type="dxa"/>
          <w:left w:w="0" w:type="dxa"/>
          <w:bottom w:w="0" w:type="dxa"/>
          <w:right w:w="0" w:type="dxa"/>
        </w:tblCellMar>
      </w:tblPr>
      <w:tblGrid>
        <w:gridCol w:w="62"/>
        <w:gridCol w:w="206"/>
        <w:gridCol w:w="9937"/>
      </w:tblGrid>
      <w:tr>
        <w:trPr/>
        <w:tc>
          <w:tcPr>
            <w:tcW w:w="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37" w:type="dxa"/>
            <w:tcBorders/>
            <w:vAlign w:val="center"/>
          </w:tcPr>
          <w:p>
            <w:pPr>
              <w:pStyle w:val="TableContents"/>
              <w:bidi w:val="0"/>
              <w:spacing w:before="0" w:after="283"/>
              <w:jc w:val="left"/>
              <w:rPr>
                <w:sz w:val="16"/>
              </w:rPr>
            </w:pPr>
            <w:r>
              <w:rPr>
                <w:sz w:val="16"/>
              </w:rPr>
              <w:t>Adjustments to any underlying index could adversely affect the value of the securities.</w:t>
            </w:r>
          </w:p>
        </w:tc>
      </w:tr>
    </w:tbl>
    <w:tbl>
      <w:tblPr>
        <w:tblW w:w="5000" w:type="pct"/>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6" w:type="dxa"/>
            <w:tcBorders/>
            <w:vAlign w:val="center"/>
          </w:tcPr>
          <w:p>
            <w:pPr>
              <w:pStyle w:val="TableContents"/>
              <w:bidi w:val="0"/>
              <w:spacing w:before="0" w:after="283"/>
              <w:jc w:val="left"/>
              <w:rPr>
                <w:sz w:val="16"/>
              </w:rPr>
            </w:pPr>
            <w:r>
              <w:rPr>
                <w:sz w:val="16"/>
              </w:rPr>
              <w:t>The securities are subject to risks associated with securities issued by non-U.S. companies.</w:t>
            </w:r>
          </w:p>
        </w:tc>
      </w:tr>
    </w:tbl>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16" w:type="dxa"/>
            <w:tcBorders/>
            <w:vAlign w:val="center"/>
          </w:tcPr>
          <w:p>
            <w:pPr>
              <w:pStyle w:val="TableContents"/>
              <w:bidi w:val="0"/>
              <w:spacing w:before="0" w:after="283"/>
              <w:jc w:val="left"/>
              <w:rPr>
                <w:sz w:val="16"/>
              </w:rPr>
            </w:pPr>
            <w:r>
              <w:rPr>
                <w:sz w:val="16"/>
              </w:rPr>
              <w:t>The securities are not directly exposed to fluctuations in foreign exchange rates.</w:t>
            </w:r>
          </w:p>
        </w:tc>
      </w:tr>
    </w:tbl>
    <w:tbl>
      <w:tblPr>
        <w:tblW w:w="5000" w:type="pct"/>
        <w:jc w:val="left"/>
        <w:tblInd w:w="0" w:type="dxa"/>
        <w:tblLayout w:type="fixed"/>
        <w:tblCellMar>
          <w:top w:w="0" w:type="dxa"/>
          <w:left w:w="0" w:type="dxa"/>
          <w:bottom w:w="0" w:type="dxa"/>
          <w:right w:w="0" w:type="dxa"/>
        </w:tblCellMar>
      </w:tblPr>
      <w:tblGrid>
        <w:gridCol w:w="43"/>
        <w:gridCol w:w="143"/>
        <w:gridCol w:w="10019"/>
      </w:tblGrid>
      <w:tr>
        <w:trPr/>
        <w:tc>
          <w:tcPr>
            <w:tcW w:w="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19" w:type="dxa"/>
            <w:tcBorders/>
            <w:vAlign w:val="center"/>
          </w:tcPr>
          <w:p>
            <w:pPr>
              <w:pStyle w:val="TableContents"/>
              <w:bidi w:val="0"/>
              <w:spacing w:before="0" w:after="283"/>
              <w:jc w:val="left"/>
              <w:rPr>
                <w:sz w:val="16"/>
              </w:rPr>
            </w:pPr>
            <w:r>
              <w:rPr>
                <w:sz w:val="16"/>
              </w:rPr>
              <w:t xml:space="preserve">Governmental legislative and regulatory actions, including sanctions, could adversely affect your investment in the securities. </w:t>
            </w:r>
          </w:p>
        </w:tc>
      </w:tr>
    </w:tbl>
    <w:p>
      <w:pPr>
        <w:pStyle w:val="TextBody"/>
        <w:bidi w:val="0"/>
        <w:spacing w:before="120" w:after="60"/>
        <w:ind w:left="120" w:right="120" w:hanging="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spacing w:before="0" w:after="6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pStyle w:val="TextBody"/>
        <w:bidi w:val="0"/>
        <w:spacing w:before="0" w:after="0"/>
        <w:jc w:val="center"/>
        <w:rPr/>
      </w:pPr>
      <w:r>
        <w:rPr/>
        <w:t> </w:t>
      </w:r>
    </w:p>
    <w:p>
      <w:pPr>
        <w:pStyle w:val="TextBody"/>
        <w:bidi w:val="0"/>
        <w:spacing w:before="0" w:after="200"/>
        <w:ind w:left="3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083567/ea0299949-01_424b2.htm" TargetMode="External"/><Relationship Id="rId3" Type="http://schemas.openxmlformats.org/officeDocument/2006/relationships/hyperlink" Target="http://www.sec.gov/Archives/edgar/data/19617/000121390026083567/ea0299949-01_424b2.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1505</Words>
  <Characters>8242</Characters>
  <CharactersWithSpaces>9587</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