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CURRENT REPORT PURSUANT TO SECTION 13 OR 15(d) OF</w:t>
      </w:r>
    </w:p>
    <w:p>
      <w:pPr>
        <w:spacing w:after="0" w:line="7"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4"/>
          <w:szCs w:val="14"/>
          <w:color w:val="auto"/>
        </w:rPr>
        <w:t>THE SECURITIES EXCHANGE ACT OF 1934</w:t>
      </w:r>
    </w:p>
    <w:p>
      <w:pPr>
        <w:sectPr>
          <w:pgSz w:w="11900" w:h="16838" w:orient="portrait"/>
          <w:cols w:equalWidth="0" w:num="1">
            <w:col w:w="10239"/>
          </w:cols>
          <w:pgMar w:left="220" w:top="230" w:right="1440" w:bottom="144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DATE OF THE REPORT: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480"/>
        <w:spacing w:after="0"/>
        <w:rPr>
          <w:sz w:val="20"/>
          <w:szCs w:val="20"/>
          <w:color w:val="auto"/>
        </w:rPr>
      </w:pPr>
      <w:r>
        <w:rPr>
          <w:rFonts w:ascii="Courier New" w:cs="Courier New" w:eastAsia="Courier New" w:hAnsi="Courier New"/>
          <w:sz w:val="14"/>
          <w:szCs w:val="14"/>
          <w:color w:val="auto"/>
        </w:rPr>
        <w:t>APRIL 16, 1996</w:t>
      </w:r>
    </w:p>
    <w:p>
      <w:pPr>
        <w:spacing w:after="0" w:line="7" w:lineRule="exact"/>
        <w:rPr>
          <w:sz w:val="24"/>
          <w:szCs w:val="24"/>
          <w:color w:val="auto"/>
        </w:rPr>
      </w:pPr>
    </w:p>
    <w:p>
      <w:pPr>
        <w:jc w:val="center"/>
        <w:ind w:right="4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right"/>
        <w:ind w:right="3339"/>
        <w:spacing w:after="0"/>
        <w:rPr>
          <w:sz w:val="20"/>
          <w:szCs w:val="20"/>
          <w:color w:val="auto"/>
        </w:rPr>
      </w:pPr>
      <w:r>
        <w:rPr>
          <w:rFonts w:ascii="Courier New" w:cs="Courier New" w:eastAsia="Courier New" w:hAnsi="Courier New"/>
          <w:sz w:val="14"/>
          <w:szCs w:val="14"/>
          <w:color w:val="auto"/>
        </w:rPr>
        <w:t>COMMISSION FILE NUMBER 1-5805</w:t>
      </w:r>
    </w:p>
    <w:p>
      <w:pPr>
        <w:spacing w:after="0" w:line="7" w:lineRule="exact"/>
        <w:rPr>
          <w:sz w:val="24"/>
          <w:szCs w:val="24"/>
          <w:color w:val="auto"/>
        </w:rPr>
      </w:pPr>
    </w:p>
    <w:p>
      <w:pPr>
        <w:jc w:val="right"/>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ectPr>
          <w:pgSz w:w="11900" w:h="16838" w:orient="portrait"/>
          <w:cols w:equalWidth="0" w:num="3">
            <w:col w:w="1640" w:space="180"/>
            <w:col w:w="1860" w:space="720"/>
            <w:col w:w="5839"/>
          </w:cols>
          <w:pgMar w:left="220" w:top="230" w:right="1440" w:bottom="1440" w:gutter="0" w:footer="0" w:header="0"/>
          <w:type w:val="continuous"/>
        </w:sectPr>
      </w:pPr>
    </w:p>
    <w:p>
      <w:pPr>
        <w:ind w:left="2160"/>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1440" w:gutter="0" w:footer="0" w:header="0"/>
          <w:type w:val="continuous"/>
        </w:sectPr>
      </w:pPr>
    </w:p>
    <w:p>
      <w:pPr>
        <w:spacing w:after="0" w:line="173" w:lineRule="exact"/>
        <w:rPr>
          <w:sz w:val="24"/>
          <w:szCs w:val="24"/>
          <w:color w:val="auto"/>
        </w:rPr>
      </w:pPr>
    </w:p>
    <w:p>
      <w:pPr>
        <w:ind w:left="860"/>
        <w:spacing w:after="0"/>
        <w:rPr>
          <w:sz w:val="20"/>
          <w:szCs w:val="20"/>
          <w:color w:val="auto"/>
        </w:rPr>
      </w:pPr>
      <w:r>
        <w:rPr>
          <w:rFonts w:ascii="Courier New" w:cs="Courier New" w:eastAsia="Courier New" w:hAnsi="Courier New"/>
          <w:sz w:val="14"/>
          <w:szCs w:val="14"/>
          <w:color w:val="auto"/>
        </w:rPr>
        <w:t>DELAWARE</w:t>
      </w:r>
    </w:p>
    <w:p>
      <w:pPr>
        <w:spacing w:after="0" w:line="7"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420"/>
        <w:spacing w:after="0"/>
        <w:rPr>
          <w:sz w:val="20"/>
          <w:szCs w:val="20"/>
          <w:color w:val="auto"/>
        </w:rPr>
      </w:pPr>
      <w:r>
        <w:rPr>
          <w:rFonts w:ascii="Courier New" w:cs="Courier New" w:eastAsia="Courier New" w:hAnsi="Courier New"/>
          <w:sz w:val="14"/>
          <w:szCs w:val="14"/>
          <w:color w:val="auto"/>
        </w:rPr>
        <w:t>13-2624428</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2">
            <w:col w:w="3600" w:space="720"/>
            <w:col w:w="5919"/>
          </w:cols>
          <w:pgMar w:left="220" w:top="230" w:right="1440" w:bottom="1440" w:gutter="0" w:footer="0" w:header="0"/>
          <w:type w:val="continuous"/>
        </w:sectPr>
      </w:pPr>
    </w:p>
    <w:p>
      <w:pPr>
        <w:spacing w:after="0" w:line="13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270 PARK AVENUE, NEW YORK, NEW YORK</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10017-2070</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4"/>
          <w:szCs w:val="24"/>
          <w:color w:val="auto"/>
        </w:rPr>
      </w:pPr>
    </w:p>
    <w:p>
      <w:pPr>
        <w:sectPr>
          <w:pgSz w:w="11900" w:h="16838" w:orient="portrait"/>
          <w:cols w:equalWidth="0" w:num="2">
            <w:col w:w="4120" w:space="720"/>
            <w:col w:w="5399"/>
          </w:cols>
          <w:pgMar w:left="220" w:top="230" w:right="1440" w:bottom="1440" w:gutter="0" w:footer="0" w:header="0"/>
          <w:type w:val="continuous"/>
        </w:sectPr>
      </w:pPr>
    </w:p>
    <w:p>
      <w:pPr>
        <w:jc w:val="right"/>
        <w:ind w:right="3939"/>
        <w:spacing w:after="0"/>
        <w:rPr>
          <w:sz w:val="20"/>
          <w:szCs w:val="20"/>
          <w:color w:val="auto"/>
        </w:rPr>
      </w:pPr>
      <w:r>
        <w:rPr>
          <w:rFonts w:ascii="Courier New" w:cs="Courier New" w:eastAsia="Courier New" w:hAnsi="Courier New"/>
          <w:sz w:val="14"/>
          <w:szCs w:val="14"/>
          <w:color w:val="auto"/>
        </w:rPr>
        <w:t>REGISTRANT'S TELEPHONE NUMBER, INCLUDING AREA CODE (212) 270-6000</w:t>
      </w:r>
    </w:p>
    <w:p>
      <w:pPr>
        <w:sectPr>
          <w:pgSz w:w="11900" w:h="16838" w:orient="portrait"/>
          <w:cols w:equalWidth="0" w:num="1">
            <w:col w:w="10239"/>
          </w:cols>
          <w:pgMar w:left="220"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Items 5.</w:t>
        <w:tab/>
        <w:t>Other Events.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On March 31, 1996, The Chase Manhattan Corporation ("Chase") merged with and into Chemical Banking Corporation (the "Merger"), with Chemical Banking Corporation ("Chemical") continuing as the surviving corporation under the name "The Chase Manhattan Corporation". (Chemical, as the surviving corporation of the Merger, and as so renamed, is hereinafter referred to as the "Corporation".)</w:t>
      </w:r>
    </w:p>
    <w:p>
      <w:pPr>
        <w:spacing w:after="0" w:line="165"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Corporation issued a press release reporting its earnings results for the first quarter of 1996 on April 16, 1996 (the "Press Release"). A copy of the Press Release is filed as an exhibit hereto.</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On April 17, 1996, the Corporation mailed its 1995 Annual Report to holders of record of its common stock as of April 8, 1996 in connection with its solicitation of proxies for the Corporation's annual meeting of stockholders to be held on May 21, 1996. The "Management's Discussion and Analysis" section of the Annual Report ("MD&amp;A"), together with the audited financial statements of the Corporation and the notes thereto, and the report of Price Waterhouse LLP thereon, are filed as an exhibit hereto. Also filed as an exhibit hereto is a discussion of certain regulatory and supervisory matters relating to the Corporation ("Regulatory Description").</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Certain statements in the MD&amp;A, the Regulatory Description and the Press Release are forward-looking statements within the meaning of the Private Securities Litigation Reform Act of 1995. Such statements are subject to risks and uncertainties, and the Corporation's actual future results may differ materially from those set forth in such forward-looking statements. Factors that might cause the Corporation's future financial performance to vary include, but are not limited to, those set forth in the MD&amp;A and the Regulatory Description, as well as the following:</w:t>
      </w:r>
    </w:p>
    <w:p>
      <w:pPr>
        <w:spacing w:after="0" w:line="164" w:lineRule="exact"/>
        <w:rPr>
          <w:sz w:val="20"/>
          <w:szCs w:val="20"/>
          <w:color w:val="auto"/>
        </w:rPr>
      </w:pPr>
    </w:p>
    <w:p>
      <w:pPr>
        <w:ind w:right="3339" w:firstLine="8"/>
        <w:spacing w:after="0" w:line="251" w:lineRule="auto"/>
        <w:tabs>
          <w:tab w:leader="none" w:pos="77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Because of the inherent uncertainties associated with merging two large companies, there can be no assurance that the Corporation will be able fully to realize the cost savings it currently expects to realize as a result of the Merger or that such savings will be realized at the times currently anticipated. Currently unforeseen changes in real estate markets or personnel requirements, if they occur, could affect the timing and magnitude of the anticipated savings. Further, the technology integration and systems conversions to be undertaken in connection with the Merger include 67 major suites of systems and over 1,500 underlying individual applications. Each suite will be processing volumes at much higher levels than previously and operating feeds to the selected suites have had to be adapted to conform to processing requirements. Since these activities are highly complex and technologically sophisticated, currently unanticipated problems, if they occur, could delay the implementation timing or cost of the Merger more than currently anticipated.</w:t>
      </w:r>
    </w:p>
    <w:p>
      <w:pPr>
        <w:sectPr>
          <w:pgSz w:w="11900" w:h="16838" w:orient="portrait"/>
          <w:cols w:equalWidth="0" w:num="1">
            <w:col w:w="10239"/>
          </w:cols>
          <w:pgMar w:left="220" w:top="285"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right="3339" w:firstLine="8"/>
        <w:spacing w:after="0" w:line="251" w:lineRule="auto"/>
        <w:tabs>
          <w:tab w:leader="none" w:pos="77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The Corporation's revenue growth outlook for 1996 through 1998 assumes retention of major clients of Chase and Chemical with minimal Merger-related revenue loss. However, the Corporation operates in a highly competitive environment, which is expected to become increasingly competitive, and there is no assurance that the current customers of Chemical and Chase will continue to do the same level of business with the new Corporation following the Merger.</w:t>
      </w:r>
    </w:p>
    <w:p>
      <w:pPr>
        <w:spacing w:after="0" w:line="33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Corporation's bank subsidiaries compete with other domestic and foreign banks, thrift institutions, credit unions, and money market and other mutual funds for deposits and other sources of funds. In addition, the Corporation and its bank and non-bank subsidiaries face increased competition with respect to the diverse financial services and products they offer. Competitors also include finance companies, brokerage firms, investment banking companies, and a variety of other financial services and advisory companies. Many of these competitors are not subject to the same regulatory restrictions as are domestic bank holding companies and banks, such as the Corporation and its bank subsidiaries.</w:t>
      </w:r>
    </w:p>
    <w:p>
      <w:pPr>
        <w:spacing w:after="0" w:line="329" w:lineRule="exact"/>
        <w:rPr>
          <w:sz w:val="20"/>
          <w:szCs w:val="20"/>
          <w:color w:val="auto"/>
        </w:rPr>
      </w:pPr>
    </w:p>
    <w:p>
      <w:pPr>
        <w:ind w:right="3599" w:firstLine="775"/>
        <w:spacing w:after="0" w:line="251" w:lineRule="auto"/>
        <w:rPr>
          <w:sz w:val="20"/>
          <w:szCs w:val="20"/>
          <w:color w:val="auto"/>
        </w:rPr>
      </w:pPr>
      <w:r>
        <w:rPr>
          <w:rFonts w:ascii="Courier New" w:cs="Courier New" w:eastAsia="Courier New" w:hAnsi="Courier New"/>
          <w:sz w:val="14"/>
          <w:szCs w:val="14"/>
          <w:color w:val="auto"/>
        </w:rPr>
        <w:t>The Corporation expects that competitive conditions will continue to intensify as a result of technological advances. Technological advances have, for example, made it possible for non- depository institutions to offer customers automatic transfer systems and other automated payment systems services that have been traditional banking products.</w:t>
      </w:r>
    </w:p>
    <w:p>
      <w:pPr>
        <w:spacing w:after="0" w:line="165"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Competition is also expected to increase as a result of recently enacted legislation permitting interstate banking. Legislation pending in Congress, which would permit new types of affiliations between banks and financial service companies, including securities firms, could, if enacted, also have increased competitive effects (See, "Legislation and Pending Litigation" below).</w:t>
      </w:r>
    </w:p>
    <w:p>
      <w:pPr>
        <w:spacing w:after="0" w:line="327" w:lineRule="exact"/>
        <w:rPr>
          <w:sz w:val="20"/>
          <w:szCs w:val="20"/>
          <w:color w:val="auto"/>
        </w:rPr>
      </w:pPr>
    </w:p>
    <w:p>
      <w:pPr>
        <w:ind w:right="3339" w:firstLine="8"/>
        <w:spacing w:after="0" w:line="251" w:lineRule="auto"/>
        <w:tabs>
          <w:tab w:leader="none" w:pos="77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Operations. The Corporation does business throughout the world, including in developing regions of the world commonly known as emerging markets. The Corporation also invests in the securities of corporations located in such emerging markets. The Corporation's businesses and revenues derived from emerging markets securities are subject to risk of loss from unfavorable political and diplomatic developments, currency fluctuations, social instability, changes in governmental policies, expropriation, nationalization, confiscation of assets and changes in legislation relating to foreign ownership. In addition, foreign trading markets, particularly in emerging market countries are often smaller, less liquid, and more volatile than the U.S. trading markets.</w:t>
      </w:r>
    </w:p>
    <w:p>
      <w:pPr>
        <w:spacing w:after="0" w:line="163" w:lineRule="exact"/>
        <w:rPr>
          <w:rFonts w:ascii="Courier New" w:cs="Courier New" w:eastAsia="Courier New" w:hAnsi="Courier New"/>
          <w:sz w:val="14"/>
          <w:szCs w:val="14"/>
          <w:color w:val="auto"/>
        </w:rPr>
      </w:pPr>
    </w:p>
    <w:p>
      <w:pPr>
        <w:jc w:val="both"/>
        <w:ind w:right="3599" w:firstLine="8"/>
        <w:spacing w:after="0" w:line="251" w:lineRule="auto"/>
        <w:tabs>
          <w:tab w:leader="none" w:pos="77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 Monetary Policies and Economic Controls. The earnings and business of the Corporation are affected by general economic conditions, both domestic and international. In addition, fiscal or other policies that are adopted by various regulatory authorities of the United States, by foreign governments, and by international agencies can have important</w:t>
      </w:r>
    </w:p>
    <w:p>
      <w:pPr>
        <w:sectPr>
          <w:pgSz w:w="11900" w:h="16838" w:orient="portrait"/>
          <w:cols w:equalWidth="0" w:num="1">
            <w:col w:w="10239"/>
          </w:cols>
          <w:pgMar w:left="220" w:top="285"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consequences for the financial performance of the Corporation. The Corporation is particularly affected by the policies of the Board of Governors of the Federal Reserve System (the "Federal Reserve Board"), which regulates the national supply of bank credit. Among the instruments of monetary policy available to the Federal Reserve Board are engaging in open-market operations in United States Government securities; changing the discount rates of borrowings of depository institutions; imposing or changing reserve requirements against depository institutions' deposits and certain assets of foreign branches; and imposing or changing reserve requirements against certain borrowings by banks and their affiliates (including parent corporations such as the Corporation). These methods are used in varying combinations to influence the overall growth of bank loans, investments, and deposits, and the interest rates charged on loans or paid for deposits.</w:t>
      </w:r>
    </w:p>
    <w:p>
      <w:pPr>
        <w:spacing w:after="0" w:line="329"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Corporation has economic, credit, legal, and other specialists who monitor economic conditions, and domestic and foreign government policies and actions. However, since it is difficult to predict changes in macroeconomic conditions and in governmental policies and actions relating thereto, it is difficult to foresee the effects of any such changes on the business and earnings of the Corporation and its subsidiaries.</w:t>
      </w:r>
    </w:p>
    <w:p>
      <w:pPr>
        <w:spacing w:after="0" w:line="164" w:lineRule="exact"/>
        <w:rPr>
          <w:sz w:val="20"/>
          <w:szCs w:val="20"/>
          <w:color w:val="auto"/>
        </w:rPr>
      </w:pPr>
    </w:p>
    <w:p>
      <w:pPr>
        <w:ind w:right="3339" w:firstLine="8"/>
        <w:spacing w:after="0" w:line="250" w:lineRule="auto"/>
        <w:tabs>
          <w:tab w:leader="none" w:pos="775"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Legislation and Pending Litigation. Federal and state legislation affecting the banking industry has played, and will continue to play, a significant role in shaping the nature of the financial services industry. For example, during 1994, legislation was enacted (the Riegle-Neal Interstate Banking and Branching Efficiency Act of 1994) that permitted, commencing September 29, 1995, interstate banking (under certain conditions relating to concentration of deposits) and will permit, commencing June 1, 1997 (subject to enactment by any state of "opt-out" legislation), interstate branching by consolidation across state lines, of banks under the common control of a bank holding company. Furthermore, legislation is pending in Congress that would, if enacted, substantially reform the regulatory structure under which U.S. bank holding companies and other financial services institutions operate and could, therefore, have important implications for the Corporation and other financial services companies. Given the current status of these legislative efforts, it is not possible for the Corporation to predict the extent to which the Corporation and its subsidiaries may be affected by any of these initiatives.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There are also cases pending before Federal and state courts that seek to expand or restrict interpretations of existing laws and their accompanying regulations affecting the activities of bank holding companies and their subsidiaries. For example, a number of lawsuits have been filed in several states against credit card issuing banks (including the Corporation's credit card- issuing bank) which allege that various fees and charges (such as late fees, over-the-limit fees, returned check charges and annual membership fees) that may be assessed against residents of such states by the credit card-issuing bank located in another state are prohibited under such states' laws. At issue is whether such states' laws prohibiting such fees and charges are pre- empted by Federal law. The issue is currently pending before the United States Supreme Court. Although the Corporation is not a party to the lawsuit pending before the U.S. Supreme Court,</w:t>
      </w:r>
    </w:p>
    <w:p>
      <w:pPr>
        <w:sectPr>
          <w:pgSz w:w="11900" w:h="16838" w:orient="portrait"/>
          <w:cols w:equalWidth="0" w:num="1">
            <w:col w:w="10239"/>
          </w:cols>
          <w:pgMar w:left="220" w:top="285"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 decision that is adverse to the credit card issuing bank in that case could lead to the imposition of fines, penalties and refund requirements on other credit card issuers, including the Corporation, and could have an adverse impact on the Corporation's credit card operations. As another example, on March 26, 1996, the United States Supreme Court held that the Federal statute authorizing national banks to sell insurance in small towns pre-empts a state statute forbidding national banks from selling insurance in that state (Barnett Bank of Marion County, N.A. v. Bill Nelson, Florida Insurance Commissioner, et. al. (S. Ct. No. 94-1837). The Corporation believes this decision will enhance its ability to expand its current insurance activities.</w:t>
      </w:r>
    </w:p>
    <w:p>
      <w:pPr>
        <w:spacing w:after="0" w:line="163" w:lineRule="exact"/>
        <w:rPr>
          <w:sz w:val="20"/>
          <w:szCs w:val="20"/>
          <w:color w:val="auto"/>
        </w:rPr>
      </w:pPr>
    </w:p>
    <w:p>
      <w:pPr>
        <w:ind w:right="3339" w:firstLine="8"/>
        <w:spacing w:after="0" w:line="250" w:lineRule="auto"/>
        <w:tabs>
          <w:tab w:leader="none" w:pos="775"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Conditions and General Economy. The Corporation has identified its global markets, global services, investment banking, private banking and national consumer business as businesses that it believes will be primarily responsible for providing the anticipated revenue growth of the Corporation in 1996 and the years immediately beyond. However, there is no assurance that such businesses will experience revenue growth at the rates currently anticipated. The profitability of these businesses, as well as the Corporation's credit quality, could be adversely affected by a worsening of general economic conditions, particularly by a higher domestic interest rate environment, as well as by foreign and domestic trading market conditions. An economic downturn or significantly higher interest rates could increase the risk that a greater number of the Corporation's customers would become delinquent on their loans or other obligations to the Corporation, or would refrain from securing additional debt. In addition, a higher level of domestic interest rates could affect the amount of assets under management by the Corporation (for example, by affecting the flows of moneys to or from the mutual funds managed by the Corporation), impact the willingness of financial investors to participate in loan syndications and underwritings managed by the Corporation's corporate finance business, adversely impact the Corporation's loan and deposit spreads and affect its domestic trading revenues. Revenues from foreign trading markets may also be subject to negative fluctuations as a result of the impact of unfavorable political and diplomatic developments, social instability and changes in the policies of central banks or foreign governments, and the impact of these fluctuations could be accentuated by the volatility and lack of relative liquidity in some of these foreign trading markets.</w:t>
      </w:r>
    </w:p>
    <w:p>
      <w:pPr>
        <w:sectPr>
          <w:pgSz w:w="11900" w:h="16838" w:orient="portrait"/>
          <w:cols w:equalWidth="0" w:num="1">
            <w:col w:w="10239"/>
          </w:cols>
          <w:pgMar w:left="220" w:top="285"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 Financial Statements, Pro Forma Financial Information and 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exhibits are filed with this Report: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Exhibit Number</w:t>
            </w:r>
          </w:p>
        </w:tc>
        <w:tc>
          <w:tcPr>
            <w:tcW w:w="3100" w:type="dxa"/>
            <w:vAlign w:val="bottom"/>
          </w:tcPr>
          <w:p>
            <w:pPr>
              <w:ind w:left="560"/>
              <w:spacing w:after="0"/>
              <w:rPr>
                <w:sz w:val="20"/>
                <w:szCs w:val="20"/>
                <w:color w:val="auto"/>
              </w:rPr>
            </w:pPr>
            <w:r>
              <w:rPr>
                <w:rFonts w:ascii="Courier New" w:cs="Courier New" w:eastAsia="Courier New" w:hAnsi="Courier New"/>
                <w:sz w:val="14"/>
                <w:szCs w:val="14"/>
                <w:color w:val="auto"/>
              </w:rPr>
              <w:t>Description</w:t>
            </w:r>
          </w:p>
        </w:tc>
        <w:tc>
          <w:tcPr>
            <w:tcW w:w="1860" w:type="dxa"/>
            <w:vAlign w:val="bottom"/>
          </w:tcPr>
          <w:p>
            <w:pPr>
              <w:spacing w:after="0"/>
              <w:rPr>
                <w:sz w:val="14"/>
                <w:szCs w:val="14"/>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1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99.1</w:t>
            </w:r>
          </w:p>
        </w:tc>
        <w:tc>
          <w:tcPr>
            <w:tcW w:w="3100" w:type="dxa"/>
            <w:vAlign w:val="bottom"/>
          </w:tcPr>
          <w:p>
            <w:pPr>
              <w:ind w:left="560"/>
              <w:spacing w:after="0"/>
              <w:rPr>
                <w:sz w:val="20"/>
                <w:szCs w:val="20"/>
                <w:color w:val="auto"/>
              </w:rPr>
            </w:pPr>
            <w:r>
              <w:rPr>
                <w:rFonts w:ascii="Courier New" w:cs="Courier New" w:eastAsia="Courier New" w:hAnsi="Courier New"/>
                <w:sz w:val="14"/>
                <w:szCs w:val="14"/>
                <w:color w:val="auto"/>
              </w:rPr>
              <w:t>Press Release dated April 16,</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1996</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99.2</w:t>
            </w:r>
          </w:p>
        </w:tc>
        <w:tc>
          <w:tcPr>
            <w:tcW w:w="496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Management's Discussion and Analysis and audited</w:t>
            </w:r>
          </w:p>
        </w:tc>
      </w:tr>
      <w:tr>
        <w:trPr>
          <w:trHeight w:val="166"/>
        </w:trPr>
        <w:tc>
          <w:tcPr>
            <w:tcW w:w="1940" w:type="dxa"/>
            <w:vAlign w:val="bottom"/>
          </w:tcPr>
          <w:p>
            <w:pPr>
              <w:spacing w:after="0"/>
              <w:rPr>
                <w:sz w:val="14"/>
                <w:szCs w:val="14"/>
                <w:color w:val="auto"/>
              </w:rPr>
            </w:pPr>
          </w:p>
        </w:tc>
        <w:tc>
          <w:tcPr>
            <w:tcW w:w="3100" w:type="dxa"/>
            <w:vAlign w:val="bottom"/>
          </w:tcPr>
          <w:p>
            <w:pPr>
              <w:ind w:left="560"/>
              <w:spacing w:after="0"/>
              <w:rPr>
                <w:sz w:val="20"/>
                <w:szCs w:val="20"/>
                <w:color w:val="auto"/>
              </w:rPr>
            </w:pPr>
            <w:r>
              <w:rPr>
                <w:rFonts w:ascii="Courier New" w:cs="Courier New" w:eastAsia="Courier New" w:hAnsi="Courier New"/>
                <w:sz w:val="14"/>
                <w:szCs w:val="14"/>
                <w:color w:val="auto"/>
              </w:rPr>
              <w:t>financial statements from the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1995 Annual Report of</w:t>
            </w:r>
          </w:p>
        </w:tc>
      </w:tr>
      <w:tr>
        <w:trPr>
          <w:trHeight w:val="166"/>
        </w:trPr>
        <w:tc>
          <w:tcPr>
            <w:tcW w:w="1940" w:type="dxa"/>
            <w:vAlign w:val="bottom"/>
          </w:tcPr>
          <w:p>
            <w:pPr>
              <w:spacing w:after="0"/>
              <w:rPr>
                <w:sz w:val="14"/>
                <w:szCs w:val="14"/>
                <w:color w:val="auto"/>
              </w:rPr>
            </w:pPr>
          </w:p>
        </w:tc>
        <w:tc>
          <w:tcPr>
            <w:tcW w:w="3100" w:type="dxa"/>
            <w:vAlign w:val="bottom"/>
          </w:tcPr>
          <w:p>
            <w:pPr>
              <w:ind w:left="560"/>
              <w:spacing w:after="0"/>
              <w:rPr>
                <w:sz w:val="20"/>
                <w:szCs w:val="20"/>
                <w:color w:val="auto"/>
              </w:rPr>
            </w:pPr>
            <w:r>
              <w:rPr>
                <w:rFonts w:ascii="Courier New" w:cs="Courier New" w:eastAsia="Courier New" w:hAnsi="Courier New"/>
                <w:sz w:val="14"/>
                <w:szCs w:val="14"/>
                <w:color w:val="auto"/>
              </w:rPr>
              <w:t>the Corporation</w:t>
            </w:r>
          </w:p>
        </w:tc>
        <w:tc>
          <w:tcPr>
            <w:tcW w:w="1860" w:type="dxa"/>
            <w:vAlign w:val="bottom"/>
          </w:tcPr>
          <w:p>
            <w:pPr>
              <w:spacing w:after="0"/>
              <w:rPr>
                <w:sz w:val="14"/>
                <w:szCs w:val="14"/>
                <w:color w:val="auto"/>
              </w:rPr>
            </w:pP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99.3</w:t>
            </w:r>
          </w:p>
        </w:tc>
        <w:tc>
          <w:tcPr>
            <w:tcW w:w="3100" w:type="dxa"/>
            <w:vAlign w:val="bottom"/>
          </w:tcPr>
          <w:p>
            <w:pPr>
              <w:ind w:left="560"/>
              <w:spacing w:after="0"/>
              <w:rPr>
                <w:sz w:val="20"/>
                <w:szCs w:val="20"/>
                <w:color w:val="auto"/>
              </w:rPr>
            </w:pPr>
            <w:r>
              <w:rPr>
                <w:rFonts w:ascii="Courier New" w:cs="Courier New" w:eastAsia="Courier New" w:hAnsi="Courier New"/>
                <w:sz w:val="14"/>
                <w:szCs w:val="14"/>
                <w:color w:val="auto"/>
              </w:rPr>
              <w:t>Supervision and Regulation of</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The Chase Manhattan</w:t>
            </w:r>
          </w:p>
        </w:tc>
      </w:tr>
      <w:tr>
        <w:trPr>
          <w:trHeight w:val="166"/>
        </w:trPr>
        <w:tc>
          <w:tcPr>
            <w:tcW w:w="1940" w:type="dxa"/>
            <w:vAlign w:val="bottom"/>
          </w:tcPr>
          <w:p>
            <w:pPr>
              <w:spacing w:after="0"/>
              <w:rPr>
                <w:sz w:val="14"/>
                <w:szCs w:val="14"/>
                <w:color w:val="auto"/>
              </w:rPr>
            </w:pPr>
          </w:p>
        </w:tc>
        <w:tc>
          <w:tcPr>
            <w:tcW w:w="3100" w:type="dxa"/>
            <w:vAlign w:val="bottom"/>
          </w:tcPr>
          <w:p>
            <w:pPr>
              <w:ind w:left="560"/>
              <w:spacing w:after="0"/>
              <w:rPr>
                <w:sz w:val="20"/>
                <w:szCs w:val="20"/>
                <w:color w:val="auto"/>
              </w:rPr>
            </w:pPr>
            <w:r>
              <w:rPr>
                <w:rFonts w:ascii="Courier New" w:cs="Courier New" w:eastAsia="Courier New" w:hAnsi="Courier New"/>
                <w:sz w:val="14"/>
                <w:szCs w:val="14"/>
                <w:color w:val="auto"/>
              </w:rPr>
              <w:t>Corporation</w:t>
            </w:r>
          </w:p>
        </w:tc>
        <w:tc>
          <w:tcPr>
            <w:tcW w:w="1860" w:type="dxa"/>
            <w:vAlign w:val="bottom"/>
          </w:tcPr>
          <w:p>
            <w:pPr>
              <w:spacing w:after="0"/>
              <w:rPr>
                <w:sz w:val="14"/>
                <w:szCs w:val="14"/>
                <w:color w:val="auto"/>
              </w:rPr>
            </w:pPr>
          </w:p>
        </w:tc>
      </w:tr>
    </w:tbl>
    <w:p>
      <w:pPr>
        <w:sectPr>
          <w:pgSz w:w="11900" w:h="16838" w:orient="portrait"/>
          <w:cols w:equalWidth="0" w:num="1">
            <w:col w:w="10239"/>
          </w:cols>
          <w:pgMar w:left="220" w:top="285"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SIGNATURE</w:t>
      </w:r>
    </w:p>
    <w:p>
      <w:pPr>
        <w:spacing w:after="0" w:line="173" w:lineRule="exact"/>
        <w:rPr>
          <w:sz w:val="20"/>
          <w:szCs w:val="20"/>
          <w:color w:val="auto"/>
        </w:rPr>
      </w:pPr>
    </w:p>
    <w:p>
      <w:pPr>
        <w:ind w:right="3339" w:firstLine="1550"/>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(Registrant)</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April 17, 1996</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 John B. Wynne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John B. Wynne</w:t>
      </w:r>
    </w:p>
    <w:p>
      <w:pPr>
        <w:spacing w:after="0" w:line="7"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Secretary</w:t>
      </w:r>
    </w:p>
    <w:p>
      <w:pPr>
        <w:sectPr>
          <w:pgSz w:w="11900" w:h="16838" w:orient="portrait"/>
          <w:cols w:equalWidth="0" w:num="3">
            <w:col w:w="2640" w:space="720"/>
            <w:col w:w="180" w:space="80"/>
            <w:col w:w="6619"/>
          </w:cols>
          <w:pgMar w:left="220" w:top="285" w:right="1440" w:bottom="1440"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100" w:type="dxa"/>
            <w:vAlign w:val="bottom"/>
          </w:tcPr>
          <w:p>
            <w:pPr>
              <w:ind w:left="1000"/>
              <w:spacing w:after="0"/>
              <w:rPr>
                <w:sz w:val="20"/>
                <w:szCs w:val="20"/>
                <w:color w:val="auto"/>
              </w:rPr>
            </w:pPr>
            <w:r>
              <w:rPr>
                <w:rFonts w:ascii="Courier New" w:cs="Courier New" w:eastAsia="Courier New" w:hAnsi="Courier New"/>
                <w:sz w:val="14"/>
                <w:szCs w:val="14"/>
                <w:color w:val="auto"/>
              </w:rPr>
              <w:t>EXHIBIT INDEX</w:t>
            </w:r>
          </w:p>
        </w:tc>
        <w:tc>
          <w:tcPr>
            <w:tcW w:w="1860" w:type="dxa"/>
            <w:vAlign w:val="bottom"/>
          </w:tcPr>
          <w:p>
            <w:pPr>
              <w:spacing w:after="0"/>
              <w:rPr>
                <w:sz w:val="14"/>
                <w:szCs w:val="14"/>
                <w:color w:val="auto"/>
              </w:rPr>
            </w:pPr>
          </w:p>
        </w:tc>
      </w:tr>
      <w:tr>
        <w:trPr>
          <w:trHeight w:val="663"/>
        </w:trPr>
        <w:tc>
          <w:tcPr>
            <w:tcW w:w="1940" w:type="dxa"/>
            <w:vAlign w:val="bottom"/>
          </w:tcPr>
          <w:p>
            <w:pPr>
              <w:spacing w:after="0"/>
              <w:rPr>
                <w:sz w:val="20"/>
                <w:szCs w:val="20"/>
                <w:color w:val="auto"/>
              </w:rPr>
            </w:pPr>
            <w:r>
              <w:rPr>
                <w:rFonts w:ascii="Courier New" w:cs="Courier New" w:eastAsia="Courier New" w:hAnsi="Courier New"/>
                <w:sz w:val="14"/>
                <w:szCs w:val="14"/>
                <w:color w:val="auto"/>
              </w:rPr>
              <w:t>Exhibit Number</w:t>
            </w:r>
          </w:p>
        </w:tc>
        <w:tc>
          <w:tcPr>
            <w:tcW w:w="3100" w:type="dxa"/>
            <w:vAlign w:val="bottom"/>
          </w:tcPr>
          <w:p>
            <w:pPr>
              <w:ind w:left="560"/>
              <w:spacing w:after="0"/>
              <w:rPr>
                <w:sz w:val="20"/>
                <w:szCs w:val="20"/>
                <w:color w:val="auto"/>
              </w:rPr>
            </w:pPr>
            <w:r>
              <w:rPr>
                <w:rFonts w:ascii="Courier New" w:cs="Courier New" w:eastAsia="Courier New" w:hAnsi="Courier New"/>
                <w:sz w:val="14"/>
                <w:szCs w:val="14"/>
                <w:color w:val="auto"/>
              </w:rPr>
              <w:t>Description</w:t>
            </w:r>
          </w:p>
        </w:tc>
        <w:tc>
          <w:tcPr>
            <w:tcW w:w="1860" w:type="dxa"/>
            <w:vAlign w:val="bottom"/>
          </w:tcPr>
          <w:p>
            <w:pPr>
              <w:spacing w:after="0"/>
              <w:rPr>
                <w:sz w:val="24"/>
                <w:szCs w:val="24"/>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100" w:type="dxa"/>
            <w:vAlign w:val="bottom"/>
          </w:tcPr>
          <w:p>
            <w:pPr>
              <w:ind w:left="74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spacing w:after="0"/>
              <w:rPr>
                <w:sz w:val="14"/>
                <w:szCs w:val="14"/>
                <w:color w:val="auto"/>
              </w:rPr>
            </w:pP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99.1</w:t>
            </w:r>
          </w:p>
        </w:tc>
        <w:tc>
          <w:tcPr>
            <w:tcW w:w="3100" w:type="dxa"/>
            <w:vAlign w:val="bottom"/>
          </w:tcPr>
          <w:p>
            <w:pPr>
              <w:ind w:left="560"/>
              <w:spacing w:after="0"/>
              <w:rPr>
                <w:sz w:val="20"/>
                <w:szCs w:val="20"/>
                <w:color w:val="auto"/>
              </w:rPr>
            </w:pPr>
            <w:r>
              <w:rPr>
                <w:rFonts w:ascii="Courier New" w:cs="Courier New" w:eastAsia="Courier New" w:hAnsi="Courier New"/>
                <w:sz w:val="14"/>
                <w:szCs w:val="14"/>
                <w:color w:val="auto"/>
              </w:rPr>
              <w:t>Press Release dated April 16,</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1996</w:t>
            </w: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99.2</w:t>
            </w:r>
          </w:p>
        </w:tc>
        <w:tc>
          <w:tcPr>
            <w:tcW w:w="496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Management's Discussion and Analysis and audited</w:t>
            </w:r>
          </w:p>
        </w:tc>
      </w:tr>
      <w:tr>
        <w:trPr>
          <w:trHeight w:val="166"/>
        </w:trPr>
        <w:tc>
          <w:tcPr>
            <w:tcW w:w="1940" w:type="dxa"/>
            <w:vAlign w:val="bottom"/>
          </w:tcPr>
          <w:p>
            <w:pPr>
              <w:spacing w:after="0"/>
              <w:rPr>
                <w:sz w:val="14"/>
                <w:szCs w:val="14"/>
                <w:color w:val="auto"/>
              </w:rPr>
            </w:pPr>
          </w:p>
        </w:tc>
        <w:tc>
          <w:tcPr>
            <w:tcW w:w="3100" w:type="dxa"/>
            <w:vAlign w:val="bottom"/>
          </w:tcPr>
          <w:p>
            <w:pPr>
              <w:ind w:left="560"/>
              <w:spacing w:after="0"/>
              <w:rPr>
                <w:sz w:val="20"/>
                <w:szCs w:val="20"/>
                <w:color w:val="auto"/>
              </w:rPr>
            </w:pPr>
            <w:r>
              <w:rPr>
                <w:rFonts w:ascii="Courier New" w:cs="Courier New" w:eastAsia="Courier New" w:hAnsi="Courier New"/>
                <w:sz w:val="14"/>
                <w:szCs w:val="14"/>
                <w:color w:val="auto"/>
              </w:rPr>
              <w:t>financial statements from the</w:t>
            </w:r>
          </w:p>
        </w:tc>
        <w:tc>
          <w:tcPr>
            <w:tcW w:w="1860" w:type="dxa"/>
            <w:vAlign w:val="bottom"/>
          </w:tcPr>
          <w:p>
            <w:pPr>
              <w:ind w:left="60"/>
              <w:spacing w:after="0"/>
              <w:rPr>
                <w:sz w:val="20"/>
                <w:szCs w:val="20"/>
                <w:color w:val="auto"/>
              </w:rPr>
            </w:pPr>
            <w:r>
              <w:rPr>
                <w:rFonts w:ascii="Courier New" w:cs="Courier New" w:eastAsia="Courier New" w:hAnsi="Courier New"/>
                <w:sz w:val="14"/>
                <w:szCs w:val="14"/>
                <w:color w:val="auto"/>
              </w:rPr>
              <w:t>1995 Annual Report of</w:t>
            </w:r>
          </w:p>
        </w:tc>
      </w:tr>
      <w:tr>
        <w:trPr>
          <w:trHeight w:val="166"/>
        </w:trPr>
        <w:tc>
          <w:tcPr>
            <w:tcW w:w="1940" w:type="dxa"/>
            <w:vAlign w:val="bottom"/>
          </w:tcPr>
          <w:p>
            <w:pPr>
              <w:spacing w:after="0"/>
              <w:rPr>
                <w:sz w:val="14"/>
                <w:szCs w:val="14"/>
                <w:color w:val="auto"/>
              </w:rPr>
            </w:pPr>
          </w:p>
        </w:tc>
        <w:tc>
          <w:tcPr>
            <w:tcW w:w="3100" w:type="dxa"/>
            <w:vAlign w:val="bottom"/>
          </w:tcPr>
          <w:p>
            <w:pPr>
              <w:ind w:left="560"/>
              <w:spacing w:after="0"/>
              <w:rPr>
                <w:sz w:val="20"/>
                <w:szCs w:val="20"/>
                <w:color w:val="auto"/>
              </w:rPr>
            </w:pPr>
            <w:r>
              <w:rPr>
                <w:rFonts w:ascii="Courier New" w:cs="Courier New" w:eastAsia="Courier New" w:hAnsi="Courier New"/>
                <w:sz w:val="14"/>
                <w:szCs w:val="14"/>
                <w:color w:val="auto"/>
              </w:rPr>
              <w:t>the Corporation</w:t>
            </w:r>
          </w:p>
        </w:tc>
        <w:tc>
          <w:tcPr>
            <w:tcW w:w="1860" w:type="dxa"/>
            <w:vAlign w:val="bottom"/>
          </w:tcPr>
          <w:p>
            <w:pPr>
              <w:spacing w:after="0"/>
              <w:rPr>
                <w:sz w:val="14"/>
                <w:szCs w:val="14"/>
                <w:color w:val="auto"/>
              </w:rPr>
            </w:pP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99.3</w:t>
            </w:r>
          </w:p>
        </w:tc>
        <w:tc>
          <w:tcPr>
            <w:tcW w:w="496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Supervision and Regulation of The Chase Manhattan</w:t>
            </w:r>
          </w:p>
        </w:tc>
      </w:tr>
      <w:tr>
        <w:trPr>
          <w:trHeight w:val="166"/>
        </w:trPr>
        <w:tc>
          <w:tcPr>
            <w:tcW w:w="1940" w:type="dxa"/>
            <w:vAlign w:val="bottom"/>
          </w:tcPr>
          <w:p>
            <w:pPr>
              <w:spacing w:after="0"/>
              <w:rPr>
                <w:sz w:val="14"/>
                <w:szCs w:val="14"/>
                <w:color w:val="auto"/>
              </w:rPr>
            </w:pPr>
          </w:p>
        </w:tc>
        <w:tc>
          <w:tcPr>
            <w:tcW w:w="3100" w:type="dxa"/>
            <w:vAlign w:val="bottom"/>
          </w:tcPr>
          <w:p>
            <w:pPr>
              <w:ind w:left="560"/>
              <w:spacing w:after="0"/>
              <w:rPr>
                <w:sz w:val="20"/>
                <w:szCs w:val="20"/>
                <w:color w:val="auto"/>
              </w:rPr>
            </w:pPr>
            <w:r>
              <w:rPr>
                <w:rFonts w:ascii="Courier New" w:cs="Courier New" w:eastAsia="Courier New" w:hAnsi="Courier New"/>
                <w:sz w:val="14"/>
                <w:szCs w:val="14"/>
                <w:color w:val="auto"/>
              </w:rPr>
              <w:t>Corporation</w:t>
            </w:r>
          </w:p>
        </w:tc>
        <w:tc>
          <w:tcPr>
            <w:tcW w:w="1860" w:type="dxa"/>
            <w:vAlign w:val="bottom"/>
          </w:tcPr>
          <w:p>
            <w:pPr>
              <w:spacing w:after="0"/>
              <w:rPr>
                <w:sz w:val="14"/>
                <w:szCs w:val="14"/>
                <w:color w:val="auto"/>
              </w:rPr>
            </w:pPr>
          </w:p>
        </w:tc>
      </w:tr>
    </w:tbl>
    <w:p>
      <w:pPr>
        <w:sectPr>
          <w:pgSz w:w="11900" w:h="16838" w:orient="portrait"/>
          <w:cols w:equalWidth="0" w:num="1">
            <w:col w:w="10239"/>
          </w:cols>
          <w:pgMar w:left="220" w:top="285"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99.1</w:t>
      </w:r>
    </w:p>
    <w:p>
      <w:pPr>
        <w:spacing w:after="0" w:line="173"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[CHASE LOGO]</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270 Park Avenue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NY 10017-2070</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NEWS RELEASE</w:t>
      </w:r>
    </w:p>
    <w:p>
      <w:pPr>
        <w:sectPr>
          <w:pgSz w:w="11900" w:h="16838" w:orient="portrait"/>
          <w:cols w:equalWidth="0" w:num="1">
            <w:col w:w="10239"/>
          </w:cols>
          <w:pgMar w:left="220" w:top="141"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 Contact: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Borden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212-270-7318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Immediate Release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Tuesday, April 16, 1996</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Press Contacts: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Kathleen Baum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212-270-5089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Stefans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212-270-7438</w:t>
      </w:r>
    </w:p>
    <w:p>
      <w:pPr>
        <w:spacing w:after="0" w:line="365" w:lineRule="exact"/>
        <w:rPr>
          <w:sz w:val="20"/>
          <w:szCs w:val="20"/>
          <w:color w:val="auto"/>
        </w:rPr>
      </w:pPr>
    </w:p>
    <w:p>
      <w:pPr>
        <w:sectPr>
          <w:pgSz w:w="11900" w:h="16838" w:orient="portrait"/>
          <w:cols w:equalWidth="0" w:num="4">
            <w:col w:w="1480" w:space="160"/>
            <w:col w:w="1980" w:space="700"/>
            <w:col w:w="1280" w:space="180"/>
            <w:col w:w="4459"/>
          </w:cols>
          <w:pgMar w:left="220" w:top="141" w:right="1440" w:bottom="1440" w:gutter="0" w:footer="0" w:header="0"/>
          <w:type w:val="continuous"/>
        </w:sectPr>
      </w:pPr>
    </w:p>
    <w:p>
      <w:pPr>
        <w:spacing w:after="0" w:line="30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CHASE NET INCOME UP 44 PERCENT TO $937 MILLION BEFORE MERGER-RELATED CHARGE</w:t>
      </w:r>
    </w:p>
    <w:p>
      <w:pPr>
        <w:spacing w:after="0" w:line="173" w:lineRule="exact"/>
        <w:rPr>
          <w:sz w:val="20"/>
          <w:szCs w:val="20"/>
          <w:color w:val="auto"/>
        </w:rPr>
      </w:pPr>
    </w:p>
    <w:p>
      <w:pPr>
        <w:ind w:right="3519" w:firstLine="344"/>
        <w:spacing w:after="0" w:line="251" w:lineRule="auto"/>
        <w:rPr>
          <w:sz w:val="20"/>
          <w:szCs w:val="20"/>
          <w:color w:val="auto"/>
        </w:rPr>
      </w:pPr>
      <w:r>
        <w:rPr>
          <w:rFonts w:ascii="Courier New" w:cs="Courier New" w:eastAsia="Courier New" w:hAnsi="Courier New"/>
          <w:sz w:val="14"/>
          <w:szCs w:val="14"/>
          <w:color w:val="auto"/>
        </w:rPr>
        <w:t>New York, April 16, 1996 -- The Chase Manhattan Corporation today reported first quarter 1996 net income of $937 million, before a previously-announced restructuring charge, a 44 percent increase from first quarter 1995 results of $650 million. Primary earnings per share in the first quarter of 1996 were $1.98, before the charge, compared with $1.37 in the same 1995 period. Fully diluted earnings per share in the first quarter of 1996 were $1.97, before the charge, compared with $1.36 in the first quarter of 1995.</w:t>
      </w:r>
    </w:p>
    <w:p>
      <w:pPr>
        <w:spacing w:after="0" w:line="164" w:lineRule="exact"/>
        <w:rPr>
          <w:sz w:val="20"/>
          <w:szCs w:val="20"/>
          <w:color w:val="auto"/>
        </w:rPr>
      </w:pPr>
    </w:p>
    <w:p>
      <w:pPr>
        <w:ind w:right="3599" w:firstLine="344"/>
        <w:spacing w:after="0" w:line="252" w:lineRule="auto"/>
        <w:rPr>
          <w:sz w:val="20"/>
          <w:szCs w:val="20"/>
          <w:color w:val="auto"/>
        </w:rPr>
      </w:pPr>
      <w:r>
        <w:rPr>
          <w:rFonts w:ascii="Courier New" w:cs="Courier New" w:eastAsia="Courier New" w:hAnsi="Courier New"/>
          <w:sz w:val="14"/>
          <w:szCs w:val="14"/>
          <w:color w:val="auto"/>
        </w:rPr>
        <w:t>Including the merger-related charge of $1.65 billion (approximately $1 billion after tax), the corporation reported a net loss of $89 million in the first quarter of 1996.</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"Strong revenue growth, coupled with continued success in managing expenses, got the new Chase off to an excellent start," said Walter V. Shipley, chairman and chief executive officer. "The solid, balanced performance of our global banking, regional banking and nationwide consumer franchises put the company firmly on track to achieve the performance targets we announced for 1996."</w:t>
      </w:r>
    </w:p>
    <w:p>
      <w:pPr>
        <w:spacing w:after="0" w:line="165" w:lineRule="exact"/>
        <w:rPr>
          <w:sz w:val="20"/>
          <w:szCs w:val="20"/>
          <w:color w:val="auto"/>
        </w:rPr>
      </w:pPr>
    </w:p>
    <w:p>
      <w:pPr>
        <w:ind w:right="3519" w:firstLine="344"/>
        <w:spacing w:after="0" w:line="252" w:lineRule="auto"/>
        <w:rPr>
          <w:sz w:val="20"/>
          <w:szCs w:val="20"/>
          <w:color w:val="auto"/>
        </w:rPr>
      </w:pPr>
      <w:r>
        <w:rPr>
          <w:rFonts w:ascii="Courier New" w:cs="Courier New" w:eastAsia="Courier New" w:hAnsi="Courier New"/>
          <w:sz w:val="14"/>
          <w:szCs w:val="14"/>
          <w:color w:val="auto"/>
        </w:rPr>
        <w:t>The corporation's return on average common stockholders' equity, excluding the restructuring charge, was 19.5 percent, compared with 14.6 percent in the prior year first quarter. The efficiency ratio stood at 60 percent, compared with 67 percent in the first quarter of 1995.</w:t>
      </w:r>
    </w:p>
    <w:p>
      <w:pPr>
        <w:spacing w:after="0" w:line="16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(More)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NOTE: On March 31, 1996, The Chase Manhattan Corporation merged with and into Chemical Banking Corporation. Upon consummation of the merger, Chemical changed its name to The Chase Manhattan Corporation. The merger was accounted for as a pooling-of-interests and, accordingly, the information included in this release reports the combined results of Chase and Chemical as though the merger has been in effect for all periods presented.</w:t>
      </w:r>
    </w:p>
    <w:p>
      <w:pPr>
        <w:sectPr>
          <w:pgSz w:w="11900" w:h="16838" w:orient="portrait"/>
          <w:cols w:equalWidth="0" w:num="1">
            <w:col w:w="10239"/>
          </w:cols>
          <w:pgMar w:left="220" w:top="141"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SPECIAL ITEMS</w:t>
      </w:r>
    </w:p>
    <w:p>
      <w:pPr>
        <w:spacing w:after="0" w:line="173"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As announced last month, the corporation recognized a number of special items in the first quarter of 1996, including a charge of $102 million against the corporation's allowance for credit losses, as a result of conforming charge-off policies with respect to credit card receivables; a loss of $60 million ($37 million after tax) on the sale of a building in Japan; a charge of $40 million ($25 million after tax) related to conforming pension liabilities; and aggregate tax benefits and refunds of $132 million.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w:t>
      </w:r>
    </w:p>
    <w:p>
      <w:pPr>
        <w:spacing w:after="0" w:line="173" w:lineRule="exact"/>
        <w:rPr>
          <w:sz w:val="20"/>
          <w:szCs w:val="20"/>
          <w:color w:val="auto"/>
        </w:rPr>
      </w:pPr>
    </w:p>
    <w:p>
      <w:pPr>
        <w:ind w:right="3339" w:firstLine="344"/>
        <w:spacing w:after="0" w:line="253" w:lineRule="auto"/>
        <w:rPr>
          <w:sz w:val="20"/>
          <w:szCs w:val="20"/>
          <w:color w:val="auto"/>
        </w:rPr>
      </w:pPr>
      <w:r>
        <w:rPr>
          <w:rFonts w:ascii="Courier New" w:cs="Courier New" w:eastAsia="Courier New" w:hAnsi="Courier New"/>
          <w:sz w:val="14"/>
          <w:szCs w:val="14"/>
          <w:color w:val="auto"/>
        </w:rPr>
        <w:t>Total reported revenue in the quarter rose 13 percent to $4,035 million, from $3,584 million in the first quarter of 1995. On an operating basis, excluding one-time items in the first quarters of 1996 and 1995, revenue rose 15 percent.</w:t>
      </w:r>
    </w:p>
    <w:p>
      <w:pPr>
        <w:spacing w:after="0" w:line="327"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Net interest income was $2,166 million, compared with $2,027 million in the first quarter of 1995. The increase reflected $54 million of interest on tax refunds recognized in the quarter and a higher level of interest-earning assets, offset by the effect of higher credit card securitizations. Average interest-earning assets were $254.7 billion, compared with $237.9 billion in the prior year quarter. The net yield on average interest-earning assets was 3.43 percent, compared with 3.48 percent.</w:t>
      </w:r>
    </w:p>
    <w:p>
      <w:pPr>
        <w:spacing w:after="0" w:line="164"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Noninterest revenue was $1,869 million, compared with $1,557 million. Corporate finance and syndication fees were $224 million, a $55 million increase from the first quarter of 1995, reflecting a higher level of investment banking activity, including loan syndications and new issues of high yield bonds. Trust and investment management fees in the first quarter of 1996 were $285 million, compared with $240 million in the prior-year quarter, due primarily to higher global services activity, reflecting, in part, the acquisition of the securities processing businesses of U.S. Trust in the third quarter of 1995. Fees related to credit cards were $233 million, up from $182 million, the result of an increase in both securitization volume and active accounts.</w:t>
      </w:r>
    </w:p>
    <w:p>
      <w:pPr>
        <w:spacing w:after="0" w:line="163"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Noninterest revenues from trading activities were $339 million, compared with $99 million in the first quarter of 1995, when trading results were adversely affected by major declines in the prices of emerging markets debt instruments. Total revenues from trading were $487 million, including net interest income of $148 million, as compared with total revenues from trading of $183 million, including $84 million of net interest income in the first quarter of 1995.</w:t>
      </w:r>
    </w:p>
    <w:p>
      <w:pPr>
        <w:spacing w:after="0" w:line="33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Other noninterest revenue included equity-related investments of $223 million, up from $181 million, benefiting from a broad-based portfolio of investments in an active acquisition market. Also included were the previously mentioned $60 million loss on the sale of a building in Japan, and a $35 million charge related to the sale of emerging markets securities. In the 1995 first quarter, other noninterest revenue included an $85 million gain from the sale of the corporation's interest in Far East Bank and Trust.</w:t>
      </w:r>
    </w:p>
    <w:p>
      <w:pPr>
        <w:spacing w:after="0" w:line="164"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(More)</w:t>
      </w:r>
    </w:p>
    <w:p>
      <w:pPr>
        <w:sectPr>
          <w:pgSz w:w="11900" w:h="16838" w:orient="portrait"/>
          <w:cols w:equalWidth="0" w:num="1">
            <w:col w:w="10239"/>
          </w:cols>
          <w:pgMar w:left="220" w:top="285"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EXPENSES</w:t>
      </w:r>
    </w:p>
    <w:p>
      <w:pPr>
        <w:spacing w:after="0" w:line="173" w:lineRule="exact"/>
        <w:rPr>
          <w:sz w:val="20"/>
          <w:szCs w:val="20"/>
          <w:color w:val="auto"/>
        </w:rPr>
      </w:pPr>
    </w:p>
    <w:p>
      <w:pPr>
        <w:ind w:right="3679" w:firstLine="344"/>
        <w:spacing w:after="0" w:line="252" w:lineRule="auto"/>
        <w:rPr>
          <w:sz w:val="20"/>
          <w:szCs w:val="20"/>
          <w:color w:val="auto"/>
        </w:rPr>
      </w:pPr>
      <w:r>
        <w:rPr>
          <w:rFonts w:ascii="Courier New" w:cs="Courier New" w:eastAsia="Courier New" w:hAnsi="Courier New"/>
          <w:sz w:val="14"/>
          <w:szCs w:val="14"/>
          <w:color w:val="auto"/>
        </w:rPr>
        <w:t>Excluding the previously mentioned $40 million charge associated with conforming pension liabilities, operating expenses were $2,406 million, up 2 percent from $2,360 million in 1995, driven primarily by costs related to stronger revenues, including higher incentive costs.</w:t>
      </w:r>
    </w:p>
    <w:p>
      <w:pPr>
        <w:spacing w:after="0" w:line="162"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provision for losses in the first quarter of 1996 was $245 million, compared with $185 million in the first quarter of 1995. Net charge-offs were $347 million, compared with $207 million. The 1996 amount reflects the one-time charge related to conforming credit card policies, as well as an increased charge-off ratio and higher outstandings.</w:t>
      </w:r>
    </w:p>
    <w:p>
      <w:pPr>
        <w:spacing w:after="0" w:line="165" w:lineRule="exact"/>
        <w:rPr>
          <w:sz w:val="20"/>
          <w:szCs w:val="20"/>
          <w:color w:val="auto"/>
        </w:rPr>
      </w:pPr>
    </w:p>
    <w:p>
      <w:pPr>
        <w:ind w:right="3419" w:firstLine="344"/>
        <w:spacing w:after="0" w:line="251" w:lineRule="auto"/>
        <w:rPr>
          <w:sz w:val="20"/>
          <w:szCs w:val="20"/>
          <w:color w:val="auto"/>
        </w:rPr>
      </w:pPr>
      <w:r>
        <w:rPr>
          <w:rFonts w:ascii="Courier New" w:cs="Courier New" w:eastAsia="Courier New" w:hAnsi="Courier New"/>
          <w:sz w:val="14"/>
          <w:szCs w:val="14"/>
          <w:color w:val="auto"/>
        </w:rPr>
        <w:t>The corporation recognized income tax benefits of $214 million in the first quarter of 1996, compared with income tax expense of $414 million in the first quarter of 1995. The 1996 amount includes tax benefits related to the restructuring charge, as well as aggregate tax benefits and refunds of $132 million. The corporation's operating tax rate was 38 percent in the current first quarter and 39 percent in 1995 first quarter.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FINANCIAL DATA</w:t>
      </w:r>
    </w:p>
    <w:p>
      <w:pPr>
        <w:spacing w:after="0" w:line="173" w:lineRule="exact"/>
        <w:rPr>
          <w:sz w:val="20"/>
          <w:szCs w:val="20"/>
          <w:color w:val="auto"/>
        </w:rPr>
      </w:pPr>
    </w:p>
    <w:p>
      <w:pPr>
        <w:ind w:right="3859" w:firstLine="344"/>
        <w:spacing w:after="0" w:line="255" w:lineRule="auto"/>
        <w:rPr>
          <w:sz w:val="20"/>
          <w:szCs w:val="20"/>
          <w:color w:val="auto"/>
        </w:rPr>
      </w:pPr>
      <w:r>
        <w:rPr>
          <w:rFonts w:ascii="Courier New" w:cs="Courier New" w:eastAsia="Courier New" w:hAnsi="Courier New"/>
          <w:sz w:val="14"/>
          <w:szCs w:val="14"/>
          <w:color w:val="auto"/>
        </w:rPr>
        <w:t>At March 31, 1996, the allowance for credit losses was $3,683 million, compared with $3,874 million on the same date a year ago.</w:t>
      </w:r>
    </w:p>
    <w:p>
      <w:pPr>
        <w:spacing w:after="0" w:line="160" w:lineRule="exact"/>
        <w:rPr>
          <w:sz w:val="20"/>
          <w:szCs w:val="20"/>
          <w:color w:val="auto"/>
        </w:rPr>
      </w:pPr>
    </w:p>
    <w:p>
      <w:pPr>
        <w:ind w:right="3339" w:firstLine="344"/>
        <w:spacing w:after="0" w:line="251" w:lineRule="auto"/>
        <w:rPr>
          <w:sz w:val="20"/>
          <w:szCs w:val="20"/>
          <w:color w:val="auto"/>
        </w:rPr>
      </w:pPr>
      <w:r>
        <w:rPr>
          <w:rFonts w:ascii="Courier New" w:cs="Courier New" w:eastAsia="Courier New" w:hAnsi="Courier New"/>
          <w:sz w:val="14"/>
          <w:szCs w:val="14"/>
          <w:color w:val="auto"/>
        </w:rPr>
        <w:t>Nonperforming assets at March 31, 1996, were $1,686 million, compared with $1,664 million on December 31, 1995, and $2,057 million on March 31, 1995. Nonperforming loans were $1,537 million, compared with $1,493 million on December 31, 1995, and $1,902 million on March 31, 1995. Assets acquired as loan satisfactions were $149 million on March 31, 1996, $171 million on December 31, 1995, and $155 million on March 31, 1995.</w:t>
      </w:r>
    </w:p>
    <w:p>
      <w:pPr>
        <w:spacing w:after="0" w:line="164" w:lineRule="exact"/>
        <w:rPr>
          <w:sz w:val="20"/>
          <w:szCs w:val="20"/>
          <w:color w:val="auto"/>
        </w:rPr>
      </w:pPr>
    </w:p>
    <w:p>
      <w:pPr>
        <w:ind w:right="3599" w:firstLine="344"/>
        <w:spacing w:after="0" w:line="251" w:lineRule="auto"/>
        <w:rPr>
          <w:sz w:val="20"/>
          <w:szCs w:val="20"/>
          <w:color w:val="auto"/>
        </w:rPr>
      </w:pPr>
      <w:r>
        <w:rPr>
          <w:rFonts w:ascii="Courier New" w:cs="Courier New" w:eastAsia="Courier New" w:hAnsi="Courier New"/>
          <w:sz w:val="14"/>
          <w:szCs w:val="14"/>
          <w:color w:val="auto"/>
        </w:rPr>
        <w:t>Total assets at March 31, 1996, were $302 billion, compared with $306 billion on the same date a year ago. Total loans at March 31, 1996, were $149 billion, compared with $145 billion at March 31, 1995. At end of the first quarter of 1996, total deposits stood at $169 billion; that figure was $164 billion on March 31, 1995.</w:t>
      </w:r>
    </w:p>
    <w:p>
      <w:pPr>
        <w:spacing w:after="0" w:line="165"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The return on average assets for the first quarter of 1996 was 1.20 percent, before the restructuring charge, compared with .87 percent for the first 1995 quarter.</w:t>
      </w:r>
    </w:p>
    <w:p>
      <w:pPr>
        <w:spacing w:after="0" w:line="163" w:lineRule="exact"/>
        <w:rPr>
          <w:sz w:val="20"/>
          <w:szCs w:val="20"/>
          <w:color w:val="auto"/>
        </w:rPr>
      </w:pPr>
    </w:p>
    <w:p>
      <w:pPr>
        <w:ind w:right="3339" w:firstLine="344"/>
        <w:spacing w:after="0" w:line="252" w:lineRule="auto"/>
        <w:rPr>
          <w:sz w:val="20"/>
          <w:szCs w:val="20"/>
          <w:color w:val="auto"/>
        </w:rPr>
      </w:pPr>
      <w:r>
        <w:rPr>
          <w:rFonts w:ascii="Courier New" w:cs="Courier New" w:eastAsia="Courier New" w:hAnsi="Courier New"/>
          <w:sz w:val="14"/>
          <w:szCs w:val="14"/>
          <w:color w:val="auto"/>
        </w:rPr>
        <w:t>At March 31, 1996, the estimated Tier I risk-based capital ratio was 7.7 percent, compared with 8.0 percent at March 31, 1995. The estimated Total risk-based capital ratio at March 31, 1996, was 11.7 percent, compared with 12.1 percent at March 31, 1995.</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 # #</w:t>
      </w:r>
    </w:p>
    <w:p>
      <w:pPr>
        <w:sectPr>
          <w:pgSz w:w="11900" w:h="16838" w:orient="portrait"/>
          <w:cols w:equalWidth="0" w:num="1">
            <w:col w:w="10239"/>
          </w:cols>
          <w:pgMar w:left="220" w:top="285"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CHASE MANHATTAN CORPORATION AND SUBSIDIARIES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millions, except per share and ratio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THREE MONTHS ENDED MARCH 31,</w:t>
            </w:r>
          </w:p>
        </w:tc>
      </w:tr>
      <w:tr>
        <w:trPr>
          <w:trHeight w:val="166"/>
        </w:trPr>
        <w:tc>
          <w:tcPr>
            <w:tcW w:w="5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8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820" w:type="dxa"/>
            <w:vAlign w:val="bottom"/>
          </w:tcPr>
          <w:p>
            <w:pPr>
              <w:spacing w:after="0"/>
              <w:rPr>
                <w:sz w:val="14"/>
                <w:szCs w:val="14"/>
                <w:color w:val="auto"/>
              </w:rPr>
            </w:pP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Income Before Restructuring Charge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937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650</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Restructuring Charge (after-tax)</w:t>
            </w:r>
          </w:p>
        </w:tc>
        <w:tc>
          <w:tcPr>
            <w:tcW w:w="8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8"/>
              </w:rPr>
              <w:t>(1,026)</w:t>
            </w:r>
          </w:p>
        </w:tc>
        <w:tc>
          <w:tcPr>
            <w:tcW w:w="82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1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Income (Loss) After Restructuring Charge and Before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520" w:type="dxa"/>
            <w:vAlign w:val="bottom"/>
          </w:tcPr>
          <w:p>
            <w:pPr>
              <w:ind w:left="180"/>
              <w:spacing w:after="0"/>
              <w:rPr>
                <w:sz w:val="20"/>
                <w:szCs w:val="20"/>
                <w:color w:val="auto"/>
              </w:rPr>
            </w:pPr>
            <w:r>
              <w:rPr>
                <w:rFonts w:ascii="Courier New" w:cs="Courier New" w:eastAsia="Courier New" w:hAnsi="Courier New"/>
                <w:sz w:val="14"/>
                <w:szCs w:val="14"/>
                <w:color w:val="auto"/>
              </w:rPr>
              <w:t>Effect of Accounting Change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650</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Effect of Change in Accounting Principle</w:t>
            </w:r>
          </w:p>
        </w:tc>
        <w:tc>
          <w:tcPr>
            <w:tcW w:w="8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(11)(a)</w:t>
            </w:r>
          </w:p>
        </w:tc>
      </w:tr>
      <w:tr>
        <w:trPr>
          <w:trHeight w:val="166"/>
        </w:trPr>
        <w:tc>
          <w:tcPr>
            <w:tcW w:w="5520" w:type="dxa"/>
            <w:vAlign w:val="bottom"/>
          </w:tcPr>
          <w:p>
            <w:pPr>
              <w:spacing w:after="0"/>
              <w:rPr>
                <w:sz w:val="14"/>
                <w:szCs w:val="14"/>
                <w:color w:val="auto"/>
              </w:rPr>
            </w:pPr>
          </w:p>
        </w:tc>
        <w:tc>
          <w:tcPr>
            <w:tcW w:w="1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639</w:t>
            </w:r>
          </w:p>
        </w:tc>
      </w:tr>
      <w:tr>
        <w:trPr>
          <w:trHeight w:val="166"/>
        </w:trPr>
        <w:tc>
          <w:tcPr>
            <w:tcW w:w="5520" w:type="dxa"/>
            <w:vAlign w:val="bottom"/>
          </w:tcPr>
          <w:p>
            <w:pPr>
              <w:spacing w:after="0"/>
              <w:rPr>
                <w:sz w:val="14"/>
                <w:szCs w:val="14"/>
                <w:color w:val="auto"/>
              </w:rPr>
            </w:pPr>
          </w:p>
        </w:tc>
        <w:tc>
          <w:tcPr>
            <w:tcW w:w="1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Net Income (Loss) Applicable to Common Stock</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578</w:t>
            </w:r>
          </w:p>
        </w:tc>
      </w:tr>
      <w:tr>
        <w:trPr>
          <w:trHeight w:val="166"/>
        </w:trPr>
        <w:tc>
          <w:tcPr>
            <w:tcW w:w="5520" w:type="dxa"/>
            <w:vAlign w:val="bottom"/>
          </w:tcPr>
          <w:p>
            <w:pPr>
              <w:spacing w:after="0"/>
              <w:rPr>
                <w:sz w:val="14"/>
                <w:szCs w:val="14"/>
                <w:color w:val="auto"/>
              </w:rPr>
            </w:pPr>
          </w:p>
        </w:tc>
        <w:tc>
          <w:tcPr>
            <w:tcW w:w="1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INCOME (LOSS) PER COMMON SHARE: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Primary:</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520" w:type="dxa"/>
            <w:vAlign w:val="bottom"/>
          </w:tcPr>
          <w:p>
            <w:pPr>
              <w:ind w:left="360"/>
              <w:spacing w:after="0"/>
              <w:rPr>
                <w:sz w:val="20"/>
                <w:szCs w:val="20"/>
                <w:color w:val="auto"/>
              </w:rPr>
            </w:pPr>
            <w:r>
              <w:rPr>
                <w:rFonts w:ascii="Courier New" w:cs="Courier New" w:eastAsia="Courier New" w:hAnsi="Courier New"/>
                <w:sz w:val="14"/>
                <w:szCs w:val="14"/>
                <w:color w:val="auto"/>
              </w:rPr>
              <w:t>Income Before Restructuring Charge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1.37</w:t>
            </w:r>
          </w:p>
        </w:tc>
      </w:tr>
      <w:tr>
        <w:trPr>
          <w:trHeight w:val="166"/>
        </w:trPr>
        <w:tc>
          <w:tcPr>
            <w:tcW w:w="5520" w:type="dxa"/>
            <w:vAlign w:val="bottom"/>
          </w:tcPr>
          <w:p>
            <w:pPr>
              <w:ind w:left="360"/>
              <w:spacing w:after="0"/>
              <w:rPr>
                <w:sz w:val="20"/>
                <w:szCs w:val="20"/>
                <w:color w:val="auto"/>
              </w:rPr>
            </w:pPr>
            <w:r>
              <w:rPr>
                <w:rFonts w:ascii="Courier New" w:cs="Courier New" w:eastAsia="Courier New" w:hAnsi="Courier New"/>
                <w:sz w:val="14"/>
                <w:szCs w:val="14"/>
                <w:color w:val="auto"/>
              </w:rPr>
              <w:t>Restructuring Charge</w:t>
            </w:r>
          </w:p>
        </w:tc>
        <w:tc>
          <w:tcPr>
            <w:tcW w:w="8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(2.30)</w:t>
            </w:r>
          </w:p>
        </w:tc>
        <w:tc>
          <w:tcPr>
            <w:tcW w:w="82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1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ind w:left="360"/>
              <w:spacing w:after="0"/>
              <w:rPr>
                <w:sz w:val="20"/>
                <w:szCs w:val="20"/>
                <w:color w:val="auto"/>
              </w:rPr>
            </w:pPr>
            <w:r>
              <w:rPr>
                <w:rFonts w:ascii="Courier New" w:cs="Courier New" w:eastAsia="Courier New" w:hAnsi="Courier New"/>
                <w:sz w:val="14"/>
                <w:szCs w:val="14"/>
                <w:color w:val="auto"/>
              </w:rPr>
              <w:t>Income (Loss) After Restructuring Charge and Before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Effect of Accounting Change</w:t>
            </w:r>
          </w:p>
        </w:tc>
        <w:tc>
          <w:tcPr>
            <w:tcW w:w="19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 (0.32)</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1.37</w:t>
            </w:r>
          </w:p>
        </w:tc>
      </w:tr>
      <w:tr>
        <w:trPr>
          <w:trHeight w:val="166"/>
        </w:trPr>
        <w:tc>
          <w:tcPr>
            <w:tcW w:w="5520" w:type="dxa"/>
            <w:vAlign w:val="bottom"/>
          </w:tcPr>
          <w:p>
            <w:pPr>
              <w:ind w:left="360"/>
              <w:spacing w:after="0"/>
              <w:rPr>
                <w:sz w:val="20"/>
                <w:szCs w:val="20"/>
                <w:color w:val="auto"/>
              </w:rPr>
            </w:pPr>
            <w:r>
              <w:rPr>
                <w:rFonts w:ascii="Courier New" w:cs="Courier New" w:eastAsia="Courier New" w:hAnsi="Courier New"/>
                <w:sz w:val="14"/>
                <w:szCs w:val="14"/>
                <w:color w:val="auto"/>
              </w:rPr>
              <w:t>Effect of Change in Accounting Principle</w:t>
            </w:r>
          </w:p>
        </w:tc>
        <w:tc>
          <w:tcPr>
            <w:tcW w:w="8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(0.03)(a)</w:t>
            </w:r>
          </w:p>
        </w:tc>
      </w:tr>
      <w:tr>
        <w:trPr>
          <w:trHeight w:val="166"/>
        </w:trPr>
        <w:tc>
          <w:tcPr>
            <w:tcW w:w="5520" w:type="dxa"/>
            <w:vAlign w:val="bottom"/>
          </w:tcPr>
          <w:p>
            <w:pPr>
              <w:spacing w:after="0"/>
              <w:rPr>
                <w:sz w:val="14"/>
                <w:szCs w:val="14"/>
                <w:color w:val="auto"/>
              </w:rPr>
            </w:pPr>
          </w:p>
        </w:tc>
        <w:tc>
          <w:tcPr>
            <w:tcW w:w="1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ind w:left="360"/>
              <w:spacing w:after="0"/>
              <w:rPr>
                <w:sz w:val="20"/>
                <w:szCs w:val="20"/>
                <w:color w:val="auto"/>
              </w:rPr>
            </w:pPr>
            <w:r>
              <w:rPr>
                <w:rFonts w:ascii="Courier New" w:cs="Courier New" w:eastAsia="Courier New" w:hAnsi="Courier New"/>
                <w:sz w:val="14"/>
                <w:szCs w:val="14"/>
                <w:color w:val="auto"/>
              </w:rPr>
              <w:t>Net Income (Loss)</w:t>
            </w:r>
          </w:p>
        </w:tc>
        <w:tc>
          <w:tcPr>
            <w:tcW w:w="19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 (0.32)</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1.34</w:t>
            </w:r>
          </w:p>
        </w:tc>
      </w:tr>
      <w:tr>
        <w:trPr>
          <w:trHeight w:val="166"/>
        </w:trPr>
        <w:tc>
          <w:tcPr>
            <w:tcW w:w="5520" w:type="dxa"/>
            <w:vAlign w:val="bottom"/>
          </w:tcPr>
          <w:p>
            <w:pPr>
              <w:spacing w:after="0"/>
              <w:rPr>
                <w:sz w:val="14"/>
                <w:szCs w:val="14"/>
                <w:color w:val="auto"/>
              </w:rPr>
            </w:pPr>
          </w:p>
        </w:tc>
        <w:tc>
          <w:tcPr>
            <w:tcW w:w="1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Assuming Full Dilution:</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520" w:type="dxa"/>
            <w:vAlign w:val="bottom"/>
          </w:tcPr>
          <w:p>
            <w:pPr>
              <w:ind w:left="360"/>
              <w:spacing w:after="0"/>
              <w:rPr>
                <w:sz w:val="20"/>
                <w:szCs w:val="20"/>
                <w:color w:val="auto"/>
              </w:rPr>
            </w:pPr>
            <w:r>
              <w:rPr>
                <w:rFonts w:ascii="Courier New" w:cs="Courier New" w:eastAsia="Courier New" w:hAnsi="Courier New"/>
                <w:sz w:val="14"/>
                <w:szCs w:val="14"/>
                <w:color w:val="auto"/>
              </w:rPr>
              <w:t>Income Before Restructuring Charge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1.97</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1.36</w:t>
            </w:r>
          </w:p>
        </w:tc>
      </w:tr>
      <w:tr>
        <w:trPr>
          <w:trHeight w:val="166"/>
        </w:trPr>
        <w:tc>
          <w:tcPr>
            <w:tcW w:w="5520" w:type="dxa"/>
            <w:vAlign w:val="bottom"/>
          </w:tcPr>
          <w:p>
            <w:pPr>
              <w:ind w:left="360"/>
              <w:spacing w:after="0"/>
              <w:rPr>
                <w:sz w:val="20"/>
                <w:szCs w:val="20"/>
                <w:color w:val="auto"/>
              </w:rPr>
            </w:pPr>
            <w:r>
              <w:rPr>
                <w:rFonts w:ascii="Courier New" w:cs="Courier New" w:eastAsia="Courier New" w:hAnsi="Courier New"/>
                <w:sz w:val="14"/>
                <w:szCs w:val="14"/>
                <w:color w:val="auto"/>
              </w:rPr>
              <w:t>Restructuring Charge</w:t>
            </w:r>
          </w:p>
        </w:tc>
        <w:tc>
          <w:tcPr>
            <w:tcW w:w="8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(2.29)</w:t>
            </w:r>
          </w:p>
        </w:tc>
        <w:tc>
          <w:tcPr>
            <w:tcW w:w="82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spacing w:after="0"/>
              <w:rPr>
                <w:sz w:val="14"/>
                <w:szCs w:val="14"/>
                <w:color w:val="auto"/>
              </w:rPr>
            </w:pPr>
          </w:p>
        </w:tc>
        <w:tc>
          <w:tcPr>
            <w:tcW w:w="1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ind w:left="360"/>
              <w:spacing w:after="0"/>
              <w:rPr>
                <w:sz w:val="20"/>
                <w:szCs w:val="20"/>
                <w:color w:val="auto"/>
              </w:rPr>
            </w:pPr>
            <w:r>
              <w:rPr>
                <w:rFonts w:ascii="Courier New" w:cs="Courier New" w:eastAsia="Courier New" w:hAnsi="Courier New"/>
                <w:sz w:val="14"/>
                <w:szCs w:val="14"/>
                <w:color w:val="auto"/>
              </w:rPr>
              <w:t>Income (Loss) After Restructuring Charge and Before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520" w:type="dxa"/>
            <w:vAlign w:val="bottom"/>
          </w:tcPr>
          <w:p>
            <w:pPr>
              <w:ind w:left="520"/>
              <w:spacing w:after="0"/>
              <w:rPr>
                <w:sz w:val="20"/>
                <w:szCs w:val="20"/>
                <w:color w:val="auto"/>
              </w:rPr>
            </w:pPr>
            <w:r>
              <w:rPr>
                <w:rFonts w:ascii="Courier New" w:cs="Courier New" w:eastAsia="Courier New" w:hAnsi="Courier New"/>
                <w:sz w:val="14"/>
                <w:szCs w:val="14"/>
                <w:color w:val="auto"/>
              </w:rPr>
              <w:t>Effect of Accounting Change</w:t>
            </w:r>
          </w:p>
        </w:tc>
        <w:tc>
          <w:tcPr>
            <w:tcW w:w="19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 (0.32)</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1.36</w:t>
            </w:r>
          </w:p>
        </w:tc>
      </w:tr>
      <w:tr>
        <w:trPr>
          <w:trHeight w:val="166"/>
        </w:trPr>
        <w:tc>
          <w:tcPr>
            <w:tcW w:w="5520" w:type="dxa"/>
            <w:vAlign w:val="bottom"/>
          </w:tcPr>
          <w:p>
            <w:pPr>
              <w:ind w:left="360"/>
              <w:spacing w:after="0"/>
              <w:rPr>
                <w:sz w:val="20"/>
                <w:szCs w:val="20"/>
                <w:color w:val="auto"/>
              </w:rPr>
            </w:pPr>
            <w:r>
              <w:rPr>
                <w:rFonts w:ascii="Courier New" w:cs="Courier New" w:eastAsia="Courier New" w:hAnsi="Courier New"/>
                <w:sz w:val="14"/>
                <w:szCs w:val="14"/>
                <w:color w:val="auto"/>
              </w:rPr>
              <w:t>Effect of Change in Accounting Principle</w:t>
            </w:r>
          </w:p>
        </w:tc>
        <w:tc>
          <w:tcPr>
            <w:tcW w:w="8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(0.03)(a)</w:t>
            </w:r>
          </w:p>
        </w:tc>
      </w:tr>
      <w:tr>
        <w:trPr>
          <w:trHeight w:val="166"/>
        </w:trPr>
        <w:tc>
          <w:tcPr>
            <w:tcW w:w="5520" w:type="dxa"/>
            <w:vAlign w:val="bottom"/>
          </w:tcPr>
          <w:p>
            <w:pPr>
              <w:spacing w:after="0"/>
              <w:rPr>
                <w:sz w:val="14"/>
                <w:szCs w:val="14"/>
                <w:color w:val="auto"/>
              </w:rPr>
            </w:pPr>
          </w:p>
        </w:tc>
        <w:tc>
          <w:tcPr>
            <w:tcW w:w="1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5520" w:type="dxa"/>
            <w:vAlign w:val="bottom"/>
          </w:tcPr>
          <w:p>
            <w:pPr>
              <w:ind w:left="360"/>
              <w:spacing w:after="0"/>
              <w:rPr>
                <w:sz w:val="20"/>
                <w:szCs w:val="20"/>
                <w:color w:val="auto"/>
              </w:rPr>
            </w:pPr>
            <w:r>
              <w:rPr>
                <w:rFonts w:ascii="Courier New" w:cs="Courier New" w:eastAsia="Courier New" w:hAnsi="Courier New"/>
                <w:sz w:val="14"/>
                <w:szCs w:val="14"/>
                <w:color w:val="auto"/>
              </w:rPr>
              <w:t>Net Income (Loss)</w:t>
            </w:r>
          </w:p>
        </w:tc>
        <w:tc>
          <w:tcPr>
            <w:tcW w:w="19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 (0.32)</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1.33</w:t>
            </w:r>
          </w:p>
        </w:tc>
      </w:tr>
      <w:tr>
        <w:trPr>
          <w:trHeight w:val="166"/>
        </w:trPr>
        <w:tc>
          <w:tcPr>
            <w:tcW w:w="5520" w:type="dxa"/>
            <w:vAlign w:val="bottom"/>
          </w:tcPr>
          <w:p>
            <w:pPr>
              <w:spacing w:after="0"/>
              <w:rPr>
                <w:sz w:val="14"/>
                <w:szCs w:val="14"/>
                <w:color w:val="auto"/>
              </w:rPr>
            </w:pPr>
          </w:p>
        </w:tc>
        <w:tc>
          <w:tcPr>
            <w:tcW w:w="1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Book Value at March 31,</w:t>
            </w:r>
          </w:p>
        </w:tc>
        <w:tc>
          <w:tcPr>
            <w:tcW w:w="1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$ 39.41</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38.22</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Market Value at March 31,</w:t>
            </w:r>
          </w:p>
        </w:tc>
        <w:tc>
          <w:tcPr>
            <w:tcW w:w="190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$ 70.50</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37.75</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Common Stock Dividends Declared  (b)</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0.56</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0.44</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COMMON SHARES OUTSTANDING:</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Average Common and Common Equivalent Shares</w:t>
            </w:r>
          </w:p>
        </w:tc>
        <w:tc>
          <w:tcPr>
            <w:tcW w:w="8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446.1</w:t>
            </w:r>
          </w:p>
        </w:tc>
        <w:tc>
          <w:tcPr>
            <w:tcW w:w="82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430.5</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Average Common Shares Assuming Full Dilution</w:t>
            </w:r>
          </w:p>
        </w:tc>
        <w:tc>
          <w:tcPr>
            <w:tcW w:w="8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449.1</w:t>
            </w:r>
          </w:p>
        </w:tc>
        <w:tc>
          <w:tcPr>
            <w:tcW w:w="82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439.5</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Common Shares at Period End</w:t>
            </w:r>
          </w:p>
        </w:tc>
        <w:tc>
          <w:tcPr>
            <w:tcW w:w="8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434.3</w:t>
            </w:r>
          </w:p>
        </w:tc>
        <w:tc>
          <w:tcPr>
            <w:tcW w:w="820" w:type="dxa"/>
            <w:vAlign w:val="bottom"/>
          </w:tcPr>
          <w:p>
            <w:pPr>
              <w:spacing w:after="0"/>
              <w:rPr>
                <w:sz w:val="14"/>
                <w:szCs w:val="14"/>
                <w:color w:val="auto"/>
              </w:rPr>
            </w:pPr>
          </w:p>
        </w:tc>
        <w:tc>
          <w:tcPr>
            <w:tcW w:w="8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425.4</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PERFORMANCE RATIOS: (AVERAGE BALANCES) (c)</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Income Before Restructuring Charge:</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520" w:type="dxa"/>
            <w:vAlign w:val="bottom"/>
          </w:tcPr>
          <w:p>
            <w:pPr>
              <w:ind w:left="360"/>
              <w:spacing w:after="0"/>
              <w:rPr>
                <w:sz w:val="20"/>
                <w:szCs w:val="20"/>
                <w:color w:val="auto"/>
              </w:rPr>
            </w:pPr>
            <w:r>
              <w:rPr>
                <w:rFonts w:ascii="Courier New" w:cs="Courier New" w:eastAsia="Courier New" w:hAnsi="Courier New"/>
                <w:sz w:val="14"/>
                <w:szCs w:val="14"/>
                <w:color w:val="auto"/>
              </w:rPr>
              <w:t>Return on Assets</w:t>
            </w:r>
          </w:p>
        </w:tc>
        <w:tc>
          <w:tcPr>
            <w:tcW w:w="8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w:t>
            </w:r>
          </w:p>
        </w:tc>
        <w:tc>
          <w:tcPr>
            <w:tcW w:w="8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0.87%</w:t>
            </w:r>
          </w:p>
        </w:tc>
      </w:tr>
      <w:tr>
        <w:trPr>
          <w:trHeight w:val="166"/>
        </w:trPr>
        <w:tc>
          <w:tcPr>
            <w:tcW w:w="5520" w:type="dxa"/>
            <w:vAlign w:val="bottom"/>
          </w:tcPr>
          <w:p>
            <w:pPr>
              <w:ind w:left="360"/>
              <w:spacing w:after="0"/>
              <w:rPr>
                <w:sz w:val="20"/>
                <w:szCs w:val="20"/>
                <w:color w:val="auto"/>
              </w:rPr>
            </w:pPr>
            <w:r>
              <w:rPr>
                <w:rFonts w:ascii="Courier New" w:cs="Courier New" w:eastAsia="Courier New" w:hAnsi="Courier New"/>
                <w:sz w:val="14"/>
                <w:szCs w:val="14"/>
                <w:color w:val="auto"/>
              </w:rPr>
              <w:t>Return on Common Stockholders' Equity</w:t>
            </w:r>
          </w:p>
        </w:tc>
        <w:tc>
          <w:tcPr>
            <w:tcW w:w="8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19.53%</w:t>
            </w:r>
          </w:p>
        </w:tc>
        <w:tc>
          <w:tcPr>
            <w:tcW w:w="8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14.64%</w:t>
            </w:r>
          </w:p>
        </w:tc>
      </w:tr>
      <w:tr>
        <w:trPr>
          <w:trHeight w:val="166"/>
        </w:trPr>
        <w:tc>
          <w:tcPr>
            <w:tcW w:w="5520" w:type="dxa"/>
            <w:vAlign w:val="bottom"/>
          </w:tcPr>
          <w:p>
            <w:pPr>
              <w:ind w:left="360"/>
              <w:spacing w:after="0"/>
              <w:rPr>
                <w:sz w:val="20"/>
                <w:szCs w:val="20"/>
                <w:color w:val="auto"/>
              </w:rPr>
            </w:pPr>
            <w:r>
              <w:rPr>
                <w:rFonts w:ascii="Courier New" w:cs="Courier New" w:eastAsia="Courier New" w:hAnsi="Courier New"/>
                <w:sz w:val="14"/>
                <w:szCs w:val="14"/>
                <w:color w:val="auto"/>
              </w:rPr>
              <w:t>Return on Total Stockholders' Equity</w:t>
            </w:r>
          </w:p>
        </w:tc>
        <w:tc>
          <w:tcPr>
            <w:tcW w:w="86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18.09%</w:t>
            </w:r>
          </w:p>
        </w:tc>
        <w:tc>
          <w:tcPr>
            <w:tcW w:w="8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13.74%</w:t>
            </w:r>
          </w:p>
        </w:tc>
      </w:tr>
      <w:tr>
        <w:trPr>
          <w:trHeight w:val="166"/>
        </w:trPr>
        <w:tc>
          <w:tcPr>
            <w:tcW w:w="55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520" w:type="dxa"/>
            <w:vAlign w:val="bottom"/>
          </w:tcPr>
          <w:p>
            <w:pPr>
              <w:ind w:left="360"/>
              <w:spacing w:after="0"/>
              <w:rPr>
                <w:sz w:val="20"/>
                <w:szCs w:val="20"/>
                <w:color w:val="auto"/>
              </w:rPr>
            </w:pPr>
            <w:r>
              <w:rPr>
                <w:rFonts w:ascii="Courier New" w:cs="Courier New" w:eastAsia="Courier New" w:hAnsi="Courier New"/>
                <w:sz w:val="14"/>
                <w:szCs w:val="14"/>
                <w:color w:val="auto"/>
              </w:rPr>
              <w:t>Return on Assets</w:t>
            </w:r>
          </w:p>
        </w:tc>
        <w:tc>
          <w:tcPr>
            <w:tcW w:w="8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N/M</w:t>
            </w:r>
          </w:p>
        </w:tc>
        <w:tc>
          <w:tcPr>
            <w:tcW w:w="8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0.87%</w:t>
            </w:r>
          </w:p>
        </w:tc>
      </w:tr>
      <w:tr>
        <w:trPr>
          <w:trHeight w:val="166"/>
        </w:trPr>
        <w:tc>
          <w:tcPr>
            <w:tcW w:w="5520" w:type="dxa"/>
            <w:vAlign w:val="bottom"/>
          </w:tcPr>
          <w:p>
            <w:pPr>
              <w:ind w:left="360"/>
              <w:spacing w:after="0"/>
              <w:rPr>
                <w:sz w:val="20"/>
                <w:szCs w:val="20"/>
                <w:color w:val="auto"/>
              </w:rPr>
            </w:pPr>
            <w:r>
              <w:rPr>
                <w:rFonts w:ascii="Courier New" w:cs="Courier New" w:eastAsia="Courier New" w:hAnsi="Courier New"/>
                <w:sz w:val="14"/>
                <w:szCs w:val="14"/>
                <w:color w:val="auto"/>
              </w:rPr>
              <w:t>Return on Common Stockholders' Equity</w:t>
            </w:r>
          </w:p>
        </w:tc>
        <w:tc>
          <w:tcPr>
            <w:tcW w:w="8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N/M</w:t>
            </w:r>
          </w:p>
        </w:tc>
        <w:tc>
          <w:tcPr>
            <w:tcW w:w="8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14.64%</w:t>
            </w:r>
          </w:p>
        </w:tc>
      </w:tr>
      <w:tr>
        <w:trPr>
          <w:trHeight w:val="166"/>
        </w:trPr>
        <w:tc>
          <w:tcPr>
            <w:tcW w:w="5520" w:type="dxa"/>
            <w:vAlign w:val="bottom"/>
          </w:tcPr>
          <w:p>
            <w:pPr>
              <w:ind w:left="360"/>
              <w:spacing w:after="0"/>
              <w:rPr>
                <w:sz w:val="20"/>
                <w:szCs w:val="20"/>
                <w:color w:val="auto"/>
              </w:rPr>
            </w:pPr>
            <w:r>
              <w:rPr>
                <w:rFonts w:ascii="Courier New" w:cs="Courier New" w:eastAsia="Courier New" w:hAnsi="Courier New"/>
                <w:sz w:val="14"/>
                <w:szCs w:val="14"/>
                <w:color w:val="auto"/>
              </w:rPr>
              <w:t>Return on Total Stockholders' Equity</w:t>
            </w:r>
          </w:p>
        </w:tc>
        <w:tc>
          <w:tcPr>
            <w:tcW w:w="86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N/M</w:t>
            </w:r>
          </w:p>
        </w:tc>
        <w:tc>
          <w:tcPr>
            <w:tcW w:w="82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13.74%</w:t>
            </w:r>
          </w:p>
        </w:tc>
      </w:tr>
    </w:tbl>
    <w:p>
      <w:pPr>
        <w:spacing w:after="0" w:line="335" w:lineRule="exact"/>
        <w:rPr>
          <w:sz w:val="20"/>
          <w:szCs w:val="20"/>
          <w:color w:val="auto"/>
        </w:rPr>
      </w:pPr>
    </w:p>
    <w:p>
      <w:pPr>
        <w:ind w:right="3419" w:firstLine="8"/>
        <w:spacing w:after="0" w:line="250"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1, 1995, the Corporation adopted SFAS 106 for the accounting for other postretirement benefits relating to its foreign plans.</w:t>
      </w:r>
    </w:p>
    <w:p>
      <w:pPr>
        <w:ind w:right="3339" w:firstLine="8"/>
        <w:spacing w:after="0" w:line="250" w:lineRule="auto"/>
        <w:tabs>
          <w:tab w:leader="none" w:pos="344"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increased its quarterly common stock dividend from $0.50 per share to $0.56 per share in the first quarter of 1996.</w:t>
      </w:r>
    </w:p>
    <w:p>
      <w:pPr>
        <w:ind w:left="360" w:hanging="352"/>
        <w:spacing w:after="0"/>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ratios are based on annualized net income amounts.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N/M - As a result of the loss, these ratios are not meaningful.</w:t>
      </w:r>
    </w:p>
    <w:p>
      <w:pPr>
        <w:sectPr>
          <w:pgSz w:w="11900" w:h="16838" w:orient="portrait"/>
          <w:cols w:equalWidth="0" w:num="1">
            <w:col w:w="10239"/>
          </w:cols>
          <w:pgMar w:left="220" w:top="285"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CHASE MANHATTAN CORPORATION and Subsidiaries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CONSOLIDATED STATEMENT OF INCOME</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millions, except per 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2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Three Months Ended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260" w:type="dxa"/>
            <w:vAlign w:val="bottom"/>
          </w:tcPr>
          <w:p>
            <w:pPr>
              <w:spacing w:after="0"/>
              <w:rPr>
                <w:sz w:val="14"/>
                <w:szCs w:val="14"/>
                <w:color w:val="auto"/>
              </w:rPr>
            </w:pPr>
          </w:p>
        </w:tc>
        <w:tc>
          <w:tcPr>
            <w:tcW w:w="3920" w:type="dxa"/>
            <w:vAlign w:val="bottom"/>
            <w:gridSpan w:val="5"/>
          </w:tcPr>
          <w:p>
            <w:pPr>
              <w:jc w:val="center"/>
              <w:ind w:left="38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spacing w:after="0"/>
              <w:rPr>
                <w:sz w:val="14"/>
                <w:szCs w:val="14"/>
                <w:color w:val="auto"/>
              </w:rPr>
            </w:pPr>
          </w:p>
        </w:tc>
        <w:tc>
          <w:tcPr>
            <w:tcW w:w="1580" w:type="dxa"/>
            <w:vAlign w:val="bottom"/>
          </w:tcPr>
          <w:p>
            <w:pPr>
              <w:ind w:left="460"/>
              <w:spacing w:after="0"/>
              <w:rPr>
                <w:sz w:val="20"/>
                <w:szCs w:val="20"/>
                <w:color w:val="auto"/>
              </w:rPr>
            </w:pPr>
            <w:r>
              <w:rPr>
                <w:rFonts w:ascii="Courier New" w:cs="Courier New" w:eastAsia="Courier New" w:hAnsi="Courier New"/>
                <w:sz w:val="14"/>
                <w:szCs w:val="14"/>
                <w:color w:val="auto"/>
              </w:rPr>
              <w:t>March 31,</w:t>
            </w:r>
          </w:p>
        </w:tc>
        <w:tc>
          <w:tcPr>
            <w:tcW w:w="134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Dec. 31,</w:t>
            </w: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March 31,</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440" w:type="dxa"/>
            <w:vAlign w:val="bottom"/>
          </w:tcPr>
          <w:p>
            <w:pPr>
              <w:spacing w:after="0"/>
              <w:rPr>
                <w:sz w:val="14"/>
                <w:szCs w:val="14"/>
                <w:color w:val="auto"/>
              </w:rPr>
            </w:pPr>
          </w:p>
        </w:tc>
        <w:tc>
          <w:tcPr>
            <w:tcW w:w="90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1995</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6260" w:type="dxa"/>
            <w:vAlign w:val="bottom"/>
          </w:tcPr>
          <w:p>
            <w:pPr>
              <w:spacing w:after="0"/>
              <w:rPr>
                <w:sz w:val="14"/>
                <w:szCs w:val="14"/>
                <w:color w:val="auto"/>
              </w:rPr>
            </w:pPr>
          </w:p>
        </w:tc>
        <w:tc>
          <w:tcPr>
            <w:tcW w:w="1580" w:type="dxa"/>
            <w:vAlign w:val="bottom"/>
          </w:tcPr>
          <w:p>
            <w:pPr>
              <w:ind w:left="460"/>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$3,241</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$3,252</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$3,069</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720</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718</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618</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Trading Assets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429</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402</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359</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Federal Funds Sold and Securities Purchased Under Resale Agreements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501</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491</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468</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Deposits with Banks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172</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187</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225</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360"/>
              <w:spacing w:after="0"/>
              <w:rPr>
                <w:sz w:val="20"/>
                <w:szCs w:val="20"/>
                <w:color w:val="auto"/>
              </w:rPr>
            </w:pPr>
            <w:r>
              <w:rPr>
                <w:rFonts w:ascii="Courier New" w:cs="Courier New" w:eastAsia="Courier New" w:hAnsi="Courier New"/>
                <w:sz w:val="14"/>
                <w:szCs w:val="14"/>
                <w:color w:val="auto"/>
              </w:rPr>
              <w:t>Total Interest Income</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5,063</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5,050</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4,739</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1,644</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1,602</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1,500</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Short-Term and Other Borrowings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1,026</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1,139</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978</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227</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231</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234</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360"/>
              <w:spacing w:after="0"/>
              <w:rPr>
                <w:sz w:val="20"/>
                <w:szCs w:val="20"/>
                <w:color w:val="auto"/>
              </w:rPr>
            </w:pPr>
            <w:r>
              <w:rPr>
                <w:rFonts w:ascii="Courier New" w:cs="Courier New" w:eastAsia="Courier New" w:hAnsi="Courier New"/>
                <w:sz w:val="14"/>
                <w:szCs w:val="14"/>
                <w:color w:val="auto"/>
              </w:rPr>
              <w:t>Total Interest Expense</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2,897</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2,972</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2,712</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2,166</w:t>
            </w:r>
          </w:p>
        </w:tc>
        <w:tc>
          <w:tcPr>
            <w:tcW w:w="440" w:type="dxa"/>
            <w:vAlign w:val="bottom"/>
          </w:tcPr>
          <w:p>
            <w:pPr>
              <w:spacing w:after="0"/>
              <w:rPr>
                <w:sz w:val="24"/>
                <w:szCs w:val="2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2,078</w:t>
            </w:r>
          </w:p>
        </w:tc>
        <w:tc>
          <w:tcPr>
            <w:tcW w:w="220" w:type="dxa"/>
            <w:vAlign w:val="bottom"/>
          </w:tcPr>
          <w:p>
            <w:pPr>
              <w:spacing w:after="0"/>
              <w:rPr>
                <w:sz w:val="24"/>
                <w:szCs w:val="2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2,027</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Provision for Losses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245</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186</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185</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NET INTEREST INCOME AFTER PROVISION FOR LOSSES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1,921</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1,892</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1,842</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NONINTEREST REVENUE</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Corporate Finance and Syndication Fees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224</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220</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169</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Trust and Investment Management Fees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285</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277</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240</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Credit Card Revenue</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233</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246</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182</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Service Charges on Deposit Accounts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101</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104</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Fees for Other Financial Services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378</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363</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367</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Trading Revenue</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339</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274</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99</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Securities Gains (Losses)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Other Revenue</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259</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259</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414</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360"/>
              <w:spacing w:after="0"/>
              <w:rPr>
                <w:sz w:val="20"/>
                <w:szCs w:val="20"/>
                <w:color w:val="auto"/>
              </w:rPr>
            </w:pPr>
            <w:r>
              <w:rPr>
                <w:rFonts w:ascii="Courier New" w:cs="Courier New" w:eastAsia="Courier New" w:hAnsi="Courier New"/>
                <w:sz w:val="14"/>
                <w:szCs w:val="14"/>
                <w:color w:val="auto"/>
              </w:rPr>
              <w:t>Total Noninterest Revenue</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1,869</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1,765</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1,557</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Salaries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1,076</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1,130</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997</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Employee Benefits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305</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206</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234</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Occupancy Expense</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221</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224</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228</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Equipment Expense</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184</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187</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198</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Foreclosed Property Expense</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w:t>
            </w:r>
          </w:p>
        </w:tc>
        <w:tc>
          <w:tcPr>
            <w:tcW w:w="440" w:type="dxa"/>
            <w:vAlign w:val="bottom"/>
          </w:tcPr>
          <w:p>
            <w:pPr>
              <w:spacing w:after="0"/>
              <w:rPr>
                <w:sz w:val="14"/>
                <w:szCs w:val="14"/>
                <w:color w:val="auto"/>
              </w:rPr>
            </w:pP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Other Expense</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660</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632</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703</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360"/>
              <w:spacing w:after="0"/>
              <w:rPr>
                <w:sz w:val="20"/>
                <w:szCs w:val="20"/>
                <w:color w:val="auto"/>
              </w:rPr>
            </w:pPr>
            <w:r>
              <w:rPr>
                <w:rFonts w:ascii="Courier New" w:cs="Courier New" w:eastAsia="Courier New" w:hAnsi="Courier New"/>
                <w:sz w:val="14"/>
                <w:szCs w:val="14"/>
                <w:color w:val="auto"/>
              </w:rPr>
              <w:t>Total Noninterest Expense Before Restructuring Charge</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2,437</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2,364</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2,335</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Restructuring Charge and Expenses</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1,656</w:t>
            </w:r>
          </w:p>
        </w:tc>
        <w:tc>
          <w:tcPr>
            <w:tcW w:w="440" w:type="dxa"/>
            <w:vAlign w:val="bottom"/>
          </w:tcPr>
          <w:p>
            <w:pPr>
              <w:spacing w:after="0"/>
              <w:rPr>
                <w:sz w:val="14"/>
                <w:szCs w:val="14"/>
                <w:color w:val="auto"/>
              </w:rPr>
            </w:pPr>
          </w:p>
        </w:tc>
        <w:tc>
          <w:tcPr>
            <w:tcW w:w="900" w:type="dxa"/>
            <w:vAlign w:val="bottom"/>
          </w:tcPr>
          <w:p>
            <w:pPr>
              <w:jc w:val="center"/>
              <w:ind w:right="48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360"/>
              <w:spacing w:after="0"/>
              <w:rPr>
                <w:sz w:val="20"/>
                <w:szCs w:val="20"/>
                <w:color w:val="auto"/>
              </w:rPr>
            </w:pPr>
            <w:r>
              <w:rPr>
                <w:rFonts w:ascii="Courier New" w:cs="Courier New" w:eastAsia="Courier New" w:hAnsi="Courier New"/>
                <w:sz w:val="14"/>
                <w:szCs w:val="14"/>
                <w:color w:val="auto"/>
              </w:rPr>
              <w:t>Total Noninterest Expense</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4,093</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2,364</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2,335</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1"/>
        </w:trPr>
        <w:tc>
          <w:tcPr>
            <w:tcW w:w="626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 EXPENSE (BENEFIT)</w:t>
            </w:r>
          </w:p>
        </w:tc>
        <w:tc>
          <w:tcPr>
            <w:tcW w:w="1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6260" w:type="dxa"/>
            <w:vAlign w:val="bottom"/>
          </w:tcPr>
          <w:p>
            <w:pPr>
              <w:ind w:left="180"/>
              <w:spacing w:after="0"/>
              <w:rPr>
                <w:sz w:val="20"/>
                <w:szCs w:val="20"/>
                <w:color w:val="auto"/>
              </w:rPr>
            </w:pPr>
            <w:r>
              <w:rPr>
                <w:rFonts w:ascii="Courier New" w:cs="Courier New" w:eastAsia="Courier New" w:hAnsi="Courier New"/>
                <w:sz w:val="14"/>
                <w:szCs w:val="14"/>
                <w:color w:val="auto"/>
              </w:rPr>
              <w:t>AND EFFECT OF ACCOUNTING CHANGE</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(303)</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1,293</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5"/>
              </w:rPr>
              <w:t>1,064</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Income Tax Expense (Benefit)</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(214)</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466</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414</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INCOME (LOSS) BEFORE EFFECT OF ACCOUNTING CHANGE</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827</w:t>
            </w:r>
          </w:p>
        </w:tc>
        <w:tc>
          <w:tcPr>
            <w:tcW w:w="220" w:type="dxa"/>
            <w:vAlign w:val="bottom"/>
          </w:tcPr>
          <w:p>
            <w:pPr>
              <w:spacing w:after="0"/>
              <w:rPr>
                <w:sz w:val="14"/>
                <w:szCs w:val="14"/>
                <w:color w:val="auto"/>
              </w:rPr>
            </w:pP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650</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Effect of Change in Accounting Principle</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(89)</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639</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NET INCOME (LOSS) APPLICABLE TO COMMON STOCK</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(143)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773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578</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INCOME (LOSS) PER COMMON SHARE:</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Primary:</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260" w:type="dxa"/>
            <w:vAlign w:val="bottom"/>
          </w:tcPr>
          <w:p>
            <w:pPr>
              <w:ind w:left="360"/>
              <w:spacing w:after="0"/>
              <w:rPr>
                <w:sz w:val="20"/>
                <w:szCs w:val="20"/>
                <w:color w:val="auto"/>
              </w:rPr>
            </w:pPr>
            <w:r>
              <w:rPr>
                <w:rFonts w:ascii="Courier New" w:cs="Courier New" w:eastAsia="Courier New" w:hAnsi="Courier New"/>
                <w:sz w:val="14"/>
                <w:szCs w:val="14"/>
                <w:color w:val="auto"/>
              </w:rPr>
              <w:t>Income (Loss) Before Effect of Accounting Change</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$(0.32)</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$ 1.73</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$ 1.37</w:t>
            </w:r>
          </w:p>
        </w:tc>
      </w:tr>
      <w:tr>
        <w:trPr>
          <w:trHeight w:val="166"/>
        </w:trPr>
        <w:tc>
          <w:tcPr>
            <w:tcW w:w="6260" w:type="dxa"/>
            <w:vAlign w:val="bottom"/>
          </w:tcPr>
          <w:p>
            <w:pPr>
              <w:ind w:left="360"/>
              <w:spacing w:after="0"/>
              <w:rPr>
                <w:sz w:val="20"/>
                <w:szCs w:val="20"/>
                <w:color w:val="auto"/>
              </w:rPr>
            </w:pPr>
            <w:r>
              <w:rPr>
                <w:rFonts w:ascii="Courier New" w:cs="Courier New" w:eastAsia="Courier New" w:hAnsi="Courier New"/>
                <w:sz w:val="14"/>
                <w:szCs w:val="14"/>
                <w:color w:val="auto"/>
              </w:rPr>
              <w:t>Effect of Change in Accounting Principle</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(0.03)</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360"/>
              <w:spacing w:after="0"/>
              <w:rPr>
                <w:sz w:val="20"/>
                <w:szCs w:val="20"/>
                <w:color w:val="auto"/>
              </w:rPr>
            </w:pPr>
            <w:r>
              <w:rPr>
                <w:rFonts w:ascii="Courier New" w:cs="Courier New" w:eastAsia="Courier New" w:hAnsi="Courier New"/>
                <w:sz w:val="14"/>
                <w:szCs w:val="14"/>
                <w:color w:val="auto"/>
              </w:rPr>
              <w:t>Net Income (Loss)</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$(0.32)</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$ 1.73</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$ 1.34</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Assuming Full Dilution:</w:t>
            </w:r>
          </w:p>
        </w:tc>
        <w:tc>
          <w:tcPr>
            <w:tcW w:w="1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6260" w:type="dxa"/>
            <w:vAlign w:val="bottom"/>
          </w:tcPr>
          <w:p>
            <w:pPr>
              <w:ind w:left="360"/>
              <w:spacing w:after="0"/>
              <w:rPr>
                <w:sz w:val="20"/>
                <w:szCs w:val="20"/>
                <w:color w:val="auto"/>
              </w:rPr>
            </w:pPr>
            <w:r>
              <w:rPr>
                <w:rFonts w:ascii="Courier New" w:cs="Courier New" w:eastAsia="Courier New" w:hAnsi="Courier New"/>
                <w:sz w:val="14"/>
                <w:szCs w:val="14"/>
                <w:color w:val="auto"/>
              </w:rPr>
              <w:t>Income (Loss) Before Effect of Accounting Change</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$(0.32)</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$ 1.73</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$ 1.36</w:t>
            </w:r>
          </w:p>
        </w:tc>
      </w:tr>
      <w:tr>
        <w:trPr>
          <w:trHeight w:val="166"/>
        </w:trPr>
        <w:tc>
          <w:tcPr>
            <w:tcW w:w="6260" w:type="dxa"/>
            <w:vAlign w:val="bottom"/>
          </w:tcPr>
          <w:p>
            <w:pPr>
              <w:ind w:left="360"/>
              <w:spacing w:after="0"/>
              <w:rPr>
                <w:sz w:val="20"/>
                <w:szCs w:val="20"/>
                <w:color w:val="auto"/>
              </w:rPr>
            </w:pPr>
            <w:r>
              <w:rPr>
                <w:rFonts w:ascii="Courier New" w:cs="Courier New" w:eastAsia="Courier New" w:hAnsi="Courier New"/>
                <w:sz w:val="14"/>
                <w:szCs w:val="14"/>
                <w:color w:val="auto"/>
              </w:rPr>
              <w:t>Effect of Change in Accounting Principle</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(0.03)</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360"/>
              <w:spacing w:after="0"/>
              <w:rPr>
                <w:sz w:val="20"/>
                <w:szCs w:val="20"/>
                <w:color w:val="auto"/>
              </w:rPr>
            </w:pPr>
            <w:r>
              <w:rPr>
                <w:rFonts w:ascii="Courier New" w:cs="Courier New" w:eastAsia="Courier New" w:hAnsi="Courier New"/>
                <w:sz w:val="14"/>
                <w:szCs w:val="14"/>
                <w:color w:val="auto"/>
              </w:rPr>
              <w:t>Net Income (Loss)</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$(0.32)</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$ 1.73</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$ 1.33</w:t>
            </w:r>
          </w:p>
        </w:tc>
      </w:tr>
      <w:tr>
        <w:trPr>
          <w:trHeight w:val="166"/>
        </w:trPr>
        <w:tc>
          <w:tcPr>
            <w:tcW w:w="626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285"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4"/>
          <w:szCs w:val="14"/>
          <w:color w:val="auto"/>
        </w:rPr>
        <w:t>THE CHASE MANHATTAN CORPORATION AND SUBSIDIARIES</w:t>
      </w:r>
    </w:p>
    <w:p>
      <w:pPr>
        <w:spacing w:after="0" w:line="7"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4"/>
          <w:szCs w:val="14"/>
          <w:color w:val="auto"/>
        </w:rPr>
        <w:t>NONINTEREST REVENUE DETAIL</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80" w:type="dxa"/>
            <w:vAlign w:val="bottom"/>
          </w:tcPr>
          <w:p>
            <w:pPr>
              <w:ind w:left="2940"/>
              <w:spacing w:after="0"/>
              <w:rPr>
                <w:sz w:val="20"/>
                <w:szCs w:val="20"/>
                <w:color w:val="auto"/>
              </w:rPr>
            </w:pPr>
            <w:r>
              <w:rPr>
                <w:rFonts w:ascii="Courier New" w:cs="Courier New" w:eastAsia="Courier New" w:hAnsi="Courier New"/>
                <w:sz w:val="14"/>
                <w:szCs w:val="14"/>
                <w:color w:val="auto"/>
              </w:rPr>
              <w:t>(in millions)</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3"/>
        </w:trPr>
        <w:tc>
          <w:tcPr>
            <w:tcW w:w="6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THREE MONTHS ENDED</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6980" w:type="dxa"/>
            <w:vAlign w:val="bottom"/>
          </w:tcPr>
          <w:p>
            <w:pPr>
              <w:spacing w:after="0"/>
              <w:rPr>
                <w:sz w:val="14"/>
                <w:szCs w:val="14"/>
                <w:color w:val="auto"/>
              </w:rPr>
            </w:pPr>
          </w:p>
        </w:tc>
        <w:tc>
          <w:tcPr>
            <w:tcW w:w="38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MARCH 31,</w:t>
            </w:r>
          </w:p>
        </w:tc>
        <w:tc>
          <w:tcPr>
            <w:tcW w:w="15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DEC. 31,</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MARCH 31,</w:t>
            </w:r>
          </w:p>
        </w:tc>
      </w:tr>
      <w:tr>
        <w:trPr>
          <w:trHeight w:val="166"/>
        </w:trPr>
        <w:tc>
          <w:tcPr>
            <w:tcW w:w="69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520" w:type="dxa"/>
            <w:vAlign w:val="bottom"/>
          </w:tcPr>
          <w:p>
            <w:pPr>
              <w:spacing w:after="0"/>
              <w:rPr>
                <w:sz w:val="14"/>
                <w:szCs w:val="14"/>
                <w:color w:val="auto"/>
              </w:rPr>
            </w:pPr>
          </w:p>
        </w:tc>
        <w:tc>
          <w:tcPr>
            <w:tcW w:w="102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5"/>
              </w:rPr>
              <w:t>1995</w:t>
            </w:r>
          </w:p>
        </w:tc>
        <w:tc>
          <w:tcPr>
            <w:tcW w:w="2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69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980" w:type="dxa"/>
            <w:vAlign w:val="bottom"/>
          </w:tcPr>
          <w:p>
            <w:pPr>
              <w:spacing w:after="0"/>
              <w:rPr>
                <w:sz w:val="20"/>
                <w:szCs w:val="20"/>
                <w:color w:val="auto"/>
              </w:rPr>
            </w:pPr>
            <w:r>
              <w:rPr>
                <w:rFonts w:ascii="Courier New" w:cs="Courier New" w:eastAsia="Courier New" w:hAnsi="Courier New"/>
                <w:sz w:val="14"/>
                <w:szCs w:val="14"/>
                <w:color w:val="auto"/>
              </w:rPr>
              <w:t>FEES FOR OTHER FINANCIAL SERVICES:</w:t>
            </w: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Commissions on Letters of Credit and Acceptances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89</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Fees in Lieu of Compensating Balances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w:t>
            </w:r>
          </w:p>
        </w:tc>
        <w:tc>
          <w:tcPr>
            <w:tcW w:w="520" w:type="dxa"/>
            <w:vAlign w:val="bottom"/>
          </w:tcPr>
          <w:p>
            <w:pPr>
              <w:spacing w:after="0"/>
              <w:rPr>
                <w:sz w:val="14"/>
                <w:szCs w:val="14"/>
                <w:color w:val="auto"/>
              </w:rPr>
            </w:pPr>
          </w:p>
        </w:tc>
        <w:tc>
          <w:tcPr>
            <w:tcW w:w="1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68</w:t>
            </w:r>
          </w:p>
        </w:tc>
        <w:tc>
          <w:tcPr>
            <w:tcW w:w="2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69</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Mortgage Servicing Fees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w:t>
            </w:r>
          </w:p>
        </w:tc>
        <w:tc>
          <w:tcPr>
            <w:tcW w:w="520" w:type="dxa"/>
            <w:vAlign w:val="bottom"/>
          </w:tcPr>
          <w:p>
            <w:pPr>
              <w:spacing w:after="0"/>
              <w:rPr>
                <w:sz w:val="14"/>
                <w:szCs w:val="14"/>
                <w:color w:val="auto"/>
              </w:rPr>
            </w:pPr>
          </w:p>
        </w:tc>
        <w:tc>
          <w:tcPr>
            <w:tcW w:w="1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53</w:t>
            </w:r>
          </w:p>
        </w:tc>
        <w:tc>
          <w:tcPr>
            <w:tcW w:w="2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Loan Commitment Fees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w:t>
            </w:r>
          </w:p>
        </w:tc>
        <w:tc>
          <w:tcPr>
            <w:tcW w:w="520" w:type="dxa"/>
            <w:vAlign w:val="bottom"/>
          </w:tcPr>
          <w:p>
            <w:pPr>
              <w:spacing w:after="0"/>
              <w:rPr>
                <w:sz w:val="14"/>
                <w:szCs w:val="14"/>
                <w:color w:val="auto"/>
              </w:rPr>
            </w:pPr>
          </w:p>
        </w:tc>
        <w:tc>
          <w:tcPr>
            <w:tcW w:w="1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w:t>
            </w:r>
          </w:p>
        </w:tc>
        <w:tc>
          <w:tcPr>
            <w:tcW w:w="2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Other Fees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135</w:t>
            </w:r>
          </w:p>
        </w:tc>
        <w:tc>
          <w:tcPr>
            <w:tcW w:w="520" w:type="dxa"/>
            <w:vAlign w:val="bottom"/>
          </w:tcPr>
          <w:p>
            <w:pPr>
              <w:spacing w:after="0"/>
              <w:rPr>
                <w:sz w:val="14"/>
                <w:szCs w:val="14"/>
                <w:color w:val="auto"/>
              </w:rPr>
            </w:pPr>
          </w:p>
        </w:tc>
        <w:tc>
          <w:tcPr>
            <w:tcW w:w="1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127</w:t>
            </w:r>
          </w:p>
        </w:tc>
        <w:tc>
          <w:tcPr>
            <w:tcW w:w="2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w:t>
            </w:r>
          </w:p>
        </w:tc>
      </w:tr>
      <w:tr>
        <w:trPr>
          <w:trHeight w:val="166"/>
        </w:trPr>
        <w:tc>
          <w:tcPr>
            <w:tcW w:w="69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980" w:type="dxa"/>
            <w:vAlign w:val="bottom"/>
          </w:tcPr>
          <w:p>
            <w:pPr>
              <w:ind w:left="360"/>
              <w:spacing w:after="0"/>
              <w:rPr>
                <w:sz w:val="20"/>
                <w:szCs w:val="20"/>
                <w:color w:val="auto"/>
              </w:rPr>
            </w:pPr>
            <w:r>
              <w:rPr>
                <w:rFonts w:ascii="Courier New" w:cs="Courier New" w:eastAsia="Courier New" w:hAnsi="Courier New"/>
                <w:sz w:val="14"/>
                <w:szCs w:val="14"/>
                <w:color w:val="auto"/>
              </w:rPr>
              <w:t>Total</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$ 378</w:t>
            </w:r>
          </w:p>
        </w:tc>
        <w:tc>
          <w:tcPr>
            <w:tcW w:w="15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$ 363</w:t>
            </w:r>
          </w:p>
        </w:tc>
        <w:tc>
          <w:tcPr>
            <w:tcW w:w="9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$ 367</w:t>
            </w:r>
          </w:p>
        </w:tc>
      </w:tr>
      <w:tr>
        <w:trPr>
          <w:trHeight w:val="166"/>
        </w:trPr>
        <w:tc>
          <w:tcPr>
            <w:tcW w:w="69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TRADING REVENUE:</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Interest Rate Contracts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$ 111</w:t>
            </w:r>
          </w:p>
        </w:tc>
        <w:tc>
          <w:tcPr>
            <w:tcW w:w="520" w:type="dxa"/>
            <w:vAlign w:val="bottom"/>
          </w:tcPr>
          <w:p>
            <w:pPr>
              <w:ind w:left="420"/>
              <w:spacing w:after="0"/>
              <w:rPr>
                <w:sz w:val="20"/>
                <w:szCs w:val="20"/>
                <w:color w:val="auto"/>
              </w:rPr>
            </w:pPr>
            <w:r>
              <w:rPr>
                <w:rFonts w:ascii="Courier New" w:cs="Courier New" w:eastAsia="Courier New" w:hAnsi="Courier New"/>
                <w:sz w:val="14"/>
                <w:szCs w:val="14"/>
                <w:color w:val="auto"/>
                <w:w w:val="94"/>
              </w:rPr>
              <w:t>$</w:t>
            </w:r>
          </w:p>
        </w:tc>
        <w:tc>
          <w:tcPr>
            <w:tcW w:w="1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Foreign Exchange Revenue</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123</w:t>
            </w:r>
          </w:p>
        </w:tc>
        <w:tc>
          <w:tcPr>
            <w:tcW w:w="520" w:type="dxa"/>
            <w:vAlign w:val="bottom"/>
          </w:tcPr>
          <w:p>
            <w:pPr>
              <w:spacing w:after="0"/>
              <w:rPr>
                <w:sz w:val="14"/>
                <w:szCs w:val="14"/>
                <w:color w:val="auto"/>
              </w:rPr>
            </w:pPr>
          </w:p>
        </w:tc>
        <w:tc>
          <w:tcPr>
            <w:tcW w:w="1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113</w:t>
            </w:r>
          </w:p>
        </w:tc>
        <w:tc>
          <w:tcPr>
            <w:tcW w:w="2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Debt Instruments and Other</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w:t>
            </w:r>
          </w:p>
        </w:tc>
        <w:tc>
          <w:tcPr>
            <w:tcW w:w="520" w:type="dxa"/>
            <w:vAlign w:val="bottom"/>
          </w:tcPr>
          <w:p>
            <w:pPr>
              <w:spacing w:after="0"/>
              <w:rPr>
                <w:sz w:val="14"/>
                <w:szCs w:val="14"/>
                <w:color w:val="auto"/>
              </w:rPr>
            </w:pPr>
          </w:p>
        </w:tc>
        <w:tc>
          <w:tcPr>
            <w:tcW w:w="1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62</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(122)</w:t>
            </w:r>
          </w:p>
        </w:tc>
      </w:tr>
      <w:tr>
        <w:trPr>
          <w:trHeight w:val="166"/>
        </w:trPr>
        <w:tc>
          <w:tcPr>
            <w:tcW w:w="69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980" w:type="dxa"/>
            <w:vAlign w:val="bottom"/>
          </w:tcPr>
          <w:p>
            <w:pPr>
              <w:ind w:left="360"/>
              <w:spacing w:after="0"/>
              <w:rPr>
                <w:sz w:val="20"/>
                <w:szCs w:val="20"/>
                <w:color w:val="auto"/>
              </w:rPr>
            </w:pPr>
            <w:r>
              <w:rPr>
                <w:rFonts w:ascii="Courier New" w:cs="Courier New" w:eastAsia="Courier New" w:hAnsi="Courier New"/>
                <w:sz w:val="14"/>
                <w:szCs w:val="14"/>
                <w:color w:val="auto"/>
              </w:rPr>
              <w:t>Total</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$ 339</w:t>
            </w:r>
          </w:p>
        </w:tc>
        <w:tc>
          <w:tcPr>
            <w:tcW w:w="15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$ 274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99</w:t>
            </w:r>
          </w:p>
        </w:tc>
      </w:tr>
      <w:tr>
        <w:trPr>
          <w:trHeight w:val="166"/>
        </w:trPr>
        <w:tc>
          <w:tcPr>
            <w:tcW w:w="69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OTHER REVENUE:</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Revenue from Equity-Related Investments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$ 223</w:t>
            </w:r>
          </w:p>
        </w:tc>
        <w:tc>
          <w:tcPr>
            <w:tcW w:w="15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$ 131</w:t>
            </w:r>
          </w:p>
        </w:tc>
        <w:tc>
          <w:tcPr>
            <w:tcW w:w="9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$ 181</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Net Gains (Losses) on Emerging Markets Securities Sales</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w:t>
            </w:r>
          </w:p>
        </w:tc>
        <w:tc>
          <w:tcPr>
            <w:tcW w:w="520" w:type="dxa"/>
            <w:vAlign w:val="bottom"/>
          </w:tcPr>
          <w:p>
            <w:pPr>
              <w:spacing w:after="0"/>
              <w:rPr>
                <w:sz w:val="14"/>
                <w:szCs w:val="14"/>
                <w:color w:val="auto"/>
              </w:rPr>
            </w:pPr>
          </w:p>
        </w:tc>
        <w:tc>
          <w:tcPr>
            <w:tcW w:w="1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w:t>
            </w:r>
          </w:p>
        </w:tc>
        <w:tc>
          <w:tcPr>
            <w:tcW w:w="2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Gain on Sale of Investment in Far East Bank and Trust Company</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85</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Residential Mortgage Origination/Sales Activities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w:t>
            </w:r>
          </w:p>
        </w:tc>
        <w:tc>
          <w:tcPr>
            <w:tcW w:w="520" w:type="dxa"/>
            <w:vAlign w:val="bottom"/>
          </w:tcPr>
          <w:p>
            <w:pPr>
              <w:spacing w:after="0"/>
              <w:rPr>
                <w:sz w:val="14"/>
                <w:szCs w:val="14"/>
                <w:color w:val="auto"/>
              </w:rPr>
            </w:pPr>
          </w:p>
        </w:tc>
        <w:tc>
          <w:tcPr>
            <w:tcW w:w="1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67</w:t>
            </w:r>
          </w:p>
        </w:tc>
        <w:tc>
          <w:tcPr>
            <w:tcW w:w="2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Loss on Sale of a Building in Japan</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w:t>
            </w:r>
          </w:p>
        </w:tc>
        <w:tc>
          <w:tcPr>
            <w:tcW w:w="520" w:type="dxa"/>
            <w:vAlign w:val="bottom"/>
          </w:tcPr>
          <w:p>
            <w:pPr>
              <w:spacing w:after="0"/>
              <w:rPr>
                <w:sz w:val="14"/>
                <w:szCs w:val="14"/>
                <w:color w:val="auto"/>
              </w:rPr>
            </w:pPr>
          </w:p>
        </w:tc>
        <w:tc>
          <w:tcPr>
            <w:tcW w:w="1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All Other Revenue</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103</w:t>
            </w:r>
          </w:p>
        </w:tc>
        <w:tc>
          <w:tcPr>
            <w:tcW w:w="520" w:type="dxa"/>
            <w:vAlign w:val="bottom"/>
          </w:tcPr>
          <w:p>
            <w:pPr>
              <w:spacing w:after="0"/>
              <w:rPr>
                <w:sz w:val="14"/>
                <w:szCs w:val="14"/>
                <w:color w:val="auto"/>
              </w:rPr>
            </w:pPr>
          </w:p>
        </w:tc>
        <w:tc>
          <w:tcPr>
            <w:tcW w:w="1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48</w:t>
            </w:r>
          </w:p>
        </w:tc>
        <w:tc>
          <w:tcPr>
            <w:tcW w:w="2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w:t>
            </w:r>
          </w:p>
        </w:tc>
      </w:tr>
      <w:tr>
        <w:trPr>
          <w:trHeight w:val="166"/>
        </w:trPr>
        <w:tc>
          <w:tcPr>
            <w:tcW w:w="69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980" w:type="dxa"/>
            <w:vAlign w:val="bottom"/>
          </w:tcPr>
          <w:p>
            <w:pPr>
              <w:ind w:left="360"/>
              <w:spacing w:after="0"/>
              <w:rPr>
                <w:sz w:val="20"/>
                <w:szCs w:val="20"/>
                <w:color w:val="auto"/>
              </w:rPr>
            </w:pPr>
            <w:r>
              <w:rPr>
                <w:rFonts w:ascii="Courier New" w:cs="Courier New" w:eastAsia="Courier New" w:hAnsi="Courier New"/>
                <w:sz w:val="14"/>
                <w:szCs w:val="14"/>
                <w:color w:val="auto"/>
              </w:rPr>
              <w:t>Total</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$ 259</w:t>
            </w:r>
          </w:p>
        </w:tc>
        <w:tc>
          <w:tcPr>
            <w:tcW w:w="15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$ 259</w:t>
            </w:r>
          </w:p>
        </w:tc>
        <w:tc>
          <w:tcPr>
            <w:tcW w:w="9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$ 414</w:t>
            </w:r>
          </w:p>
        </w:tc>
      </w:tr>
      <w:tr>
        <w:trPr>
          <w:trHeight w:val="166"/>
        </w:trPr>
        <w:tc>
          <w:tcPr>
            <w:tcW w:w="69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663"/>
        </w:trPr>
        <w:tc>
          <w:tcPr>
            <w:tcW w:w="6980" w:type="dxa"/>
            <w:vAlign w:val="bottom"/>
          </w:tcPr>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w:t>
            </w: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1"/>
        </w:trPr>
        <w:tc>
          <w:tcPr>
            <w:tcW w:w="6980" w:type="dxa"/>
            <w:vAlign w:val="bottom"/>
          </w:tcPr>
          <w:p>
            <w:pPr>
              <w:ind w:left="1380"/>
              <w:spacing w:after="0"/>
              <w:rPr>
                <w:sz w:val="20"/>
                <w:szCs w:val="20"/>
                <w:color w:val="auto"/>
              </w:rPr>
            </w:pPr>
            <w:r>
              <w:rPr>
                <w:rFonts w:ascii="Courier New" w:cs="Courier New" w:eastAsia="Courier New" w:hAnsi="Courier New"/>
                <w:sz w:val="14"/>
                <w:szCs w:val="14"/>
                <w:color w:val="auto"/>
              </w:rPr>
              <w:t>THE CHASE MANHATTAN CORPORATION AND SUBSIDIARIES</w:t>
            </w: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6980" w:type="dxa"/>
            <w:vAlign w:val="bottom"/>
          </w:tcPr>
          <w:p>
            <w:pPr>
              <w:ind w:left="2340"/>
              <w:spacing w:after="0"/>
              <w:rPr>
                <w:sz w:val="20"/>
                <w:szCs w:val="20"/>
                <w:color w:val="auto"/>
              </w:rPr>
            </w:pPr>
            <w:r>
              <w:rPr>
                <w:rFonts w:ascii="Courier New" w:cs="Courier New" w:eastAsia="Courier New" w:hAnsi="Courier New"/>
                <w:sz w:val="14"/>
                <w:szCs w:val="14"/>
                <w:color w:val="auto"/>
              </w:rPr>
              <w:t>NONINTEREST EXPENSE DETAIL</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6980" w:type="dxa"/>
            <w:vAlign w:val="bottom"/>
          </w:tcPr>
          <w:p>
            <w:pPr>
              <w:ind w:left="2940"/>
              <w:spacing w:after="0"/>
              <w:rPr>
                <w:sz w:val="20"/>
                <w:szCs w:val="20"/>
                <w:color w:val="auto"/>
              </w:rPr>
            </w:pPr>
            <w:r>
              <w:rPr>
                <w:rFonts w:ascii="Courier New" w:cs="Courier New" w:eastAsia="Courier New" w:hAnsi="Courier New"/>
                <w:sz w:val="14"/>
                <w:szCs w:val="14"/>
                <w:color w:val="auto"/>
              </w:rPr>
              <w:t>(IN MILLIONS)</w:t>
            </w: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63"/>
        </w:trPr>
        <w:tc>
          <w:tcPr>
            <w:tcW w:w="6980" w:type="dxa"/>
            <w:vAlign w:val="bottom"/>
          </w:tcPr>
          <w:p>
            <w:pPr>
              <w:spacing w:after="0"/>
              <w:rPr>
                <w:sz w:val="24"/>
                <w:szCs w:val="24"/>
                <w:color w:val="auto"/>
              </w:rPr>
            </w:pPr>
          </w:p>
        </w:tc>
        <w:tc>
          <w:tcPr>
            <w:tcW w:w="284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THREE MONTHS ENDED</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6980" w:type="dxa"/>
            <w:vAlign w:val="bottom"/>
          </w:tcPr>
          <w:p>
            <w:pPr>
              <w:spacing w:after="0"/>
              <w:rPr>
                <w:sz w:val="14"/>
                <w:szCs w:val="14"/>
                <w:color w:val="auto"/>
              </w:rPr>
            </w:pPr>
          </w:p>
        </w:tc>
        <w:tc>
          <w:tcPr>
            <w:tcW w:w="38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9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MARCH 31,</w:t>
            </w:r>
          </w:p>
        </w:tc>
        <w:tc>
          <w:tcPr>
            <w:tcW w:w="154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DEC. 31,</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MARCH 31,</w:t>
            </w:r>
          </w:p>
        </w:tc>
      </w:tr>
      <w:tr>
        <w:trPr>
          <w:trHeight w:val="166"/>
        </w:trPr>
        <w:tc>
          <w:tcPr>
            <w:tcW w:w="698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520" w:type="dxa"/>
            <w:vAlign w:val="bottom"/>
          </w:tcPr>
          <w:p>
            <w:pPr>
              <w:spacing w:after="0"/>
              <w:rPr>
                <w:sz w:val="14"/>
                <w:szCs w:val="14"/>
                <w:color w:val="auto"/>
              </w:rPr>
            </w:pPr>
          </w:p>
        </w:tc>
        <w:tc>
          <w:tcPr>
            <w:tcW w:w="102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5"/>
              </w:rPr>
              <w:t>1995</w:t>
            </w:r>
          </w:p>
        </w:tc>
        <w:tc>
          <w:tcPr>
            <w:tcW w:w="2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69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6980" w:type="dxa"/>
            <w:vAlign w:val="bottom"/>
          </w:tcPr>
          <w:p>
            <w:pPr>
              <w:spacing w:after="0"/>
              <w:rPr>
                <w:sz w:val="20"/>
                <w:szCs w:val="20"/>
                <w:color w:val="auto"/>
              </w:rPr>
            </w:pPr>
            <w:r>
              <w:rPr>
                <w:rFonts w:ascii="Courier New" w:cs="Courier New" w:eastAsia="Courier New" w:hAnsi="Courier New"/>
                <w:sz w:val="14"/>
                <w:szCs w:val="14"/>
                <w:color w:val="auto"/>
              </w:rPr>
              <w:t>OTHER EXPENSE:</w:t>
            </w: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Professional Services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$ 129</w:t>
            </w:r>
          </w:p>
        </w:tc>
        <w:tc>
          <w:tcPr>
            <w:tcW w:w="15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$ 152</w:t>
            </w:r>
          </w:p>
        </w:tc>
        <w:tc>
          <w:tcPr>
            <w:tcW w:w="9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$ 135</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Marketing Expense</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w:t>
            </w:r>
          </w:p>
        </w:tc>
        <w:tc>
          <w:tcPr>
            <w:tcW w:w="520" w:type="dxa"/>
            <w:vAlign w:val="bottom"/>
          </w:tcPr>
          <w:p>
            <w:pPr>
              <w:spacing w:after="0"/>
              <w:rPr>
                <w:sz w:val="14"/>
                <w:szCs w:val="14"/>
                <w:color w:val="auto"/>
              </w:rPr>
            </w:pPr>
          </w:p>
        </w:tc>
        <w:tc>
          <w:tcPr>
            <w:tcW w:w="1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88</w:t>
            </w:r>
          </w:p>
        </w:tc>
        <w:tc>
          <w:tcPr>
            <w:tcW w:w="2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FDIC Assessments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1(a)</w:t>
            </w:r>
          </w:p>
        </w:tc>
        <w:tc>
          <w:tcPr>
            <w:tcW w:w="520" w:type="dxa"/>
            <w:vAlign w:val="bottom"/>
          </w:tcPr>
          <w:p>
            <w:pPr>
              <w:spacing w:after="0"/>
              <w:rPr>
                <w:sz w:val="14"/>
                <w:szCs w:val="14"/>
                <w:color w:val="auto"/>
              </w:rPr>
            </w:pP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10(a)</w:t>
            </w:r>
          </w:p>
        </w:tc>
        <w:tc>
          <w:tcPr>
            <w:tcW w:w="2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Telecommunications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w:t>
            </w:r>
          </w:p>
        </w:tc>
        <w:tc>
          <w:tcPr>
            <w:tcW w:w="520" w:type="dxa"/>
            <w:vAlign w:val="bottom"/>
          </w:tcPr>
          <w:p>
            <w:pPr>
              <w:spacing w:after="0"/>
              <w:rPr>
                <w:sz w:val="14"/>
                <w:szCs w:val="14"/>
                <w:color w:val="auto"/>
              </w:rPr>
            </w:pPr>
          </w:p>
        </w:tc>
        <w:tc>
          <w:tcPr>
            <w:tcW w:w="1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84</w:t>
            </w:r>
          </w:p>
        </w:tc>
        <w:tc>
          <w:tcPr>
            <w:tcW w:w="2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Amortization of Intangibles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w:t>
            </w:r>
          </w:p>
        </w:tc>
        <w:tc>
          <w:tcPr>
            <w:tcW w:w="520" w:type="dxa"/>
            <w:vAlign w:val="bottom"/>
          </w:tcPr>
          <w:p>
            <w:pPr>
              <w:spacing w:after="0"/>
              <w:rPr>
                <w:sz w:val="14"/>
                <w:szCs w:val="14"/>
                <w:color w:val="auto"/>
              </w:rPr>
            </w:pPr>
          </w:p>
        </w:tc>
        <w:tc>
          <w:tcPr>
            <w:tcW w:w="1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43</w:t>
            </w:r>
          </w:p>
        </w:tc>
        <w:tc>
          <w:tcPr>
            <w:tcW w:w="2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w:t>
            </w:r>
          </w:p>
        </w:tc>
      </w:tr>
      <w:tr>
        <w:trPr>
          <w:trHeight w:val="166"/>
        </w:trPr>
        <w:tc>
          <w:tcPr>
            <w:tcW w:w="6980" w:type="dxa"/>
            <w:vAlign w:val="bottom"/>
          </w:tcPr>
          <w:p>
            <w:pPr>
              <w:spacing w:after="0"/>
              <w:rPr>
                <w:sz w:val="20"/>
                <w:szCs w:val="20"/>
                <w:color w:val="auto"/>
              </w:rPr>
            </w:pPr>
            <w:r>
              <w:rPr>
                <w:rFonts w:ascii="Courier New" w:cs="Courier New" w:eastAsia="Courier New" w:hAnsi="Courier New"/>
                <w:sz w:val="14"/>
                <w:szCs w:val="14"/>
                <w:color w:val="auto"/>
              </w:rPr>
              <w:t>All Other</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312</w:t>
            </w:r>
          </w:p>
        </w:tc>
        <w:tc>
          <w:tcPr>
            <w:tcW w:w="520" w:type="dxa"/>
            <w:vAlign w:val="bottom"/>
          </w:tcPr>
          <w:p>
            <w:pPr>
              <w:spacing w:after="0"/>
              <w:rPr>
                <w:sz w:val="14"/>
                <w:szCs w:val="14"/>
                <w:color w:val="auto"/>
              </w:rPr>
            </w:pPr>
          </w:p>
        </w:tc>
        <w:tc>
          <w:tcPr>
            <w:tcW w:w="10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255</w:t>
            </w:r>
          </w:p>
        </w:tc>
        <w:tc>
          <w:tcPr>
            <w:tcW w:w="260" w:type="dxa"/>
            <w:vAlign w:val="bottom"/>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302</w:t>
            </w:r>
          </w:p>
        </w:tc>
      </w:tr>
      <w:tr>
        <w:trPr>
          <w:trHeight w:val="166"/>
        </w:trPr>
        <w:tc>
          <w:tcPr>
            <w:tcW w:w="69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6980" w:type="dxa"/>
            <w:vAlign w:val="bottom"/>
          </w:tcPr>
          <w:p>
            <w:pPr>
              <w:ind w:left="360"/>
              <w:spacing w:after="0"/>
              <w:rPr>
                <w:sz w:val="20"/>
                <w:szCs w:val="20"/>
                <w:color w:val="auto"/>
              </w:rPr>
            </w:pPr>
            <w:r>
              <w:rPr>
                <w:rFonts w:ascii="Courier New" w:cs="Courier New" w:eastAsia="Courier New" w:hAnsi="Courier New"/>
                <w:sz w:val="14"/>
                <w:szCs w:val="14"/>
                <w:color w:val="auto"/>
              </w:rPr>
              <w:t>Total</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$ 660</w:t>
            </w:r>
          </w:p>
        </w:tc>
        <w:tc>
          <w:tcPr>
            <w:tcW w:w="15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$ 632</w:t>
            </w:r>
          </w:p>
        </w:tc>
        <w:tc>
          <w:tcPr>
            <w:tcW w:w="9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$ 703</w:t>
            </w:r>
          </w:p>
        </w:tc>
      </w:tr>
      <w:tr>
        <w:trPr>
          <w:trHeight w:val="166"/>
        </w:trPr>
        <w:tc>
          <w:tcPr>
            <w:tcW w:w="6980" w:type="dxa"/>
            <w:vAlign w:val="bottom"/>
          </w:tcPr>
          <w:p>
            <w:pPr>
              <w:spacing w:after="0"/>
              <w:rPr>
                <w:sz w:val="14"/>
                <w:szCs w:val="14"/>
                <w:color w:val="auto"/>
              </w:rPr>
            </w:pP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(a)</w:t>
        <w:tab/>
        <w:t>Reflects the impact of a reduction in the FDIC assessment rate.</w:t>
      </w:r>
    </w:p>
    <w:p>
      <w:pPr>
        <w:sectPr>
          <w:pgSz w:w="11900" w:h="16838" w:orient="portrait"/>
          <w:cols w:equalWidth="0" w:num="1">
            <w:col w:w="10780"/>
          </w:cols>
          <w:pgMar w:left="220" w:top="285" w:right="899"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THE CHASE MANHATTAN CORPORATION and Subsidiaries</w:t>
      </w:r>
    </w:p>
    <w:p>
      <w:pPr>
        <w:spacing w:after="0" w:line="7"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OPERATING FINANCIAL HIGHLIGHTS</w:t>
      </w:r>
    </w:p>
    <w:p>
      <w:pPr>
        <w:spacing w:after="0" w:line="7"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4"/>
          <w:szCs w:val="14"/>
          <w:color w:val="auto"/>
        </w:rPr>
        <w:t>(in millions, except per share and ratio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SUMMARY OF RESULTS FOR THE</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THREE MONTHS ENDED MARCH 31,</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540" w:type="dxa"/>
            <w:vAlign w:val="bottom"/>
          </w:tcPr>
          <w:p>
            <w:pPr>
              <w:spacing w:after="0"/>
              <w:rPr>
                <w:sz w:val="14"/>
                <w:szCs w:val="14"/>
                <w:color w:val="auto"/>
              </w:rPr>
            </w:pPr>
          </w:p>
        </w:tc>
        <w:tc>
          <w:tcPr>
            <w:tcW w:w="676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1995</w:t>
            </w:r>
          </w:p>
        </w:tc>
        <w:tc>
          <w:tcPr>
            <w:tcW w:w="960" w:type="dxa"/>
            <w:vAlign w:val="bottom"/>
          </w:tcPr>
          <w:p>
            <w:pPr>
              <w:spacing w:after="0"/>
              <w:rPr>
                <w:sz w:val="14"/>
                <w:szCs w:val="14"/>
                <w:color w:val="auto"/>
              </w:rPr>
            </w:pPr>
          </w:p>
        </w:tc>
      </w:tr>
      <w:tr>
        <w:trPr>
          <w:trHeight w:val="166"/>
        </w:trPr>
        <w:tc>
          <w:tcPr>
            <w:tcW w:w="454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6"/>
              </w:rPr>
              <w:t>--------------------------------------</w:t>
            </w: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14"/>
                <w:szCs w:val="14"/>
                <w:color w:val="auto"/>
              </w:rPr>
            </w:pPr>
          </w:p>
        </w:tc>
        <w:tc>
          <w:tcPr>
            <w:tcW w:w="15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OPERATING</w:t>
            </w:r>
          </w:p>
        </w:tc>
        <w:tc>
          <w:tcPr>
            <w:tcW w:w="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SPECIAL</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AS</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OPERATING</w:t>
            </w:r>
          </w:p>
        </w:tc>
        <w:tc>
          <w:tcPr>
            <w:tcW w:w="9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8"/>
              </w:rPr>
              <w:t>SPECIAL</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AS</w:t>
            </w:r>
          </w:p>
        </w:tc>
      </w:tr>
      <w:tr>
        <w:trPr>
          <w:trHeight w:val="166"/>
        </w:trPr>
        <w:tc>
          <w:tcPr>
            <w:tcW w:w="4540" w:type="dxa"/>
            <w:vAlign w:val="bottom"/>
          </w:tcPr>
          <w:p>
            <w:pPr>
              <w:spacing w:after="0"/>
              <w:rPr>
                <w:sz w:val="14"/>
                <w:szCs w:val="14"/>
                <w:color w:val="auto"/>
              </w:rPr>
            </w:pPr>
          </w:p>
        </w:tc>
        <w:tc>
          <w:tcPr>
            <w:tcW w:w="15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EARNINGS</w:t>
            </w:r>
          </w:p>
        </w:tc>
        <w:tc>
          <w:tcPr>
            <w:tcW w:w="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ITEMS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REPORTED</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EARNINGS</w:t>
            </w:r>
          </w:p>
        </w:tc>
        <w:tc>
          <w:tcPr>
            <w:tcW w:w="9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ITEMS</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REPORTED</w:t>
            </w:r>
          </w:p>
        </w:tc>
      </w:tr>
      <w:tr>
        <w:trPr>
          <w:trHeight w:val="166"/>
        </w:trPr>
        <w:tc>
          <w:tcPr>
            <w:tcW w:w="4540" w:type="dxa"/>
            <w:vAlign w:val="bottom"/>
          </w:tcPr>
          <w:p>
            <w:pPr>
              <w:spacing w:after="0"/>
              <w:rPr>
                <w:sz w:val="14"/>
                <w:szCs w:val="14"/>
                <w:color w:val="auto"/>
              </w:rPr>
            </w:pPr>
          </w:p>
        </w:tc>
        <w:tc>
          <w:tcPr>
            <w:tcW w:w="15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$2,112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54 (c)</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$2,166</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$2,027</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$ 2,027</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Noninterest Revenue</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1,929</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(60)(d)</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1,869</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1,472</w:t>
            </w:r>
          </w:p>
        </w:tc>
        <w:tc>
          <w:tcPr>
            <w:tcW w:w="220" w:type="dxa"/>
            <w:vAlign w:val="bottom"/>
          </w:tcPr>
          <w:p>
            <w:pPr>
              <w:spacing w:after="0"/>
              <w:rPr>
                <w:sz w:val="14"/>
                <w:szCs w:val="14"/>
                <w:color w:val="auto"/>
              </w:rPr>
            </w:pPr>
          </w:p>
        </w:tc>
        <w:tc>
          <w:tcPr>
            <w:tcW w:w="7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85(h)</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1,557</w:t>
            </w:r>
          </w:p>
        </w:tc>
      </w:tr>
      <w:tr>
        <w:trPr>
          <w:trHeight w:val="166"/>
        </w:trPr>
        <w:tc>
          <w:tcPr>
            <w:tcW w:w="4540" w:type="dxa"/>
            <w:vAlign w:val="bottom"/>
          </w:tcPr>
          <w:p>
            <w:pPr>
              <w:spacing w:after="0"/>
              <w:rPr>
                <w:sz w:val="14"/>
                <w:szCs w:val="14"/>
                <w:color w:val="auto"/>
              </w:rPr>
            </w:pP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Total Operating Revenue</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4,041</w:t>
            </w:r>
          </w:p>
        </w:tc>
        <w:tc>
          <w:tcPr>
            <w:tcW w:w="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4,035</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3,499</w:t>
            </w:r>
          </w:p>
        </w:tc>
        <w:tc>
          <w:tcPr>
            <w:tcW w:w="220" w:type="dxa"/>
            <w:vAlign w:val="bottom"/>
          </w:tcPr>
          <w:p>
            <w:pPr>
              <w:spacing w:after="0"/>
              <w:rPr>
                <w:sz w:val="14"/>
                <w:szCs w:val="14"/>
                <w:color w:val="auto"/>
              </w:rPr>
            </w:pP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3,584</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Operating Expense</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2,406</w:t>
            </w:r>
          </w:p>
        </w:tc>
        <w:tc>
          <w:tcPr>
            <w:tcW w:w="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2,446</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2,360</w:t>
            </w:r>
          </w:p>
        </w:tc>
        <w:tc>
          <w:tcPr>
            <w:tcW w:w="220" w:type="dxa"/>
            <w:vAlign w:val="bottom"/>
          </w:tcPr>
          <w:p>
            <w:pPr>
              <w:spacing w:after="0"/>
              <w:rPr>
                <w:sz w:val="14"/>
                <w:szCs w:val="14"/>
                <w:color w:val="auto"/>
              </w:rPr>
            </w:pP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2,360</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Credit Costs (a)</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236</w:t>
            </w:r>
          </w:p>
        </w:tc>
        <w:tc>
          <w:tcPr>
            <w:tcW w:w="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236</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160</w:t>
            </w:r>
          </w:p>
        </w:tc>
        <w:tc>
          <w:tcPr>
            <w:tcW w:w="220" w:type="dxa"/>
            <w:vAlign w:val="bottom"/>
          </w:tcPr>
          <w:p>
            <w:pPr>
              <w:spacing w:after="0"/>
              <w:rPr>
                <w:sz w:val="14"/>
                <w:szCs w:val="14"/>
                <w:color w:val="auto"/>
              </w:rPr>
            </w:pP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w:t>
            </w:r>
          </w:p>
        </w:tc>
      </w:tr>
      <w:tr>
        <w:trPr>
          <w:trHeight w:val="166"/>
        </w:trPr>
        <w:tc>
          <w:tcPr>
            <w:tcW w:w="4540" w:type="dxa"/>
            <w:vAlign w:val="bottom"/>
          </w:tcPr>
          <w:p>
            <w:pPr>
              <w:spacing w:after="0"/>
              <w:rPr>
                <w:sz w:val="14"/>
                <w:szCs w:val="14"/>
                <w:color w:val="auto"/>
              </w:rPr>
            </w:pP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Income Before Restructuring Charge</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1,399</w:t>
            </w:r>
          </w:p>
        </w:tc>
        <w:tc>
          <w:tcPr>
            <w:tcW w:w="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1,353</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979</w:t>
            </w:r>
          </w:p>
        </w:tc>
        <w:tc>
          <w:tcPr>
            <w:tcW w:w="220" w:type="dxa"/>
            <w:vAlign w:val="bottom"/>
          </w:tcPr>
          <w:p>
            <w:pPr>
              <w:spacing w:after="0"/>
              <w:rPr>
                <w:sz w:val="14"/>
                <w:szCs w:val="14"/>
                <w:color w:val="auto"/>
              </w:rPr>
            </w:pP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1,064</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Restructuring Charge</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1,656(f)</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1,656</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14"/>
                <w:szCs w:val="14"/>
                <w:color w:val="auto"/>
              </w:rPr>
            </w:pP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Income (Loss) After Restructuring Charge</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1,399</w:t>
            </w:r>
          </w:p>
        </w:tc>
        <w:tc>
          <w:tcPr>
            <w:tcW w:w="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(1,702)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(303)</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979</w:t>
            </w:r>
          </w:p>
        </w:tc>
        <w:tc>
          <w:tcPr>
            <w:tcW w:w="220" w:type="dxa"/>
            <w:vAlign w:val="bottom"/>
          </w:tcPr>
          <w:p>
            <w:pPr>
              <w:spacing w:after="0"/>
              <w:rPr>
                <w:sz w:val="14"/>
                <w:szCs w:val="14"/>
                <w:color w:val="auto"/>
              </w:rPr>
            </w:pP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85</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1,064</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Tax Expense (Benefit)</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532</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(746)(g)</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380</w:t>
            </w:r>
          </w:p>
        </w:tc>
        <w:tc>
          <w:tcPr>
            <w:tcW w:w="220" w:type="dxa"/>
            <w:vAlign w:val="bottom"/>
          </w:tcPr>
          <w:p>
            <w:pPr>
              <w:spacing w:after="0"/>
              <w:rPr>
                <w:sz w:val="14"/>
                <w:szCs w:val="14"/>
                <w:color w:val="auto"/>
              </w:rPr>
            </w:pP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414</w:t>
            </w:r>
          </w:p>
        </w:tc>
      </w:tr>
      <w:tr>
        <w:trPr>
          <w:trHeight w:val="166"/>
        </w:trPr>
        <w:tc>
          <w:tcPr>
            <w:tcW w:w="4540" w:type="dxa"/>
            <w:vAlign w:val="bottom"/>
          </w:tcPr>
          <w:p>
            <w:pPr>
              <w:spacing w:after="0"/>
              <w:rPr>
                <w:sz w:val="14"/>
                <w:szCs w:val="14"/>
                <w:color w:val="auto"/>
              </w:rPr>
            </w:pP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Income (Loss) Before Effect</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of Accounting Change</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867</w:t>
            </w:r>
          </w:p>
        </w:tc>
        <w:tc>
          <w:tcPr>
            <w:tcW w:w="8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599</w:t>
            </w:r>
          </w:p>
        </w:tc>
        <w:tc>
          <w:tcPr>
            <w:tcW w:w="220" w:type="dxa"/>
            <w:vAlign w:val="bottom"/>
          </w:tcPr>
          <w:p>
            <w:pPr>
              <w:spacing w:after="0"/>
              <w:rPr>
                <w:sz w:val="14"/>
                <w:szCs w:val="14"/>
                <w:color w:val="auto"/>
              </w:rPr>
            </w:pP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51</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650</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Effect of Change in Accounting Principle</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4540" w:type="dxa"/>
            <w:vAlign w:val="bottom"/>
          </w:tcPr>
          <w:p>
            <w:pPr>
              <w:spacing w:after="0"/>
              <w:rPr>
                <w:sz w:val="14"/>
                <w:szCs w:val="14"/>
                <w:color w:val="auto"/>
              </w:rPr>
            </w:pP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  867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(956)</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(89)</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599</w:t>
            </w:r>
          </w:p>
        </w:tc>
        <w:tc>
          <w:tcPr>
            <w:tcW w:w="2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639</w:t>
            </w:r>
          </w:p>
        </w:tc>
      </w:tr>
      <w:tr>
        <w:trPr>
          <w:trHeight w:val="166"/>
        </w:trPr>
        <w:tc>
          <w:tcPr>
            <w:tcW w:w="4540" w:type="dxa"/>
            <w:vAlign w:val="bottom"/>
          </w:tcPr>
          <w:p>
            <w:pPr>
              <w:spacing w:after="0"/>
              <w:rPr>
                <w:sz w:val="14"/>
                <w:szCs w:val="14"/>
                <w:color w:val="auto"/>
              </w:rPr>
            </w:pP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INCOME (LOSS)  PER COMMON SHARE:</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Primary:</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Income (Loss) Before Effect of Accounting Change</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$ 1.82</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$(0.32)</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$ 1.25</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1.37</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Effect of Change in Accounting Principle</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r>
      <w:tr>
        <w:trPr>
          <w:trHeight w:val="166"/>
        </w:trPr>
        <w:tc>
          <w:tcPr>
            <w:tcW w:w="4540" w:type="dxa"/>
            <w:vAlign w:val="bottom"/>
          </w:tcPr>
          <w:p>
            <w:pPr>
              <w:spacing w:after="0"/>
              <w:rPr>
                <w:sz w:val="14"/>
                <w:szCs w:val="14"/>
                <w:color w:val="auto"/>
              </w:rPr>
            </w:pP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Net Income (Loss)</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$ 1.82</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$(0.32)</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1.25</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1.34</w:t>
            </w:r>
          </w:p>
        </w:tc>
      </w:tr>
      <w:tr>
        <w:trPr>
          <w:trHeight w:val="166"/>
        </w:trPr>
        <w:tc>
          <w:tcPr>
            <w:tcW w:w="4540" w:type="dxa"/>
            <w:vAlign w:val="bottom"/>
          </w:tcPr>
          <w:p>
            <w:pPr>
              <w:spacing w:after="0"/>
              <w:rPr>
                <w:sz w:val="14"/>
                <w:szCs w:val="14"/>
                <w:color w:val="auto"/>
              </w:rPr>
            </w:pP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Assuming Full Dilution:</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Income (Loss) Before Effect of Accounting Change</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$ 1.81</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$(0.32)</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1.24</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1.36</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Effect of Change in Accounting Principle</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r>
      <w:tr>
        <w:trPr>
          <w:trHeight w:val="166"/>
        </w:trPr>
        <w:tc>
          <w:tcPr>
            <w:tcW w:w="4540" w:type="dxa"/>
            <w:vAlign w:val="bottom"/>
          </w:tcPr>
          <w:p>
            <w:pPr>
              <w:spacing w:after="0"/>
              <w:rPr>
                <w:sz w:val="14"/>
                <w:szCs w:val="14"/>
                <w:color w:val="auto"/>
              </w:rPr>
            </w:pP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ind w:left="180"/>
              <w:spacing w:after="0"/>
              <w:rPr>
                <w:sz w:val="20"/>
                <w:szCs w:val="20"/>
                <w:color w:val="auto"/>
              </w:rPr>
            </w:pPr>
            <w:r>
              <w:rPr>
                <w:rFonts w:ascii="Courier New" w:cs="Courier New" w:eastAsia="Courier New" w:hAnsi="Courier New"/>
                <w:sz w:val="14"/>
                <w:szCs w:val="14"/>
                <w:color w:val="auto"/>
              </w:rPr>
              <w:t>Net Income (Loss)</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$ 1.81</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$(0.32)</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1.24</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1.33</w:t>
            </w:r>
          </w:p>
        </w:tc>
      </w:tr>
      <w:tr>
        <w:trPr>
          <w:trHeight w:val="166"/>
        </w:trPr>
        <w:tc>
          <w:tcPr>
            <w:tcW w:w="4540" w:type="dxa"/>
            <w:vAlign w:val="bottom"/>
          </w:tcPr>
          <w:p>
            <w:pPr>
              <w:spacing w:after="0"/>
              <w:rPr>
                <w:sz w:val="14"/>
                <w:szCs w:val="14"/>
                <w:color w:val="auto"/>
              </w:rPr>
            </w:pP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PERFORMANCE RATIOS:</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Return on Assets (b)</w:t>
            </w:r>
          </w:p>
        </w:tc>
        <w:tc>
          <w:tcPr>
            <w:tcW w:w="15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1.11%</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N/M</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0.81%</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0.87%</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Return on Common Stockholders' Equity (b)</w:t>
            </w:r>
          </w:p>
        </w:tc>
        <w:tc>
          <w:tcPr>
            <w:tcW w:w="15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17.98%</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N/M</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13.63%</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14.64%</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Return on Total Stockholders' Equity (b)</w:t>
            </w:r>
          </w:p>
        </w:tc>
        <w:tc>
          <w:tcPr>
            <w:tcW w:w="15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16.73%</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N/M</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12.88%</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13.74%</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Efficiency Ratio</w:t>
            </w:r>
          </w:p>
        </w:tc>
        <w:tc>
          <w:tcPr>
            <w:tcW w:w="15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67%</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331"/>
        </w:trPr>
        <w:tc>
          <w:tcPr>
            <w:tcW w:w="4540" w:type="dxa"/>
            <w:vAlign w:val="bottom"/>
          </w:tcPr>
          <w:p>
            <w:pPr>
              <w:spacing w:after="0"/>
              <w:rPr>
                <w:sz w:val="20"/>
                <w:szCs w:val="20"/>
                <w:color w:val="auto"/>
              </w:rPr>
            </w:pPr>
            <w:r>
              <w:rPr>
                <w:rFonts w:ascii="Courier New" w:cs="Courier New" w:eastAsia="Courier New" w:hAnsi="Courier New"/>
                <w:sz w:val="14"/>
                <w:szCs w:val="14"/>
                <w:color w:val="auto"/>
              </w:rPr>
              <w:t>CAPITAL RATIOS AT MARCH 31:</w:t>
            </w: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Common Stockholders' Equity to Assets</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6.0%</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5.3%</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5.3%</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Total Stockholders' Equity to Assets</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6.9%</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Tier 1 Leverage</w:t>
            </w:r>
          </w:p>
        </w:tc>
        <w:tc>
          <w:tcPr>
            <w:tcW w:w="15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6.7%</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Risk-Based Capital:</w:t>
            </w:r>
          </w:p>
        </w:tc>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540" w:type="dxa"/>
            <w:vAlign w:val="bottom"/>
          </w:tcPr>
          <w:p>
            <w:pPr>
              <w:ind w:left="360"/>
              <w:spacing w:after="0"/>
              <w:rPr>
                <w:sz w:val="20"/>
                <w:szCs w:val="20"/>
                <w:color w:val="auto"/>
              </w:rPr>
            </w:pPr>
            <w:r>
              <w:rPr>
                <w:rFonts w:ascii="Courier New" w:cs="Courier New" w:eastAsia="Courier New" w:hAnsi="Courier New"/>
                <w:sz w:val="14"/>
                <w:szCs w:val="14"/>
                <w:color w:val="auto"/>
              </w:rPr>
              <w:t>Tier 1 (4.0% required)</w:t>
            </w:r>
          </w:p>
        </w:tc>
        <w:tc>
          <w:tcPr>
            <w:tcW w:w="15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8.1*%</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6"/>
        </w:trPr>
        <w:tc>
          <w:tcPr>
            <w:tcW w:w="4540" w:type="dxa"/>
            <w:vAlign w:val="bottom"/>
          </w:tcPr>
          <w:p>
            <w:pPr>
              <w:ind w:left="360"/>
              <w:spacing w:after="0"/>
              <w:rPr>
                <w:sz w:val="20"/>
                <w:szCs w:val="20"/>
                <w:color w:val="auto"/>
              </w:rPr>
            </w:pPr>
            <w:r>
              <w:rPr>
                <w:rFonts w:ascii="Courier New" w:cs="Courier New" w:eastAsia="Courier New" w:hAnsi="Courier New"/>
                <w:sz w:val="14"/>
                <w:szCs w:val="14"/>
                <w:color w:val="auto"/>
              </w:rPr>
              <w:t>Total (8.0% required)</w:t>
            </w:r>
          </w:p>
        </w:tc>
        <w:tc>
          <w:tcPr>
            <w:tcW w:w="150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12.2*%</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12.1%</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12.1%</w:t>
            </w:r>
          </w:p>
        </w:tc>
      </w:tr>
    </w:tbl>
    <w:p>
      <w:pPr>
        <w:spacing w:after="0" w:line="335" w:lineRule="exact"/>
        <w:rPr>
          <w:sz w:val="20"/>
          <w:szCs w:val="20"/>
          <w:color w:val="auto"/>
        </w:rPr>
      </w:pPr>
    </w:p>
    <w:p>
      <w:pPr>
        <w:ind w:left="360" w:right="5000" w:hanging="352"/>
        <w:spacing w:after="0" w:line="250"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Costs include the Provision for Losses and Foreclosed Property Expense.</w:t>
      </w:r>
    </w:p>
    <w:p>
      <w:pPr>
        <w:ind w:left="360" w:hanging="352"/>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average balances and annualized net income amounts.</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interest related to Federal and State tax audit settlements.</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on sale of a building in Japan.</w:t>
      </w:r>
    </w:p>
    <w:p>
      <w:pPr>
        <w:spacing w:after="0" w:line="7"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incurred in combining the Corporation's foreign retirement plans.</w:t>
      </w:r>
    </w:p>
    <w:p>
      <w:pPr>
        <w:spacing w:after="0" w:line="7" w:lineRule="exact"/>
        <w:rPr>
          <w:rFonts w:ascii="Courier New" w:cs="Courier New" w:eastAsia="Courier New" w:hAnsi="Courier New"/>
          <w:sz w:val="14"/>
          <w:szCs w:val="14"/>
          <w:color w:val="auto"/>
        </w:rPr>
      </w:pPr>
    </w:p>
    <w:p>
      <w:pPr>
        <w:ind w:left="360" w:right="4740" w:hanging="352"/>
        <w:spacing w:after="0" w:line="250"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merger, a $1,650 million restructuring charge was recorded on March 31, 1996. The remaining $6 million was incurred and recognized under a recently issued accounting pronouncement.</w:t>
      </w:r>
    </w:p>
    <w:p>
      <w:pPr>
        <w:spacing w:after="0" w:line="1" w:lineRule="exact"/>
        <w:rPr>
          <w:rFonts w:ascii="Courier New" w:cs="Courier New" w:eastAsia="Courier New" w:hAnsi="Courier New"/>
          <w:sz w:val="14"/>
          <w:szCs w:val="14"/>
          <w:color w:val="auto"/>
        </w:rPr>
      </w:pPr>
    </w:p>
    <w:p>
      <w:pPr>
        <w:ind w:left="360" w:right="5080" w:hanging="352"/>
        <w:spacing w:after="0" w:line="250"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tax benefits related to the restructuring charge as well as aggregate tax benefits and refunds.</w:t>
      </w:r>
    </w:p>
    <w:p>
      <w:pPr>
        <w:ind w:left="360" w:hanging="352"/>
        <w:spacing w:after="0"/>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 on the sale of investment in Far East Bank and Trust Company.</w:t>
      </w:r>
    </w:p>
    <w:p>
      <w:pPr>
        <w:spacing w:after="0" w:line="173" w:lineRule="exact"/>
        <w:rPr>
          <w:sz w:val="20"/>
          <w:szCs w:val="20"/>
          <w:color w:val="auto"/>
        </w:rPr>
      </w:pPr>
    </w:p>
    <w:p>
      <w:pPr>
        <w:ind w:left="260" w:hanging="252"/>
        <w:spacing w:after="0"/>
        <w:tabs>
          <w:tab w:leader="none" w:pos="2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w:t>
      </w:r>
    </w:p>
    <w:p>
      <w:pPr>
        <w:sectPr>
          <w:pgSz w:w="11900" w:h="16838" w:orient="portrait"/>
          <w:cols w:equalWidth="0" w:num="1">
            <w:col w:w="11300"/>
          </w:cols>
          <w:pgMar w:left="220" w:top="285" w:right="379"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THE CHASE MANHATTAN CORPORATION AND SUBSIDIARIES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CONSOLIDATED BALANCE SHEET</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(IN MILLIONS)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MARCH 31,</w:t>
            </w:r>
          </w:p>
        </w:tc>
        <w:tc>
          <w:tcPr>
            <w:tcW w:w="142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MARCH 31,</w:t>
            </w:r>
          </w:p>
        </w:tc>
      </w:tr>
      <w:tr>
        <w:trPr>
          <w:trHeight w:val="166"/>
        </w:trPr>
        <w:tc>
          <w:tcPr>
            <w:tcW w:w="5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1996</w:t>
            </w:r>
          </w:p>
        </w:tc>
        <w:tc>
          <w:tcPr>
            <w:tcW w:w="680" w:type="dxa"/>
            <w:vAlign w:val="bottom"/>
          </w:tcPr>
          <w:p>
            <w:pPr>
              <w:spacing w:after="0"/>
              <w:rPr>
                <w:sz w:val="14"/>
                <w:szCs w:val="14"/>
                <w:color w:val="auto"/>
              </w:rPr>
            </w:pP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000" w:type="dxa"/>
            <w:vAlign w:val="bottom"/>
          </w:tcPr>
          <w:p>
            <w:pPr>
              <w:spacing w:after="0"/>
              <w:rPr>
                <w:sz w:val="14"/>
                <w:szCs w:val="14"/>
                <w:color w:val="auto"/>
              </w:rPr>
            </w:pPr>
          </w:p>
        </w:tc>
        <w:tc>
          <w:tcPr>
            <w:tcW w:w="16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10,846</w:t>
            </w:r>
          </w:p>
        </w:tc>
        <w:tc>
          <w:tcPr>
            <w:tcW w:w="6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12,243</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Deposits with Banks</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6,257</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9,239</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Federal Funds Sold and Securities</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Purchased Under Resale Agreements</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19,292</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22,391</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Trading Assets:</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Debt and Equity Instruments</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24,804</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18,047</w:t>
            </w: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Risk Management Instruments</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23,641</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43,380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Available-for-Sale</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38,646</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24,302</w:t>
            </w: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Held-to-Maturity</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4,398</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10,485</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Loans (Net of Unearned Income)</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149,331</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145,053</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Allowance for Credit Losses</w:t>
            </w:r>
          </w:p>
        </w:tc>
        <w:tc>
          <w:tcPr>
            <w:tcW w:w="300" w:type="dxa"/>
            <w:vAlign w:val="bottom"/>
          </w:tcPr>
          <w:p>
            <w:pPr>
              <w:spacing w:after="0"/>
              <w:rPr>
                <w:sz w:val="14"/>
                <w:szCs w:val="14"/>
                <w:color w:val="auto"/>
              </w:rPr>
            </w:pP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(3,683)</w:t>
            </w:r>
          </w:p>
        </w:tc>
        <w:tc>
          <w:tcPr>
            <w:tcW w:w="6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(3,874)</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Premises and Equipment</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3,801</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3,965</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Due from Customers on Acceptances</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2,053</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1,973</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Accrued Interest Receivable</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2,489</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2,426</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20,109</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16,280</w:t>
            </w:r>
          </w:p>
        </w:tc>
      </w:tr>
      <w:tr>
        <w:trPr>
          <w:trHeight w:val="166"/>
        </w:trPr>
        <w:tc>
          <w:tcPr>
            <w:tcW w:w="5000" w:type="dxa"/>
            <w:vAlign w:val="bottom"/>
          </w:tcPr>
          <w:p>
            <w:pPr>
              <w:spacing w:after="0"/>
              <w:rPr>
                <w:sz w:val="14"/>
                <w:szCs w:val="14"/>
                <w:color w:val="auto"/>
              </w:rPr>
            </w:pPr>
          </w:p>
        </w:tc>
        <w:tc>
          <w:tcPr>
            <w:tcW w:w="16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TOTAL ASSETS</w:t>
            </w:r>
          </w:p>
        </w:tc>
        <w:tc>
          <w:tcPr>
            <w:tcW w:w="16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$ 301,984</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$ 305,910</w:t>
            </w:r>
          </w:p>
        </w:tc>
      </w:tr>
      <w:tr>
        <w:trPr>
          <w:trHeight w:val="166"/>
        </w:trPr>
        <w:tc>
          <w:tcPr>
            <w:tcW w:w="5000" w:type="dxa"/>
            <w:vAlign w:val="bottom"/>
          </w:tcPr>
          <w:p>
            <w:pPr>
              <w:spacing w:after="0"/>
              <w:rPr>
                <w:sz w:val="14"/>
                <w:szCs w:val="14"/>
                <w:color w:val="auto"/>
              </w:rPr>
            </w:pPr>
          </w:p>
        </w:tc>
        <w:tc>
          <w:tcPr>
            <w:tcW w:w="16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Domestic:</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Noninterest-Bearing</w:t>
            </w:r>
          </w:p>
        </w:tc>
        <w:tc>
          <w:tcPr>
            <w:tcW w:w="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28,518</w:t>
            </w:r>
          </w:p>
        </w:tc>
        <w:tc>
          <w:tcPr>
            <w:tcW w:w="68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30,056</w:t>
            </w: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Interest-Bearing</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68,085</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66,879</w:t>
            </w: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Foreign:</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Noninterest-Bearing</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3,898</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2,841</w:t>
            </w: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Interest-Bearing</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68,433</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63,942</w:t>
            </w:r>
          </w:p>
        </w:tc>
      </w:tr>
      <w:tr>
        <w:trPr>
          <w:trHeight w:val="166"/>
        </w:trPr>
        <w:tc>
          <w:tcPr>
            <w:tcW w:w="5000" w:type="dxa"/>
            <w:vAlign w:val="bottom"/>
          </w:tcPr>
          <w:p>
            <w:pPr>
              <w:spacing w:after="0"/>
              <w:rPr>
                <w:sz w:val="14"/>
                <w:szCs w:val="14"/>
                <w:color w:val="auto"/>
              </w:rPr>
            </w:pPr>
          </w:p>
        </w:tc>
        <w:tc>
          <w:tcPr>
            <w:tcW w:w="16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Total Deposits</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168,934</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163,718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Federal Funds Purchased and Securities</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Sold Under Repurchase Agreements</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37,369</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34,850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Other Borrowed Funds</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12,746</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12,325</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Acceptances Outstanding</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2,060</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1,979</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Trading Liabilities</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33,025</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49,709</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Accounts Payable, Accrued Expenses and Other Liabilities</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15,106</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11,212</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12,977</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13,007</w:t>
            </w:r>
          </w:p>
        </w:tc>
      </w:tr>
      <w:tr>
        <w:trPr>
          <w:trHeight w:val="166"/>
        </w:trPr>
        <w:tc>
          <w:tcPr>
            <w:tcW w:w="5000" w:type="dxa"/>
            <w:vAlign w:val="bottom"/>
          </w:tcPr>
          <w:p>
            <w:pPr>
              <w:spacing w:after="0"/>
              <w:rPr>
                <w:sz w:val="14"/>
                <w:szCs w:val="14"/>
                <w:color w:val="auto"/>
              </w:rPr>
            </w:pPr>
          </w:p>
        </w:tc>
        <w:tc>
          <w:tcPr>
            <w:tcW w:w="16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TOTAL LIABILITIES</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282,217</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286,800</w:t>
            </w:r>
          </w:p>
        </w:tc>
      </w:tr>
      <w:tr>
        <w:trPr>
          <w:trHeight w:val="166"/>
        </w:trPr>
        <w:tc>
          <w:tcPr>
            <w:tcW w:w="5000" w:type="dxa"/>
            <w:vAlign w:val="bottom"/>
          </w:tcPr>
          <w:p>
            <w:pPr>
              <w:spacing w:after="0"/>
              <w:rPr>
                <w:sz w:val="14"/>
                <w:szCs w:val="14"/>
                <w:color w:val="auto"/>
              </w:rPr>
            </w:pPr>
          </w:p>
        </w:tc>
        <w:tc>
          <w:tcPr>
            <w:tcW w:w="16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2,650</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Common Stock</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438</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Capital Surplus</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10,558</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10,716</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6,969</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6,456</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Unrealized Loss on Securities Available-for-Sale,</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Net of Taxes</w:t>
            </w:r>
          </w:p>
        </w:tc>
        <w:tc>
          <w:tcPr>
            <w:tcW w:w="300" w:type="dxa"/>
            <w:vAlign w:val="bottom"/>
          </w:tcPr>
          <w:p>
            <w:pPr>
              <w:spacing w:after="0"/>
              <w:rPr>
                <w:sz w:val="14"/>
                <w:szCs w:val="14"/>
                <w:color w:val="auto"/>
              </w:rPr>
            </w:pP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(610)</w:t>
            </w:r>
          </w:p>
        </w:tc>
        <w:tc>
          <w:tcPr>
            <w:tcW w:w="6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(510)</w:t>
            </w:r>
          </w:p>
        </w:tc>
      </w:tr>
      <w:tr>
        <w:trPr>
          <w:trHeight w:val="166"/>
        </w:trPr>
        <w:tc>
          <w:tcPr>
            <w:tcW w:w="5000" w:type="dxa"/>
            <w:vAlign w:val="bottom"/>
          </w:tcPr>
          <w:p>
            <w:pPr>
              <w:spacing w:after="0"/>
              <w:rPr>
                <w:sz w:val="20"/>
                <w:szCs w:val="20"/>
                <w:color w:val="auto"/>
              </w:rPr>
            </w:pPr>
            <w:r>
              <w:rPr>
                <w:rFonts w:ascii="Courier New" w:cs="Courier New" w:eastAsia="Courier New" w:hAnsi="Courier New"/>
                <w:sz w:val="14"/>
                <w:szCs w:val="14"/>
                <w:color w:val="auto"/>
              </w:rPr>
              <w:t>Treasury Stock, at Cost</w:t>
            </w:r>
          </w:p>
        </w:tc>
        <w:tc>
          <w:tcPr>
            <w:tcW w:w="300" w:type="dxa"/>
            <w:vAlign w:val="bottom"/>
          </w:tcPr>
          <w:p>
            <w:pPr>
              <w:spacing w:after="0"/>
              <w:rPr>
                <w:sz w:val="14"/>
                <w:szCs w:val="14"/>
                <w:color w:val="auto"/>
              </w:rPr>
            </w:pP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(238)</w:t>
            </w:r>
          </w:p>
        </w:tc>
        <w:tc>
          <w:tcPr>
            <w:tcW w:w="6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(850)</w:t>
            </w:r>
          </w:p>
        </w:tc>
      </w:tr>
      <w:tr>
        <w:trPr>
          <w:trHeight w:val="166"/>
        </w:trPr>
        <w:tc>
          <w:tcPr>
            <w:tcW w:w="5000" w:type="dxa"/>
            <w:vAlign w:val="bottom"/>
          </w:tcPr>
          <w:p>
            <w:pPr>
              <w:spacing w:after="0"/>
              <w:rPr>
                <w:sz w:val="14"/>
                <w:szCs w:val="14"/>
                <w:color w:val="auto"/>
              </w:rPr>
            </w:pPr>
          </w:p>
        </w:tc>
        <w:tc>
          <w:tcPr>
            <w:tcW w:w="16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TOTAL STOCKHOLDERS' EQUITY</w:t>
            </w:r>
          </w:p>
        </w:tc>
        <w:tc>
          <w:tcPr>
            <w:tcW w:w="300" w:type="dxa"/>
            <w:vAlign w:val="bottom"/>
          </w:tcPr>
          <w:p>
            <w:pPr>
              <w:spacing w:after="0"/>
              <w:rPr>
                <w:sz w:val="14"/>
                <w:szCs w:val="14"/>
                <w:color w:val="auto"/>
              </w:rPr>
            </w:pPr>
          </w:p>
        </w:tc>
        <w:tc>
          <w:tcPr>
            <w:tcW w:w="1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19,767</w:t>
            </w:r>
          </w:p>
        </w:tc>
        <w:tc>
          <w:tcPr>
            <w:tcW w:w="6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19,110</w:t>
            </w:r>
          </w:p>
        </w:tc>
      </w:tr>
      <w:tr>
        <w:trPr>
          <w:trHeight w:val="166"/>
        </w:trPr>
        <w:tc>
          <w:tcPr>
            <w:tcW w:w="5000" w:type="dxa"/>
            <w:vAlign w:val="bottom"/>
          </w:tcPr>
          <w:p>
            <w:pPr>
              <w:spacing w:after="0"/>
              <w:rPr>
                <w:sz w:val="14"/>
                <w:szCs w:val="14"/>
                <w:color w:val="auto"/>
              </w:rPr>
            </w:pPr>
          </w:p>
        </w:tc>
        <w:tc>
          <w:tcPr>
            <w:tcW w:w="16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tcPr>
          <w:p>
            <w:pPr>
              <w:ind w:left="36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6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$ 301,984</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$ 305,910</w:t>
            </w:r>
          </w:p>
        </w:tc>
      </w:tr>
      <w:tr>
        <w:trPr>
          <w:trHeight w:val="166"/>
        </w:trPr>
        <w:tc>
          <w:tcPr>
            <w:tcW w:w="5000" w:type="dxa"/>
            <w:vAlign w:val="bottom"/>
          </w:tcPr>
          <w:p>
            <w:pPr>
              <w:spacing w:after="0"/>
              <w:rPr>
                <w:sz w:val="14"/>
                <w:szCs w:val="14"/>
                <w:color w:val="auto"/>
              </w:rPr>
            </w:pPr>
          </w:p>
        </w:tc>
        <w:tc>
          <w:tcPr>
            <w:tcW w:w="160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285"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CHASE MANHATTAN CORPORATION and Subsidiaries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CONSOLIDATED STATEMENT OF CHANGES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STOCKHOLDERS' EQUITY</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(in millions)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MARCH 31,</w:t>
            </w:r>
          </w:p>
        </w:tc>
        <w:tc>
          <w:tcPr>
            <w:tcW w:w="640" w:type="dxa"/>
            <w:vAlign w:val="bottom"/>
          </w:tcPr>
          <w:p>
            <w:pPr>
              <w:spacing w:after="0"/>
              <w:rPr>
                <w:sz w:val="14"/>
                <w:szCs w:val="14"/>
                <w:color w:val="auto"/>
              </w:rPr>
            </w:pPr>
          </w:p>
        </w:tc>
      </w:tr>
      <w:tr>
        <w:trPr>
          <w:trHeight w:val="166"/>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58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center"/>
              <w:ind w:right="468"/>
              <w:spacing w:after="0"/>
              <w:rPr>
                <w:sz w:val="20"/>
                <w:szCs w:val="20"/>
                <w:color w:val="auto"/>
              </w:rPr>
            </w:pPr>
            <w:r>
              <w:rPr>
                <w:rFonts w:ascii="Courier New" w:cs="Courier New" w:eastAsia="Courier New" w:hAnsi="Courier New"/>
                <w:sz w:val="14"/>
                <w:szCs w:val="14"/>
                <w:color w:val="auto"/>
              </w:rPr>
              <w:t>1996</w:t>
            </w:r>
          </w:p>
        </w:tc>
        <w:tc>
          <w:tcPr>
            <w:tcW w:w="30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PREFERRED STOCK:</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2,650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2,850</w:t>
            </w:r>
          </w:p>
        </w:tc>
      </w:tr>
      <w:tr>
        <w:trPr>
          <w:trHeight w:val="166"/>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center"/>
              <w:ind w:right="44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End of Period</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2,650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2,850</w:t>
            </w:r>
          </w:p>
        </w:tc>
      </w:tr>
      <w:tr>
        <w:trPr>
          <w:trHeight w:val="166"/>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COMMON STOCK:</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447</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Retirement</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of Treasury Stock</w:t>
            </w:r>
          </w:p>
        </w:tc>
        <w:tc>
          <w:tcPr>
            <w:tcW w:w="60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(20)(a)</w:t>
            </w:r>
          </w:p>
        </w:tc>
        <w:tc>
          <w:tcPr>
            <w:tcW w:w="30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Issuance of Common Stock</w:t>
            </w:r>
          </w:p>
        </w:tc>
        <w:tc>
          <w:tcPr>
            <w:tcW w:w="600" w:type="dxa"/>
            <w:vAlign w:val="bottom"/>
          </w:tcPr>
          <w:p>
            <w:pPr>
              <w:spacing w:after="0"/>
              <w:rPr>
                <w:sz w:val="14"/>
                <w:szCs w:val="14"/>
                <w:color w:val="auto"/>
              </w:rPr>
            </w:pPr>
          </w:p>
        </w:tc>
        <w:tc>
          <w:tcPr>
            <w:tcW w:w="1040" w:type="dxa"/>
            <w:vAlign w:val="bottom"/>
          </w:tcPr>
          <w:p>
            <w:pPr>
              <w:jc w:val="center"/>
              <w:ind w:right="44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6"/>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End of Period</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w:t>
            </w:r>
          </w:p>
        </w:tc>
      </w:tr>
      <w:tr>
        <w:trPr>
          <w:trHeight w:val="166"/>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CAPITAL SURPLUS:</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$ 11,075</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$ 10,671</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Retirement</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of Treasury Stock</w:t>
            </w:r>
          </w:p>
        </w:tc>
        <w:tc>
          <w:tcPr>
            <w:tcW w:w="60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(433)(a)</w:t>
            </w:r>
          </w:p>
        </w:tc>
        <w:tc>
          <w:tcPr>
            <w:tcW w:w="30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Issuance of Common Stock</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Restricted</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Stock Granted, Net of Amortization</w:t>
            </w:r>
          </w:p>
        </w:tc>
        <w:tc>
          <w:tcPr>
            <w:tcW w:w="6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w:t>
            </w:r>
          </w:p>
        </w:tc>
        <w:tc>
          <w:tcPr>
            <w:tcW w:w="3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166"/>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End of Period</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$ 10,558</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$ 10,716</w:t>
            </w:r>
          </w:p>
        </w:tc>
      </w:tr>
      <w:tr>
        <w:trPr>
          <w:trHeight w:val="166"/>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RETAINED EARNINGS:</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7,997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6,045</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(89)</w:t>
            </w:r>
          </w:p>
        </w:tc>
        <w:tc>
          <w:tcPr>
            <w:tcW w:w="3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639</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Retirement</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of Treasury Stock</w:t>
            </w:r>
          </w:p>
        </w:tc>
        <w:tc>
          <w:tcPr>
            <w:tcW w:w="60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(557)(a)</w:t>
            </w:r>
          </w:p>
        </w:tc>
        <w:tc>
          <w:tcPr>
            <w:tcW w:w="30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Cash Dividends Declared:</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Preferred Stock</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4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Common Stock</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(328)</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Accumulated Translation Adjustment</w:t>
            </w:r>
          </w:p>
        </w:tc>
        <w:tc>
          <w:tcPr>
            <w:tcW w:w="600" w:type="dxa"/>
            <w:vAlign w:val="bottom"/>
          </w:tcPr>
          <w:p>
            <w:pPr>
              <w:spacing w:after="0"/>
              <w:rPr>
                <w:sz w:val="14"/>
                <w:szCs w:val="14"/>
                <w:color w:val="auto"/>
              </w:rPr>
            </w:pPr>
          </w:p>
        </w:tc>
        <w:tc>
          <w:tcPr>
            <w:tcW w:w="1040" w:type="dxa"/>
            <w:vAlign w:val="bottom"/>
          </w:tcPr>
          <w:p>
            <w:pPr>
              <w:jc w:val="center"/>
              <w:ind w:right="448"/>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End of Period</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6,969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6,456</w:t>
            </w:r>
          </w:p>
        </w:tc>
      </w:tr>
      <w:tr>
        <w:trPr>
          <w:trHeight w:val="166"/>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NET UNREALIZED LOSS ON SECURITIES</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4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AVAILABLE-FOR-SALE:</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(473)</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Net Change</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in Fair Value of Securities</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Available-for-Sale,</w:t>
            </w: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4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of Taxes</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(373)</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End of Period</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(510)</w:t>
            </w:r>
          </w:p>
        </w:tc>
      </w:tr>
      <w:tr>
        <w:trPr>
          <w:trHeight w:val="166"/>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IN TREASURY, AT COST:</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16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 (1,107)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(667)</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Retirement</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of Treasury Stock</w:t>
            </w:r>
          </w:p>
        </w:tc>
        <w:tc>
          <w:tcPr>
            <w:tcW w:w="600" w:type="dxa"/>
            <w:vAlign w:val="bottom"/>
          </w:tcPr>
          <w:p>
            <w:pPr>
              <w:spacing w:after="0"/>
              <w:rPr>
                <w:sz w:val="14"/>
                <w:szCs w:val="14"/>
                <w:color w:val="auto"/>
              </w:rPr>
            </w:pP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1,010(a)</w:t>
            </w:r>
          </w:p>
        </w:tc>
        <w:tc>
          <w:tcPr>
            <w:tcW w:w="300" w:type="dxa"/>
            <w:vAlign w:val="bottom"/>
          </w:tcPr>
          <w:p>
            <w:pPr>
              <w:spacing w:after="0"/>
              <w:rPr>
                <w:sz w:val="14"/>
                <w:szCs w:val="14"/>
                <w:color w:val="auto"/>
              </w:rPr>
            </w:pP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Purchase of Treasury Stock</w:t>
            </w:r>
          </w:p>
        </w:tc>
        <w:tc>
          <w:tcPr>
            <w:tcW w:w="600" w:type="dxa"/>
            <w:vAlign w:val="bottom"/>
          </w:tcPr>
          <w:p>
            <w:pPr>
              <w:spacing w:after="0"/>
              <w:rPr>
                <w:sz w:val="14"/>
                <w:szCs w:val="14"/>
                <w:color w:val="auto"/>
              </w:rPr>
            </w:pP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(708)</w:t>
            </w: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(189)</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Reissuance</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of Treasury Stock</w:t>
            </w:r>
          </w:p>
        </w:tc>
        <w:tc>
          <w:tcPr>
            <w:tcW w:w="60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567</w:t>
            </w:r>
          </w:p>
        </w:tc>
        <w:tc>
          <w:tcPr>
            <w:tcW w:w="30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3400" w:type="dxa"/>
            <w:vAlign w:val="bottom"/>
          </w:tcPr>
          <w:p>
            <w:pPr>
              <w:ind w:left="40"/>
              <w:spacing w:after="0"/>
              <w:rPr>
                <w:sz w:val="20"/>
                <w:szCs w:val="20"/>
                <w:color w:val="auto"/>
              </w:rPr>
            </w:pPr>
            <w:r>
              <w:rPr>
                <w:rFonts w:ascii="Courier New" w:cs="Courier New" w:eastAsia="Courier New" w:hAnsi="Courier New"/>
                <w:sz w:val="14"/>
                <w:szCs w:val="14"/>
                <w:color w:val="auto"/>
              </w:rPr>
              <w:t>End of Period</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(850)</w:t>
            </w:r>
          </w:p>
        </w:tc>
      </w:tr>
      <w:tr>
        <w:trPr>
          <w:trHeight w:val="166"/>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TOTAL STOCKHOLDERS' EQUITY</w:t>
            </w: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$ 19,767</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$ 19,110</w:t>
            </w:r>
          </w:p>
        </w:tc>
      </w:tr>
      <w:tr>
        <w:trPr>
          <w:trHeight w:val="166"/>
        </w:trPr>
        <w:tc>
          <w:tcPr>
            <w:tcW w:w="9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64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339" w:firstLine="8"/>
        <w:spacing w:after="0" w:line="255" w:lineRule="auto"/>
        <w:tabs>
          <w:tab w:leader="none" w:pos="344"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cancellation and retirement of all remaining shares of Chase common stock held in Chase's Treasury.</w:t>
      </w:r>
    </w:p>
    <w:p>
      <w:pPr>
        <w:sectPr>
          <w:pgSz w:w="11900" w:h="16838" w:orient="portrait"/>
          <w:cols w:equalWidth="0" w:num="1">
            <w:col w:w="10239"/>
          </w:cols>
          <w:pgMar w:left="220" w:top="285"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THE CHASE MANHATTAN CORPORATION and Subsidiaries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CREDIT RELATED INFORMATION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(in millions, except ratios)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210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LOANS OUTSTANDING</w:t>
            </w:r>
          </w:p>
        </w:tc>
        <w:tc>
          <w:tcPr>
            <w:tcW w:w="13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NONPERFORMING</w:t>
            </w:r>
          </w:p>
        </w:tc>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rPr>
              <w:t>ASSETS</w:t>
            </w:r>
          </w:p>
        </w:tc>
      </w:tr>
      <w:tr>
        <w:trPr>
          <w:trHeight w:val="166"/>
        </w:trPr>
        <w:tc>
          <w:tcPr>
            <w:tcW w:w="3500" w:type="dxa"/>
            <w:vAlign w:val="bottom"/>
          </w:tcPr>
          <w:p>
            <w:pPr>
              <w:spacing w:after="0"/>
              <w:rPr>
                <w:sz w:val="14"/>
                <w:szCs w:val="14"/>
                <w:color w:val="auto"/>
              </w:rPr>
            </w:pPr>
          </w:p>
        </w:tc>
        <w:tc>
          <w:tcPr>
            <w:tcW w:w="210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2240" w:type="dxa"/>
            <w:vAlign w:val="bottom"/>
            <w:gridSpan w:val="4"/>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14"/>
                <w:szCs w:val="14"/>
                <w:color w:val="auto"/>
              </w:rPr>
            </w:pPr>
          </w:p>
        </w:tc>
        <w:tc>
          <w:tcPr>
            <w:tcW w:w="210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MARCH 31,</w:t>
            </w:r>
          </w:p>
        </w:tc>
        <w:tc>
          <w:tcPr>
            <w:tcW w:w="2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MARCH 31,</w:t>
            </w:r>
          </w:p>
        </w:tc>
        <w:tc>
          <w:tcPr>
            <w:tcW w:w="76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c>
          <w:tcPr>
            <w:tcW w:w="260" w:type="dxa"/>
            <w:vAlign w:val="bottom"/>
          </w:tcPr>
          <w:p>
            <w:pPr>
              <w:spacing w:after="0"/>
              <w:rPr>
                <w:sz w:val="14"/>
                <w:szCs w:val="14"/>
                <w:color w:val="auto"/>
              </w:rPr>
            </w:pPr>
          </w:p>
        </w:tc>
        <w:tc>
          <w:tcPr>
            <w:tcW w:w="11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1996</w:t>
            </w:r>
          </w:p>
        </w:tc>
        <w:tc>
          <w:tcPr>
            <w:tcW w:w="100" w:type="dxa"/>
            <w:vAlign w:val="bottom"/>
          </w:tcPr>
          <w:p>
            <w:pPr>
              <w:spacing w:after="0"/>
              <w:rPr>
                <w:sz w:val="14"/>
                <w:szCs w:val="14"/>
                <w:color w:val="auto"/>
              </w:rPr>
            </w:pPr>
          </w:p>
        </w:tc>
        <w:tc>
          <w:tcPr>
            <w:tcW w:w="7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5"/>
              </w:rPr>
              <w:t>1995</w:t>
            </w:r>
          </w:p>
        </w:tc>
      </w:tr>
      <w:tr>
        <w:trPr>
          <w:trHeight w:val="166"/>
        </w:trPr>
        <w:tc>
          <w:tcPr>
            <w:tcW w:w="35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3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Domestic Commercial:</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500" w:type="dxa"/>
            <w:vAlign w:val="bottom"/>
          </w:tcPr>
          <w:p>
            <w:pPr>
              <w:ind w:left="700"/>
              <w:spacing w:after="0"/>
              <w:rPr>
                <w:sz w:val="20"/>
                <w:szCs w:val="20"/>
                <w:color w:val="auto"/>
              </w:rPr>
            </w:pPr>
            <w:r>
              <w:rPr>
                <w:rFonts w:ascii="Courier New" w:cs="Courier New" w:eastAsia="Courier New" w:hAnsi="Courier New"/>
                <w:sz w:val="14"/>
                <w:szCs w:val="14"/>
                <w:color w:val="auto"/>
              </w:rPr>
              <w:t>Commercial Real Estate</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6,514</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  7,847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442</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635</w:t>
            </w:r>
          </w:p>
        </w:tc>
      </w:tr>
      <w:tr>
        <w:trPr>
          <w:trHeight w:val="166"/>
        </w:trPr>
        <w:tc>
          <w:tcPr>
            <w:tcW w:w="3500" w:type="dxa"/>
            <w:vAlign w:val="bottom"/>
          </w:tcPr>
          <w:p>
            <w:pPr>
              <w:ind w:left="700"/>
              <w:spacing w:after="0"/>
              <w:rPr>
                <w:sz w:val="20"/>
                <w:szCs w:val="20"/>
                <w:color w:val="auto"/>
              </w:rPr>
            </w:pPr>
            <w:r>
              <w:rPr>
                <w:rFonts w:ascii="Courier New" w:cs="Courier New" w:eastAsia="Courier New" w:hAnsi="Courier New"/>
                <w:sz w:val="14"/>
                <w:szCs w:val="14"/>
                <w:color w:val="auto"/>
              </w:rPr>
              <w:t>Other Commercial</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38,101</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36,659</w:t>
            </w:r>
          </w:p>
        </w:tc>
        <w:tc>
          <w:tcPr>
            <w:tcW w:w="26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476</w:t>
            </w:r>
          </w:p>
        </w:tc>
        <w:tc>
          <w:tcPr>
            <w:tcW w:w="1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524</w:t>
            </w:r>
          </w:p>
        </w:tc>
      </w:tr>
      <w:tr>
        <w:trPr>
          <w:trHeight w:val="166"/>
        </w:trPr>
        <w:tc>
          <w:tcPr>
            <w:tcW w:w="35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3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500" w:type="dxa"/>
            <w:vAlign w:val="bottom"/>
          </w:tcPr>
          <w:p>
            <w:pPr>
              <w:ind w:left="1040"/>
              <w:spacing w:after="0"/>
              <w:rPr>
                <w:sz w:val="20"/>
                <w:szCs w:val="20"/>
                <w:color w:val="auto"/>
              </w:rPr>
            </w:pPr>
            <w:r>
              <w:rPr>
                <w:rFonts w:ascii="Courier New" w:cs="Courier New" w:eastAsia="Courier New" w:hAnsi="Courier New"/>
                <w:sz w:val="14"/>
                <w:szCs w:val="14"/>
                <w:color w:val="auto"/>
              </w:rPr>
              <w:t>Total Commercial Loans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44,615</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44,506</w:t>
            </w:r>
          </w:p>
        </w:tc>
        <w:tc>
          <w:tcPr>
            <w:tcW w:w="26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918</w:t>
            </w:r>
          </w:p>
        </w:tc>
        <w:tc>
          <w:tcPr>
            <w:tcW w:w="1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1,159</w:t>
            </w:r>
          </w:p>
        </w:tc>
      </w:tr>
      <w:tr>
        <w:trPr>
          <w:trHeight w:val="166"/>
        </w:trPr>
        <w:tc>
          <w:tcPr>
            <w:tcW w:w="35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3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Domestic Consumer:</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500" w:type="dxa"/>
            <w:vAlign w:val="bottom"/>
          </w:tcPr>
          <w:p>
            <w:pPr>
              <w:ind w:left="700"/>
              <w:spacing w:after="0"/>
              <w:rPr>
                <w:sz w:val="20"/>
                <w:szCs w:val="20"/>
                <w:color w:val="auto"/>
              </w:rPr>
            </w:pPr>
            <w:r>
              <w:rPr>
                <w:rFonts w:ascii="Courier New" w:cs="Courier New" w:eastAsia="Courier New" w:hAnsi="Courier New"/>
                <w:sz w:val="14"/>
                <w:szCs w:val="14"/>
                <w:color w:val="auto"/>
              </w:rPr>
              <w:t>Residential Mortgage</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35,908</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29,449</w:t>
            </w:r>
          </w:p>
        </w:tc>
        <w:tc>
          <w:tcPr>
            <w:tcW w:w="26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246</w:t>
            </w:r>
          </w:p>
        </w:tc>
        <w:tc>
          <w:tcPr>
            <w:tcW w:w="1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211</w:t>
            </w:r>
          </w:p>
        </w:tc>
      </w:tr>
      <w:tr>
        <w:trPr>
          <w:trHeight w:val="166"/>
        </w:trPr>
        <w:tc>
          <w:tcPr>
            <w:tcW w:w="3500" w:type="dxa"/>
            <w:vAlign w:val="bottom"/>
          </w:tcPr>
          <w:p>
            <w:pPr>
              <w:ind w:left="700"/>
              <w:spacing w:after="0"/>
              <w:rPr>
                <w:sz w:val="20"/>
                <w:szCs w:val="20"/>
                <w:color w:val="auto"/>
              </w:rPr>
            </w:pPr>
            <w:r>
              <w:rPr>
                <w:rFonts w:ascii="Courier New" w:cs="Courier New" w:eastAsia="Courier New" w:hAnsi="Courier New"/>
                <w:sz w:val="14"/>
                <w:szCs w:val="14"/>
                <w:color w:val="auto"/>
              </w:rPr>
              <w:t>Credit Card</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13,704</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16,145</w:t>
            </w:r>
          </w:p>
        </w:tc>
        <w:tc>
          <w:tcPr>
            <w:tcW w:w="260" w:type="dxa"/>
            <w:vAlign w:val="bottom"/>
          </w:tcPr>
          <w:p>
            <w:pPr>
              <w:spacing w:after="0"/>
              <w:rPr>
                <w:sz w:val="14"/>
                <w:szCs w:val="14"/>
                <w:color w:val="auto"/>
              </w:rPr>
            </w:pPr>
          </w:p>
        </w:tc>
        <w:tc>
          <w:tcPr>
            <w:tcW w:w="1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ind w:left="700"/>
              <w:spacing w:after="0"/>
              <w:rPr>
                <w:sz w:val="20"/>
                <w:szCs w:val="20"/>
                <w:color w:val="auto"/>
              </w:rPr>
            </w:pPr>
            <w:r>
              <w:rPr>
                <w:rFonts w:ascii="Courier New" w:cs="Courier New" w:eastAsia="Courier New" w:hAnsi="Courier New"/>
                <w:sz w:val="14"/>
                <w:szCs w:val="14"/>
                <w:color w:val="auto"/>
              </w:rPr>
              <w:t>Other Consumer</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19,449</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18,695</w:t>
            </w:r>
          </w:p>
        </w:tc>
        <w:tc>
          <w:tcPr>
            <w:tcW w:w="26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37</w:t>
            </w:r>
          </w:p>
        </w:tc>
        <w:tc>
          <w:tcPr>
            <w:tcW w:w="1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w:t>
            </w:r>
          </w:p>
        </w:tc>
      </w:tr>
      <w:tr>
        <w:trPr>
          <w:trHeight w:val="166"/>
        </w:trPr>
        <w:tc>
          <w:tcPr>
            <w:tcW w:w="35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3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500" w:type="dxa"/>
            <w:vAlign w:val="bottom"/>
          </w:tcPr>
          <w:p>
            <w:pPr>
              <w:ind w:left="1040"/>
              <w:spacing w:after="0"/>
              <w:rPr>
                <w:sz w:val="20"/>
                <w:szCs w:val="20"/>
                <w:color w:val="auto"/>
              </w:rPr>
            </w:pPr>
            <w:r>
              <w:rPr>
                <w:rFonts w:ascii="Courier New" w:cs="Courier New" w:eastAsia="Courier New" w:hAnsi="Courier New"/>
                <w:sz w:val="14"/>
                <w:szCs w:val="14"/>
                <w:color w:val="auto"/>
              </w:rPr>
              <w:t>Total Consumer Loans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69,061</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64,289</w:t>
            </w:r>
          </w:p>
        </w:tc>
        <w:tc>
          <w:tcPr>
            <w:tcW w:w="26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283</w:t>
            </w:r>
          </w:p>
        </w:tc>
        <w:tc>
          <w:tcPr>
            <w:tcW w:w="1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256</w:t>
            </w:r>
          </w:p>
        </w:tc>
      </w:tr>
      <w:tr>
        <w:trPr>
          <w:trHeight w:val="166"/>
        </w:trPr>
        <w:tc>
          <w:tcPr>
            <w:tcW w:w="35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3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Total Domestic Loans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113,676</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108,795</w:t>
            </w:r>
          </w:p>
        </w:tc>
        <w:tc>
          <w:tcPr>
            <w:tcW w:w="26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1,201</w:t>
            </w:r>
          </w:p>
        </w:tc>
        <w:tc>
          <w:tcPr>
            <w:tcW w:w="1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1,415</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35,655</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36,258</w:t>
            </w:r>
          </w:p>
        </w:tc>
        <w:tc>
          <w:tcPr>
            <w:tcW w:w="26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336</w:t>
            </w:r>
          </w:p>
        </w:tc>
        <w:tc>
          <w:tcPr>
            <w:tcW w:w="1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487</w:t>
            </w:r>
          </w:p>
        </w:tc>
      </w:tr>
      <w:tr>
        <w:trPr>
          <w:trHeight w:val="166"/>
        </w:trPr>
        <w:tc>
          <w:tcPr>
            <w:tcW w:w="35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13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Total Loans</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$149,331</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$145,053</w:t>
            </w:r>
          </w:p>
        </w:tc>
        <w:tc>
          <w:tcPr>
            <w:tcW w:w="26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1,537</w:t>
            </w:r>
          </w:p>
        </w:tc>
        <w:tc>
          <w:tcPr>
            <w:tcW w:w="1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1,902</w:t>
            </w:r>
          </w:p>
        </w:tc>
      </w:tr>
      <w:tr>
        <w:trPr>
          <w:trHeight w:val="166"/>
        </w:trPr>
        <w:tc>
          <w:tcPr>
            <w:tcW w:w="350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8"/>
              </w:rPr>
              <w:t>========</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Assets Acquired as Loan Satisfactions</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149</w:t>
            </w:r>
          </w:p>
        </w:tc>
        <w:tc>
          <w:tcPr>
            <w:tcW w:w="1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w:t>
            </w:r>
          </w:p>
        </w:tc>
      </w:tr>
      <w:tr>
        <w:trPr>
          <w:trHeight w:val="166"/>
        </w:trPr>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Total Nonperforming Assets</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$1,686</w:t>
            </w: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$2,057</w:t>
            </w:r>
          </w:p>
        </w:tc>
      </w:tr>
      <w:tr>
        <w:trPr>
          <w:trHeight w:val="166"/>
        </w:trPr>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ASSETS HELD FOR ACCELERATED DISPOSITION</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212</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402</w:t>
            </w:r>
          </w:p>
        </w:tc>
      </w:tr>
      <w:tr>
        <w:trPr>
          <w:trHeight w:val="166"/>
        </w:trPr>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3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THREE MONTHS</w:t>
            </w:r>
          </w:p>
        </w:tc>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MARCH 31,</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40" w:type="dxa"/>
            <w:vAlign w:val="bottom"/>
            <w:gridSpan w:val="4"/>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1996</w:t>
            </w:r>
          </w:p>
        </w:tc>
        <w:tc>
          <w:tcPr>
            <w:tcW w:w="100" w:type="dxa"/>
            <w:vAlign w:val="bottom"/>
          </w:tcPr>
          <w:p>
            <w:pPr>
              <w:spacing w:after="0"/>
              <w:rPr>
                <w:sz w:val="14"/>
                <w:szCs w:val="14"/>
                <w:color w:val="auto"/>
              </w:rPr>
            </w:pPr>
          </w:p>
        </w:tc>
        <w:tc>
          <w:tcPr>
            <w:tcW w:w="760" w:type="dxa"/>
            <w:vAlign w:val="bottom"/>
          </w:tcPr>
          <w:p>
            <w:pPr>
              <w:jc w:val="right"/>
              <w:ind w:right="348"/>
              <w:spacing w:after="0"/>
              <w:rPr>
                <w:sz w:val="20"/>
                <w:szCs w:val="20"/>
                <w:color w:val="auto"/>
              </w:rPr>
            </w:pPr>
            <w:r>
              <w:rPr>
                <w:rFonts w:ascii="Courier New" w:cs="Courier New" w:eastAsia="Courier New" w:hAnsi="Courier New"/>
                <w:sz w:val="14"/>
                <w:szCs w:val="14"/>
                <w:color w:val="auto"/>
                <w:w w:val="95"/>
              </w:rPr>
              <w:t>1995</w:t>
            </w:r>
          </w:p>
        </w:tc>
      </w:tr>
      <w:tr>
        <w:trPr>
          <w:trHeight w:val="166"/>
        </w:trPr>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Domestic Commercial:</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500" w:type="dxa"/>
            <w:vAlign w:val="bottom"/>
          </w:tcPr>
          <w:p>
            <w:pPr>
              <w:ind w:left="700"/>
              <w:spacing w:after="0"/>
              <w:rPr>
                <w:sz w:val="20"/>
                <w:szCs w:val="20"/>
                <w:color w:val="auto"/>
              </w:rPr>
            </w:pPr>
            <w:r>
              <w:rPr>
                <w:rFonts w:ascii="Courier New" w:cs="Courier New" w:eastAsia="Courier New" w:hAnsi="Courier New"/>
                <w:sz w:val="14"/>
                <w:szCs w:val="14"/>
                <w:color w:val="auto"/>
              </w:rPr>
              <w:t>Commercial Real Estate</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4</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w:t>
            </w:r>
          </w:p>
        </w:tc>
      </w:tr>
      <w:tr>
        <w:trPr>
          <w:trHeight w:val="166"/>
        </w:trPr>
        <w:tc>
          <w:tcPr>
            <w:tcW w:w="3500" w:type="dxa"/>
            <w:vAlign w:val="bottom"/>
          </w:tcPr>
          <w:p>
            <w:pPr>
              <w:ind w:left="700"/>
              <w:spacing w:after="0"/>
              <w:rPr>
                <w:sz w:val="20"/>
                <w:szCs w:val="20"/>
                <w:color w:val="auto"/>
              </w:rPr>
            </w:pPr>
            <w:r>
              <w:rPr>
                <w:rFonts w:ascii="Courier New" w:cs="Courier New" w:eastAsia="Courier New" w:hAnsi="Courier New"/>
                <w:sz w:val="14"/>
                <w:szCs w:val="14"/>
                <w:color w:val="auto"/>
              </w:rPr>
              <w:t>Other Commercial</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(48)</w:t>
            </w:r>
          </w:p>
        </w:tc>
        <w:tc>
          <w:tcPr>
            <w:tcW w:w="1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w:t>
            </w:r>
          </w:p>
        </w:tc>
      </w:tr>
      <w:tr>
        <w:trPr>
          <w:trHeight w:val="166"/>
        </w:trPr>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500" w:type="dxa"/>
            <w:vAlign w:val="bottom"/>
          </w:tcPr>
          <w:p>
            <w:pPr>
              <w:ind w:left="1040"/>
              <w:spacing w:after="0"/>
              <w:rPr>
                <w:sz w:val="20"/>
                <w:szCs w:val="20"/>
                <w:color w:val="auto"/>
              </w:rPr>
            </w:pPr>
            <w:r>
              <w:rPr>
                <w:rFonts w:ascii="Courier New" w:cs="Courier New" w:eastAsia="Courier New" w:hAnsi="Courier New"/>
                <w:sz w:val="14"/>
                <w:szCs w:val="14"/>
                <w:color w:val="auto"/>
              </w:rPr>
              <w:t>Total Commercial</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(44)</w:t>
            </w:r>
          </w:p>
        </w:tc>
        <w:tc>
          <w:tcPr>
            <w:tcW w:w="1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w:t>
            </w:r>
          </w:p>
        </w:tc>
      </w:tr>
      <w:tr>
        <w:trPr>
          <w:trHeight w:val="166"/>
        </w:trPr>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Domestic Consumer:</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500" w:type="dxa"/>
            <w:vAlign w:val="bottom"/>
          </w:tcPr>
          <w:p>
            <w:pPr>
              <w:ind w:left="700"/>
              <w:spacing w:after="0"/>
              <w:rPr>
                <w:sz w:val="20"/>
                <w:szCs w:val="20"/>
                <w:color w:val="auto"/>
              </w:rPr>
            </w:pPr>
            <w:r>
              <w:rPr>
                <w:rFonts w:ascii="Courier New" w:cs="Courier New" w:eastAsia="Courier New" w:hAnsi="Courier New"/>
                <w:sz w:val="14"/>
                <w:szCs w:val="14"/>
                <w:color w:val="auto"/>
              </w:rPr>
              <w:t>Residential</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w:t>
            </w:r>
          </w:p>
        </w:tc>
        <w:tc>
          <w:tcPr>
            <w:tcW w:w="1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r>
      <w:tr>
        <w:trPr>
          <w:trHeight w:val="166"/>
        </w:trPr>
        <w:tc>
          <w:tcPr>
            <w:tcW w:w="3500" w:type="dxa"/>
            <w:vAlign w:val="bottom"/>
          </w:tcPr>
          <w:p>
            <w:pPr>
              <w:ind w:left="700"/>
              <w:spacing w:after="0"/>
              <w:rPr>
                <w:sz w:val="20"/>
                <w:szCs w:val="20"/>
                <w:color w:val="auto"/>
              </w:rPr>
            </w:pPr>
            <w:r>
              <w:rPr>
                <w:rFonts w:ascii="Courier New" w:cs="Courier New" w:eastAsia="Courier New" w:hAnsi="Courier New"/>
                <w:sz w:val="14"/>
                <w:szCs w:val="14"/>
                <w:color w:val="auto"/>
              </w:rPr>
              <w:t>Credit Card</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(165)</w:t>
            </w:r>
          </w:p>
        </w:tc>
        <w:tc>
          <w:tcPr>
            <w:tcW w:w="1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(158)</w:t>
            </w:r>
          </w:p>
        </w:tc>
      </w:tr>
      <w:tr>
        <w:trPr>
          <w:trHeight w:val="166"/>
        </w:trPr>
        <w:tc>
          <w:tcPr>
            <w:tcW w:w="3500" w:type="dxa"/>
            <w:vAlign w:val="bottom"/>
          </w:tcPr>
          <w:p>
            <w:pPr>
              <w:ind w:left="700"/>
              <w:spacing w:after="0"/>
              <w:rPr>
                <w:sz w:val="20"/>
                <w:szCs w:val="20"/>
                <w:color w:val="auto"/>
              </w:rPr>
            </w:pPr>
            <w:r>
              <w:rPr>
                <w:rFonts w:ascii="Courier New" w:cs="Courier New" w:eastAsia="Courier New" w:hAnsi="Courier New"/>
                <w:sz w:val="14"/>
                <w:szCs w:val="14"/>
                <w:color w:val="auto"/>
              </w:rPr>
              <w:t>Other Consumer</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(37)</w:t>
            </w:r>
          </w:p>
        </w:tc>
        <w:tc>
          <w:tcPr>
            <w:tcW w:w="1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w:t>
            </w:r>
          </w:p>
        </w:tc>
      </w:tr>
      <w:tr>
        <w:trPr>
          <w:trHeight w:val="166"/>
        </w:trPr>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500" w:type="dxa"/>
            <w:vAlign w:val="bottom"/>
          </w:tcPr>
          <w:p>
            <w:pPr>
              <w:ind w:left="1040"/>
              <w:spacing w:after="0"/>
              <w:rPr>
                <w:sz w:val="20"/>
                <w:szCs w:val="20"/>
                <w:color w:val="auto"/>
              </w:rPr>
            </w:pPr>
            <w:r>
              <w:rPr>
                <w:rFonts w:ascii="Courier New" w:cs="Courier New" w:eastAsia="Courier New" w:hAnsi="Courier New"/>
                <w:sz w:val="14"/>
                <w:szCs w:val="14"/>
                <w:color w:val="auto"/>
              </w:rPr>
              <w:t>Total Consumer</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(210)</w:t>
            </w:r>
          </w:p>
        </w:tc>
        <w:tc>
          <w:tcPr>
            <w:tcW w:w="1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(201)</w:t>
            </w:r>
          </w:p>
        </w:tc>
      </w:tr>
      <w:tr>
        <w:trPr>
          <w:trHeight w:val="166"/>
        </w:trPr>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Total Domestic Net Charge-offs</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(254)</w:t>
            </w:r>
          </w:p>
        </w:tc>
        <w:tc>
          <w:tcPr>
            <w:tcW w:w="1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(218)</w:t>
            </w:r>
          </w:p>
        </w:tc>
      </w:tr>
      <w:tr>
        <w:trPr>
          <w:trHeight w:val="166"/>
        </w:trPr>
        <w:tc>
          <w:tcPr>
            <w:tcW w:w="3500" w:type="dxa"/>
            <w:vAlign w:val="bottom"/>
          </w:tcPr>
          <w:p>
            <w:pPr>
              <w:ind w:left="360"/>
              <w:spacing w:after="0"/>
              <w:rPr>
                <w:sz w:val="20"/>
                <w:szCs w:val="20"/>
                <w:color w:val="auto"/>
              </w:rPr>
            </w:pPr>
            <w:r>
              <w:rPr>
                <w:rFonts w:ascii="Courier New" w:cs="Courier New" w:eastAsia="Courier New" w:hAnsi="Courier New"/>
                <w:sz w:val="14"/>
                <w:szCs w:val="14"/>
                <w:color w:val="auto"/>
              </w:rPr>
              <w:t>Foreign</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9</w:t>
            </w:r>
          </w:p>
        </w:tc>
        <w:tc>
          <w:tcPr>
            <w:tcW w:w="100" w:type="dxa"/>
            <w:vAlign w:val="bottom"/>
          </w:tcPr>
          <w:p>
            <w:pPr>
              <w:spacing w:after="0"/>
              <w:rPr>
                <w:sz w:val="14"/>
                <w:szCs w:val="14"/>
                <w:color w:val="auto"/>
              </w:rPr>
            </w:pPr>
          </w:p>
        </w:tc>
        <w:tc>
          <w:tcPr>
            <w:tcW w:w="7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w:t>
            </w:r>
          </w:p>
        </w:tc>
      </w:tr>
      <w:tr>
        <w:trPr>
          <w:trHeight w:val="166"/>
        </w:trPr>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Subtotal Net Charge-offs</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(245)</w:t>
            </w:r>
          </w:p>
        </w:tc>
        <w:tc>
          <w:tcPr>
            <w:tcW w:w="1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(207)</w:t>
            </w:r>
          </w:p>
        </w:tc>
      </w:tr>
      <w:tr>
        <w:trPr>
          <w:trHeight w:val="166"/>
        </w:trPr>
        <w:tc>
          <w:tcPr>
            <w:tcW w:w="560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Charge Related to Conforming Credit Card Charge-off Policies</w:t>
            </w:r>
          </w:p>
        </w:tc>
        <w:tc>
          <w:tcPr>
            <w:tcW w:w="260" w:type="dxa"/>
            <w:vAlign w:val="bottom"/>
          </w:tcPr>
          <w:p>
            <w:pPr>
              <w:spacing w:after="0"/>
              <w:rPr>
                <w:sz w:val="14"/>
                <w:szCs w:val="14"/>
                <w:color w:val="auto"/>
              </w:rPr>
            </w:pP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(102)</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Total Net Charge-offs</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$(347)</w:t>
            </w: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$(207)</w:t>
            </w:r>
          </w:p>
        </w:tc>
      </w:tr>
      <w:tr>
        <w:trPr>
          <w:trHeight w:val="166"/>
        </w:trPr>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w w:val="99"/>
              </w:rPr>
              <w:t>=====</w:t>
            </w:r>
          </w:p>
        </w:tc>
      </w:tr>
      <w:tr>
        <w:trPr>
          <w:trHeight w:val="663"/>
        </w:trPr>
        <w:tc>
          <w:tcPr>
            <w:tcW w:w="5600" w:type="dxa"/>
            <w:vAlign w:val="bottom"/>
            <w:gridSpan w:val="3"/>
          </w:tcPr>
          <w:p>
            <w:pPr>
              <w:ind w:left="2420"/>
              <w:spacing w:after="0"/>
              <w:rPr>
                <w:sz w:val="20"/>
                <w:szCs w:val="20"/>
                <w:color w:val="auto"/>
              </w:rPr>
            </w:pPr>
            <w:r>
              <w:rPr>
                <w:rFonts w:ascii="Courier New" w:cs="Courier New" w:eastAsia="Courier New" w:hAnsi="Courier New"/>
                <w:sz w:val="14"/>
                <w:szCs w:val="14"/>
                <w:color w:val="auto"/>
              </w:rPr>
              <w:t>AS OF OR FOR THE THREE MONTHS ENDED</w:t>
            </w:r>
          </w:p>
        </w:tc>
        <w:tc>
          <w:tcPr>
            <w:tcW w:w="26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MARCH 31,</w:t>
            </w:r>
          </w:p>
        </w:tc>
        <w:tc>
          <w:tcPr>
            <w:tcW w:w="760" w:type="dxa"/>
            <w:vAlign w:val="bottom"/>
          </w:tcPr>
          <w:p>
            <w:pPr>
              <w:spacing w:after="0"/>
              <w:rPr>
                <w:sz w:val="24"/>
                <w:szCs w:val="24"/>
                <w:color w:val="auto"/>
              </w:rPr>
            </w:pPr>
          </w:p>
        </w:tc>
      </w:tr>
      <w:tr>
        <w:trPr>
          <w:trHeight w:val="166"/>
        </w:trPr>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40" w:type="dxa"/>
            <w:vAlign w:val="bottom"/>
            <w:gridSpan w:val="4"/>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1996</w:t>
            </w:r>
          </w:p>
        </w:tc>
        <w:tc>
          <w:tcPr>
            <w:tcW w:w="10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3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MANAGED CREDIT CARD PORTFOLIO:</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Average Managed Credit Card Receivables</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$23,183</w:t>
            </w: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$19,276</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Past Due 90 Days &amp; Over and Accruing</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495</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439</w:t>
            </w:r>
          </w:p>
        </w:tc>
      </w:tr>
      <w:tr>
        <w:trPr>
          <w:trHeight w:val="166"/>
        </w:trPr>
        <w:tc>
          <w:tcPr>
            <w:tcW w:w="4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As a Percentage of Average Credit Card Receivables</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2.15%</w:t>
            </w:r>
          </w:p>
        </w:tc>
        <w:tc>
          <w:tcPr>
            <w:tcW w:w="1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2.28%</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270(a)</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189(a)</w:t>
            </w:r>
          </w:p>
        </w:tc>
      </w:tr>
      <w:tr>
        <w:trPr>
          <w:trHeight w:val="166"/>
        </w:trPr>
        <w:tc>
          <w:tcPr>
            <w:tcW w:w="45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As a Percentage of Average Credit Card Receivables</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4.66%</w:t>
            </w:r>
          </w:p>
        </w:tc>
        <w:tc>
          <w:tcPr>
            <w:tcW w:w="10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3.92%</w:t>
            </w:r>
          </w:p>
        </w:tc>
      </w:tr>
    </w:tbl>
    <w:p>
      <w:pPr>
        <w:spacing w:after="0" w:line="335" w:lineRule="exact"/>
        <w:rPr>
          <w:sz w:val="20"/>
          <w:szCs w:val="20"/>
          <w:color w:val="auto"/>
        </w:rPr>
      </w:pPr>
    </w:p>
    <w:p>
      <w:pPr>
        <w:ind w:left="360" w:right="3779" w:hanging="352"/>
        <w:spacing w:after="0" w:line="255" w:lineRule="auto"/>
        <w:tabs>
          <w:tab w:leader="none" w:pos="3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$105 million and $31 million, respectively, of net charge-offs related to securitized credit card receivables.</w:t>
      </w:r>
    </w:p>
    <w:p>
      <w:pPr>
        <w:sectPr>
          <w:pgSz w:w="11900" w:h="16838" w:orient="portrait"/>
          <w:cols w:equalWidth="0" w:num="1">
            <w:col w:w="10239"/>
          </w:cols>
          <w:pgMar w:left="220" w:top="285"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jc w:val="center"/>
        <w:ind w:right="3680"/>
        <w:spacing w:after="0" w:line="252" w:lineRule="auto"/>
        <w:rPr>
          <w:sz w:val="20"/>
          <w:szCs w:val="20"/>
          <w:color w:val="auto"/>
        </w:rPr>
      </w:pPr>
      <w:r>
        <w:rPr>
          <w:rFonts w:ascii="Courier New" w:cs="Courier New" w:eastAsia="Courier New" w:hAnsi="Courier New"/>
          <w:sz w:val="14"/>
          <w:szCs w:val="14"/>
          <w:color w:val="auto"/>
        </w:rPr>
        <w:t>THE CHASE MANHATTAN CORPORATION and Subsidiaries Condensed Average Consolidated Balance Sheet, Interest and Rates (Taxable-Equivalent Interest and Rates; in millions)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20" w:type="dxa"/>
            <w:vAlign w:val="bottom"/>
            <w:gridSpan w:val="3"/>
          </w:tcPr>
          <w:p>
            <w:pPr>
              <w:jc w:val="center"/>
              <w:ind w:right="628"/>
              <w:spacing w:after="0"/>
              <w:rPr>
                <w:sz w:val="20"/>
                <w:szCs w:val="20"/>
                <w:color w:val="auto"/>
              </w:rPr>
            </w:pPr>
            <w:r>
              <w:rPr>
                <w:rFonts w:ascii="Courier New" w:cs="Courier New" w:eastAsia="Courier New" w:hAnsi="Courier New"/>
                <w:sz w:val="14"/>
                <w:szCs w:val="14"/>
                <w:color w:val="auto"/>
              </w:rPr>
              <w:t>THREE MONTHS ENDED</w:t>
            </w:r>
          </w:p>
        </w:tc>
        <w:tc>
          <w:tcPr>
            <w:tcW w:w="2920" w:type="dxa"/>
            <w:vAlign w:val="bottom"/>
            <w:gridSpan w:val="3"/>
          </w:tcPr>
          <w:p>
            <w:pPr>
              <w:jc w:val="right"/>
              <w:ind w:right="608"/>
              <w:spacing w:after="0"/>
              <w:rPr>
                <w:sz w:val="20"/>
                <w:szCs w:val="20"/>
                <w:color w:val="auto"/>
              </w:rPr>
            </w:pPr>
            <w:r>
              <w:rPr>
                <w:rFonts w:ascii="Courier New" w:cs="Courier New" w:eastAsia="Courier New" w:hAnsi="Courier New"/>
                <w:sz w:val="14"/>
                <w:szCs w:val="14"/>
                <w:color w:val="auto"/>
              </w:rPr>
              <w:t>THREE MONTHS ENDED</w:t>
            </w:r>
          </w:p>
        </w:tc>
      </w:tr>
      <w:tr>
        <w:trPr>
          <w:trHeight w:val="166"/>
        </w:trPr>
        <w:tc>
          <w:tcPr>
            <w:tcW w:w="4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20" w:type="dxa"/>
            <w:vAlign w:val="bottom"/>
            <w:gridSpan w:val="3"/>
          </w:tcPr>
          <w:p>
            <w:pPr>
              <w:jc w:val="center"/>
              <w:ind w:right="628"/>
              <w:spacing w:after="0"/>
              <w:rPr>
                <w:sz w:val="20"/>
                <w:szCs w:val="20"/>
                <w:color w:val="auto"/>
              </w:rPr>
            </w:pPr>
            <w:r>
              <w:rPr>
                <w:rFonts w:ascii="Courier New" w:cs="Courier New" w:eastAsia="Courier New" w:hAnsi="Courier New"/>
                <w:sz w:val="14"/>
                <w:szCs w:val="14"/>
                <w:color w:val="auto"/>
              </w:rPr>
              <w:t>MARCH 31, 1996</w:t>
            </w:r>
          </w:p>
        </w:tc>
        <w:tc>
          <w:tcPr>
            <w:tcW w:w="820" w:type="dxa"/>
            <w:vAlign w:val="bottom"/>
          </w:tcPr>
          <w:p>
            <w:pPr>
              <w:spacing w:after="0"/>
              <w:rPr>
                <w:sz w:val="14"/>
                <w:szCs w:val="14"/>
                <w:color w:val="auto"/>
              </w:rPr>
            </w:pPr>
          </w:p>
        </w:tc>
        <w:tc>
          <w:tcPr>
            <w:tcW w:w="210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MARCH 31, 1995</w:t>
            </w:r>
          </w:p>
        </w:tc>
      </w:tr>
      <w:tr>
        <w:trPr>
          <w:trHeight w:val="166"/>
        </w:trPr>
        <w:tc>
          <w:tcPr>
            <w:tcW w:w="4220" w:type="dxa"/>
            <w:vAlign w:val="bottom"/>
          </w:tcPr>
          <w:p>
            <w:pPr>
              <w:spacing w:after="0"/>
              <w:rPr>
                <w:sz w:val="14"/>
                <w:szCs w:val="14"/>
                <w:color w:val="auto"/>
              </w:rPr>
            </w:pPr>
          </w:p>
        </w:tc>
        <w:tc>
          <w:tcPr>
            <w:tcW w:w="34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AVERAGE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RATE</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980" w:type="dxa"/>
            <w:vAlign w:val="bottom"/>
          </w:tcPr>
          <w:p>
            <w:pPr>
              <w:spacing w:after="0"/>
              <w:rPr>
                <w:sz w:val="14"/>
                <w:szCs w:val="14"/>
                <w:color w:val="auto"/>
              </w:rPr>
            </w:pP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RATE</w:t>
            </w:r>
          </w:p>
        </w:tc>
      </w:tr>
      <w:tr>
        <w:trPr>
          <w:trHeight w:val="166"/>
        </w:trPr>
        <w:tc>
          <w:tcPr>
            <w:tcW w:w="4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BALANCE</w:t>
            </w:r>
          </w:p>
        </w:tc>
        <w:tc>
          <w:tcPr>
            <w:tcW w:w="12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INTEREST</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(ANNUALIZED)</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BALANCE</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(ANNUALIZED)</w:t>
            </w:r>
          </w:p>
        </w:tc>
      </w:tr>
      <w:tr>
        <w:trPr>
          <w:trHeight w:val="166"/>
        </w:trPr>
        <w:tc>
          <w:tcPr>
            <w:tcW w:w="4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Liquid Interest-Earning Assets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$ 62,321</w:t>
            </w:r>
          </w:p>
        </w:tc>
        <w:tc>
          <w:tcPr>
            <w:tcW w:w="6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1,102</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7.11%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$ 62,077</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$1,052</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6.87%</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42,706</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725</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6.83%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34,620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626</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7.34%</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149,634</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3,241</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8.71%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141,168</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3,075</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8.83%</w:t>
            </w:r>
          </w:p>
        </w:tc>
      </w:tr>
      <w:tr>
        <w:trPr>
          <w:trHeight w:val="166"/>
        </w:trPr>
        <w:tc>
          <w:tcPr>
            <w:tcW w:w="4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 Interest-Earning Assets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254,661</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5,068</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8.01%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237,865</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4,753</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8.10%</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 Noninterest-Earning Assets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58,264</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61,433</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Total Assets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$312,925</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$299,298</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 Interest-Bearing Deposits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$134,873</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1,644</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4.90%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$132,798</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1,500</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4.58%</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 Short-Term and Other Borrowings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66,742</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1,026</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6.20%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59,728</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978</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6.64%</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12,976</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7.05%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13,054</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234</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7.28%</w:t>
            </w:r>
          </w:p>
        </w:tc>
      </w:tr>
      <w:tr>
        <w:trPr>
          <w:trHeight w:val="166"/>
        </w:trPr>
        <w:tc>
          <w:tcPr>
            <w:tcW w:w="4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 Interest-Bearing Liabilities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214,591</w:t>
            </w:r>
          </w:p>
        </w:tc>
        <w:tc>
          <w:tcPr>
            <w:tcW w:w="6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2,897</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5.43%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205,580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2,712</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5.35%</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 Noninterest-Bearing Liabilities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77,496</w:t>
            </w: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74,857</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Total Liabilities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292,087</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280,437</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2,650</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2,850</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18,188</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16,011</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Total Stockholders' Equity</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20,838</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18,861</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$312,925</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$299,298</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2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INTEREST RATE SPREAD</w:t>
            </w: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2.58%</w:t>
            </w: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2.75%</w:t>
            </w:r>
          </w:p>
        </w:tc>
      </w:tr>
      <w:tr>
        <w:trPr>
          <w:trHeight w:val="166"/>
        </w:trPr>
        <w:tc>
          <w:tcPr>
            <w:tcW w:w="4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INTEREST INCOME AND NET YIELD</w:t>
            </w: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ON INTEREST-EARNING ASSETS</w:t>
            </w:r>
          </w:p>
        </w:tc>
        <w:tc>
          <w:tcPr>
            <w:tcW w:w="1040" w:type="dxa"/>
            <w:vAlign w:val="bottom"/>
          </w:tcPr>
          <w:p>
            <w:pPr>
              <w:spacing w:after="0"/>
              <w:rPr>
                <w:sz w:val="14"/>
                <w:szCs w:val="14"/>
                <w:color w:val="auto"/>
              </w:rPr>
            </w:pPr>
          </w:p>
        </w:tc>
        <w:tc>
          <w:tcPr>
            <w:tcW w:w="6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2,171</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3.43%</w:t>
            </w:r>
          </w:p>
        </w:tc>
        <w:tc>
          <w:tcPr>
            <w:tcW w:w="8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$2,041</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3.48%</w:t>
            </w:r>
          </w:p>
        </w:tc>
      </w:tr>
      <w:tr>
        <w:trPr>
          <w:trHeight w:val="166"/>
        </w:trPr>
        <w:tc>
          <w:tcPr>
            <w:tcW w:w="4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600"/>
          </w:cols>
          <w:pgMar w:left="220" w:top="285" w:right="1079"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EXHIBIT 99.2</w:t>
            </w:r>
          </w:p>
        </w:tc>
      </w:tr>
      <w:tr>
        <w:trPr>
          <w:trHeight w:val="166"/>
        </w:trPr>
        <w:tc>
          <w:tcPr>
            <w:tcW w:w="5340" w:type="dxa"/>
            <w:vAlign w:val="bottom"/>
          </w:tcPr>
          <w:p>
            <w:pPr>
              <w:ind w:left="2500"/>
              <w:spacing w:after="0"/>
              <w:rPr>
                <w:sz w:val="20"/>
                <w:szCs w:val="20"/>
                <w:color w:val="auto"/>
              </w:rPr>
            </w:pPr>
            <w:r>
              <w:rPr>
                <w:rFonts w:ascii="Courier New" w:cs="Courier New" w:eastAsia="Courier New" w:hAnsi="Courier New"/>
                <w:sz w:val="14"/>
                <w:szCs w:val="14"/>
                <w:color w:val="auto"/>
              </w:rPr>
              <w:t>INDEX TO EXHIBIT 99.2</w:t>
            </w:r>
          </w:p>
        </w:tc>
        <w:tc>
          <w:tcPr>
            <w:tcW w:w="1560" w:type="dxa"/>
            <w:vAlign w:val="bottom"/>
          </w:tcPr>
          <w:p>
            <w:pPr>
              <w:spacing w:after="0"/>
              <w:rPr>
                <w:sz w:val="14"/>
                <w:szCs w:val="14"/>
                <w:color w:val="auto"/>
              </w:rPr>
            </w:pPr>
          </w:p>
        </w:tc>
      </w:tr>
      <w:tr>
        <w:trPr>
          <w:trHeight w:val="663"/>
        </w:trPr>
        <w:tc>
          <w:tcPr>
            <w:tcW w:w="5340" w:type="dxa"/>
            <w:vAlign w:val="bottom"/>
          </w:tcPr>
          <w:p>
            <w:pPr>
              <w:spacing w:after="0"/>
              <w:rPr>
                <w:sz w:val="20"/>
                <w:szCs w:val="20"/>
                <w:color w:val="auto"/>
              </w:rPr>
            </w:pPr>
            <w:r>
              <w:rPr>
                <w:rFonts w:ascii="Courier New" w:cs="Courier New" w:eastAsia="Courier New" w:hAnsi="Courier New"/>
                <w:sz w:val="14"/>
                <w:szCs w:val="14"/>
                <w:color w:val="auto"/>
              </w:rPr>
              <w:t>Management's Discussion and Analysis:</w:t>
            </w:r>
          </w:p>
        </w:tc>
        <w:tc>
          <w:tcPr>
            <w:tcW w:w="1560" w:type="dxa"/>
            <w:vAlign w:val="bottom"/>
          </w:tcPr>
          <w:p>
            <w:pPr>
              <w:spacing w:after="0"/>
              <w:rPr>
                <w:sz w:val="24"/>
                <w:szCs w:val="24"/>
                <w:color w:val="auto"/>
              </w:rPr>
            </w:pPr>
          </w:p>
        </w:tc>
      </w:tr>
      <w:tr>
        <w:trPr>
          <w:trHeight w:val="331"/>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 Summary of Selected Financial Data</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331"/>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 Overview</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 Performance Targets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1"/>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 Results of Operations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331"/>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 Pro Forma Lines of Business Results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331"/>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 Credit Risk Management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331"/>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 Market Risk Management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331"/>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 Operating Risk Management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331"/>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 Capital and Liquidity Risk Management</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r>
        <w:trPr>
          <w:trHeight w:val="331"/>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 Accounting Developments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331"/>
        </w:trPr>
        <w:tc>
          <w:tcPr>
            <w:tcW w:w="5340" w:type="dxa"/>
            <w:vAlign w:val="bottom"/>
          </w:tcPr>
          <w:p>
            <w:pPr>
              <w:ind w:left="180"/>
              <w:spacing w:after="0"/>
              <w:rPr>
                <w:sz w:val="20"/>
                <w:szCs w:val="20"/>
                <w:color w:val="auto"/>
              </w:rPr>
            </w:pPr>
            <w:r>
              <w:rPr>
                <w:rFonts w:ascii="Courier New" w:cs="Courier New" w:eastAsia="Courier New" w:hAnsi="Courier New"/>
                <w:sz w:val="14"/>
                <w:szCs w:val="14"/>
                <w:color w:val="auto"/>
              </w:rPr>
              <w:t>- Comparison Between 1994 and 1993</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Management's Report on Responsibility for Financial Reporting</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Report of Independent Accountants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Consolidated Financial Statements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331"/>
        </w:trPr>
        <w:tc>
          <w:tcPr>
            <w:tcW w:w="5340" w:type="dxa"/>
            <w:vAlign w:val="bottom"/>
          </w:tcPr>
          <w:p>
            <w:pPr>
              <w:spacing w:after="0"/>
              <w:rPr>
                <w:sz w:val="20"/>
                <w:szCs w:val="20"/>
                <w:color w:val="auto"/>
              </w:rPr>
            </w:pPr>
            <w:r>
              <w:rPr>
                <w:rFonts w:ascii="Courier New" w:cs="Courier New" w:eastAsia="Courier New" w:hAnsi="Courier New"/>
                <w:sz w:val="14"/>
                <w:szCs w:val="14"/>
                <w:color w:val="auto"/>
              </w:rPr>
              <w:t>Supplemental Schedules:</w:t>
            </w:r>
          </w:p>
        </w:tc>
        <w:tc>
          <w:tcPr>
            <w:tcW w:w="1560" w:type="dxa"/>
            <w:vAlign w:val="bottom"/>
          </w:tcPr>
          <w:p>
            <w:pPr>
              <w:spacing w:after="0"/>
              <w:rPr>
                <w:sz w:val="24"/>
                <w:szCs w:val="24"/>
                <w:color w:val="auto"/>
              </w:rPr>
            </w:pPr>
          </w:p>
        </w:tc>
      </w:tr>
      <w:tr>
        <w:trPr>
          <w:trHeight w:val="331"/>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Quarterly Financial Information</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331"/>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Average Consolidated Balance Sheets, Interest and Rates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r>
      <w:tr>
        <w:trPr>
          <w:trHeight w:val="331"/>
        </w:trPr>
        <w:tc>
          <w:tcPr>
            <w:tcW w:w="5340" w:type="dxa"/>
            <w:vAlign w:val="bottom"/>
          </w:tcPr>
          <w:p>
            <w:pPr>
              <w:ind w:left="260"/>
              <w:spacing w:after="0"/>
              <w:rPr>
                <w:sz w:val="20"/>
                <w:szCs w:val="20"/>
                <w:color w:val="auto"/>
              </w:rPr>
            </w:pPr>
            <w:r>
              <w:rPr>
                <w:rFonts w:ascii="Courier New" w:cs="Courier New" w:eastAsia="Courier New" w:hAnsi="Courier New"/>
                <w:sz w:val="14"/>
                <w:szCs w:val="14"/>
                <w:color w:val="auto"/>
              </w:rPr>
              <w:t>Chemical Bank and Chase Manhattan Bank, N.A.</w:t>
            </w:r>
          </w:p>
        </w:tc>
        <w:tc>
          <w:tcPr>
            <w:tcW w:w="1560" w:type="dxa"/>
            <w:vAlign w:val="bottom"/>
          </w:tcPr>
          <w:p>
            <w:pPr>
              <w:spacing w:after="0"/>
              <w:rPr>
                <w:sz w:val="24"/>
                <w:szCs w:val="24"/>
                <w:color w:val="auto"/>
              </w:rPr>
            </w:pPr>
          </w:p>
        </w:tc>
      </w:tr>
      <w:tr>
        <w:trPr>
          <w:trHeight w:val="331"/>
        </w:trPr>
        <w:tc>
          <w:tcPr>
            <w:tcW w:w="5340" w:type="dxa"/>
            <w:vAlign w:val="bottom"/>
          </w:tcPr>
          <w:p>
            <w:pPr>
              <w:ind w:left="440"/>
              <w:spacing w:after="0"/>
              <w:rPr>
                <w:sz w:val="20"/>
                <w:szCs w:val="20"/>
                <w:color w:val="auto"/>
              </w:rPr>
            </w:pPr>
            <w:r>
              <w:rPr>
                <w:rFonts w:ascii="Courier New" w:cs="Courier New" w:eastAsia="Courier New" w:hAnsi="Courier New"/>
                <w:sz w:val="14"/>
                <w:szCs w:val="14"/>
                <w:color w:val="auto"/>
              </w:rPr>
              <w:t>Consolidated Balance Sheets</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r>
      <w:tr>
        <w:trPr>
          <w:trHeight w:val="497"/>
        </w:trPr>
        <w:tc>
          <w:tcPr>
            <w:tcW w:w="5340" w:type="dxa"/>
            <w:vAlign w:val="bottom"/>
          </w:tcPr>
          <w:p>
            <w:pPr>
              <w:spacing w:after="0"/>
              <w:rPr>
                <w:sz w:val="20"/>
                <w:szCs w:val="20"/>
                <w:color w:val="auto"/>
              </w:rPr>
            </w:pPr>
            <w:r>
              <w:rPr>
                <w:rFonts w:ascii="Courier New" w:cs="Courier New" w:eastAsia="Courier New" w:hAnsi="Courier New"/>
                <w:sz w:val="14"/>
                <w:szCs w:val="14"/>
                <w:color w:val="auto"/>
              </w:rPr>
              <w:t>20</w:t>
            </w:r>
          </w:p>
        </w:tc>
        <w:tc>
          <w:tcPr>
            <w:tcW w:w="1560" w:type="dxa"/>
            <w:vAlign w:val="bottom"/>
          </w:tcPr>
          <w:p>
            <w:pPr>
              <w:spacing w:after="0"/>
              <w:rPr>
                <w:sz w:val="24"/>
                <w:szCs w:val="24"/>
                <w:color w:val="auto"/>
              </w:rPr>
            </w:pPr>
          </w:p>
        </w:tc>
      </w:tr>
    </w:tbl>
    <w:p>
      <w:pPr>
        <w:sectPr>
          <w:pgSz w:w="11900" w:h="16838" w:orient="portrait"/>
          <w:cols w:equalWidth="0" w:num="1">
            <w:col w:w="10239"/>
          </w:cols>
          <w:pgMar w:left="220" w:top="141"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Selected Financial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(in millions, except per share and ratio</w:t>
            </w:r>
          </w:p>
        </w:tc>
        <w:tc>
          <w:tcPr>
            <w:tcW w:w="254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data)</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As of or for the year ended December 31,</w:t>
            </w:r>
          </w:p>
        </w:tc>
        <w:tc>
          <w:tcPr>
            <w:tcW w:w="25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1994</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FOR THE YEAR</w:t>
            </w:r>
          </w:p>
        </w:tc>
        <w:tc>
          <w:tcPr>
            <w:tcW w:w="3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Net Interest Income</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8,202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8,312</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8,291</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8,117</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7,380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Provision for</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Losses</w:t>
            </w:r>
          </w:p>
        </w:tc>
        <w:tc>
          <w:tcPr>
            <w:tcW w:w="4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758</w:t>
            </w:r>
          </w:p>
        </w:tc>
        <w:tc>
          <w:tcPr>
            <w:tcW w:w="3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1,050</w:t>
            </w:r>
          </w:p>
        </w:tc>
        <w:tc>
          <w:tcPr>
            <w:tcW w:w="4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2,254</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2,585</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2,430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Provision for</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Loans Held for Accelerated Disposition</w:t>
            </w:r>
          </w:p>
        </w:tc>
        <w:tc>
          <w:tcPr>
            <w:tcW w:w="4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566</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Noninterest Revenue</w:t>
            </w:r>
          </w:p>
        </w:tc>
        <w:tc>
          <w:tcPr>
            <w:tcW w:w="4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6,758</w:t>
            </w:r>
          </w:p>
        </w:tc>
        <w:tc>
          <w:tcPr>
            <w:tcW w:w="3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6,701</w:t>
            </w:r>
          </w:p>
        </w:tc>
        <w:tc>
          <w:tcPr>
            <w:tcW w:w="4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7,181</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5,420</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5,074</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Noninterest Expense</w:t>
            </w:r>
          </w:p>
        </w:tc>
        <w:tc>
          <w:tcPr>
            <w:tcW w:w="4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9,390</w:t>
            </w:r>
          </w:p>
        </w:tc>
        <w:tc>
          <w:tcPr>
            <w:tcW w:w="3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10,002</w:t>
            </w:r>
          </w:p>
        </w:tc>
        <w:tc>
          <w:tcPr>
            <w:tcW w:w="4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9,828</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8,801</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9,097</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Income Before</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Income Tax Expense and Effect of</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Accounting Changes</w:t>
            </w:r>
          </w:p>
        </w:tc>
        <w:tc>
          <w:tcPr>
            <w:tcW w:w="4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4,812</w:t>
            </w:r>
          </w:p>
        </w:tc>
        <w:tc>
          <w:tcPr>
            <w:tcW w:w="3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3,961</w:t>
            </w:r>
          </w:p>
        </w:tc>
        <w:tc>
          <w:tcPr>
            <w:tcW w:w="4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2,824</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2,151</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927</w:t>
            </w:r>
          </w:p>
        </w:tc>
      </w:tr>
      <w:tr>
        <w:trPr>
          <w:trHeight w:val="166"/>
        </w:trPr>
        <w:tc>
          <w:tcPr>
            <w:tcW w:w="4740" w:type="dxa"/>
            <w:vAlign w:val="bottom"/>
            <w:gridSpan w:val="2"/>
          </w:tcPr>
          <w:p>
            <w:pPr>
              <w:spacing w:after="0"/>
              <w:rPr>
                <w:sz w:val="20"/>
                <w:szCs w:val="20"/>
                <w:color w:val="auto"/>
              </w:rPr>
            </w:pPr>
            <w:r>
              <w:rPr>
                <w:rFonts w:ascii="Courier New" w:cs="Courier New" w:eastAsia="Courier New" w:hAnsi="Courier New"/>
                <w:sz w:val="14"/>
                <w:szCs w:val="14"/>
                <w:color w:val="auto"/>
              </w:rPr>
              <w:t>Income Tax Expense</w:t>
            </w:r>
          </w:p>
        </w:tc>
        <w:tc>
          <w:tcPr>
            <w:tcW w:w="4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1,842</w:t>
            </w:r>
          </w:p>
        </w:tc>
        <w:tc>
          <w:tcPr>
            <w:tcW w:w="3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1,475</w:t>
            </w:r>
          </w:p>
        </w:tc>
        <w:tc>
          <w:tcPr>
            <w:tcW w:w="4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798</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428</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257</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Income Before</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Effect of Accounting Changes</w:t>
            </w:r>
          </w:p>
        </w:tc>
        <w:tc>
          <w:tcPr>
            <w:tcW w:w="4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2,970</w:t>
            </w:r>
          </w:p>
        </w:tc>
        <w:tc>
          <w:tcPr>
            <w:tcW w:w="3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2,486</w:t>
            </w:r>
          </w:p>
        </w:tc>
        <w:tc>
          <w:tcPr>
            <w:tcW w:w="4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2,026</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1,723</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670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Net Effect of</w:t>
            </w:r>
          </w:p>
        </w:tc>
        <w:tc>
          <w:tcPr>
            <w:tcW w:w="3560" w:type="dxa"/>
            <w:vAlign w:val="bottom"/>
          </w:tcPr>
          <w:p>
            <w:pPr>
              <w:ind w:left="40"/>
              <w:spacing w:after="0"/>
              <w:rPr>
                <w:sz w:val="20"/>
                <w:szCs w:val="20"/>
                <w:color w:val="auto"/>
              </w:rPr>
            </w:pPr>
            <w:r>
              <w:rPr>
                <w:rFonts w:ascii="Courier New" w:cs="Courier New" w:eastAsia="Courier New" w:hAnsi="Courier New"/>
                <w:sz w:val="14"/>
                <w:szCs w:val="14"/>
                <w:color w:val="auto"/>
              </w:rPr>
              <w:t>Changes in Accounting Principles(a)</w:t>
            </w:r>
          </w:p>
        </w:tc>
        <w:tc>
          <w:tcPr>
            <w:tcW w:w="4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34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368</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560" w:type="dxa"/>
            <w:vAlign w:val="bottom"/>
          </w:tcPr>
          <w:p>
            <w:pPr>
              <w:spacing w:after="0"/>
              <w:rPr>
                <w:sz w:val="14"/>
                <w:szCs w:val="14"/>
                <w:color w:val="auto"/>
              </w:rPr>
            </w:pP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2,959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2,486</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2,394</w:t>
            </w:r>
          </w:p>
        </w:tc>
        <w:tc>
          <w:tcPr>
            <w:tcW w:w="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1,723</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670</w:t>
            </w:r>
          </w:p>
        </w:tc>
      </w:tr>
    </w:tbl>
    <w:p>
      <w:pPr>
        <w:spacing w:after="0" w:line="4"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 COMMON SHARE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w:t>
            </w:r>
          </w:p>
        </w:tc>
        <w:tc>
          <w:tcPr>
            <w:tcW w:w="3700" w:type="dxa"/>
            <w:vAlign w:val="bottom"/>
          </w:tcPr>
          <w:p>
            <w:pPr>
              <w:spacing w:after="0"/>
              <w:rPr>
                <w:sz w:val="20"/>
                <w:szCs w:val="20"/>
                <w:color w:val="auto"/>
              </w:rPr>
            </w:pPr>
            <w:r>
              <w:rPr>
                <w:rFonts w:ascii="Courier New" w:cs="Courier New" w:eastAsia="Courier New" w:hAnsi="Courier New"/>
                <w:sz w:val="14"/>
                <w:szCs w:val="14"/>
                <w:color w:val="auto"/>
              </w:rPr>
              <w:t>Effect of Accounting Changes-Primary</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6.23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5.02</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4.00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3.65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1.35</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w:t>
            </w:r>
          </w:p>
        </w:tc>
        <w:tc>
          <w:tcPr>
            <w:tcW w:w="3700" w:type="dxa"/>
            <w:vAlign w:val="bottom"/>
          </w:tcPr>
          <w:p>
            <w:pPr>
              <w:spacing w:after="0"/>
              <w:rPr>
                <w:sz w:val="20"/>
                <w:szCs w:val="20"/>
                <w:color w:val="auto"/>
              </w:rPr>
            </w:pPr>
            <w:r>
              <w:rPr>
                <w:rFonts w:ascii="Courier New" w:cs="Courier New" w:eastAsia="Courier New" w:hAnsi="Courier New"/>
                <w:sz w:val="14"/>
                <w:szCs w:val="14"/>
                <w:color w:val="auto"/>
              </w:rPr>
              <w:t>Effect of Accounting Changes-Fully-Diluted</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4.97</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3.96</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Per</w:t>
            </w: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Share-Primary</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5.02</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4.85</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w w:val="95"/>
              </w:rPr>
              <w:t>Per</w:t>
            </w: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Share-Fully-Diluted</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4.97</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4.79</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Book Value</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370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41.81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37.37</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36.10</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31.84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30.36</w:t>
            </w:r>
          </w:p>
        </w:tc>
      </w:tr>
      <w:tr>
        <w:trPr>
          <w:trHeight w:val="166"/>
        </w:trPr>
        <w:tc>
          <w:tcPr>
            <w:tcW w:w="4920" w:type="dxa"/>
            <w:vAlign w:val="bottom"/>
            <w:gridSpan w:val="3"/>
          </w:tcPr>
          <w:p>
            <w:pPr>
              <w:spacing w:after="0"/>
              <w:rPr>
                <w:sz w:val="20"/>
                <w:szCs w:val="20"/>
                <w:color w:val="auto"/>
              </w:rPr>
            </w:pPr>
            <w:r>
              <w:rPr>
                <w:rFonts w:ascii="Courier New" w:cs="Courier New" w:eastAsia="Courier New" w:hAnsi="Courier New"/>
                <w:sz w:val="14"/>
                <w:szCs w:val="14"/>
                <w:color w:val="auto"/>
              </w:rPr>
              <w:t>Market Value at December 31,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58.75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35.88</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40.13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38.63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21.25</w:t>
            </w:r>
          </w:p>
        </w:tc>
      </w:tr>
      <w:tr>
        <w:trPr>
          <w:trHeight w:val="166"/>
        </w:trPr>
        <w:tc>
          <w:tcPr>
            <w:tcW w:w="1220" w:type="dxa"/>
            <w:vAlign w:val="bottom"/>
            <w:gridSpan w:val="2"/>
          </w:tcPr>
          <w:p>
            <w:pPr>
              <w:spacing w:after="0"/>
              <w:rPr>
                <w:sz w:val="20"/>
                <w:szCs w:val="20"/>
                <w:color w:val="auto"/>
              </w:rPr>
            </w:pPr>
            <w:r>
              <w:rPr>
                <w:rFonts w:ascii="Courier New" w:cs="Courier New" w:eastAsia="Courier New" w:hAnsi="Courier New"/>
                <w:sz w:val="14"/>
                <w:szCs w:val="14"/>
                <w:color w:val="auto"/>
              </w:rPr>
              <w:t>Cash Dividends</w:t>
            </w:r>
          </w:p>
        </w:tc>
        <w:tc>
          <w:tcPr>
            <w:tcW w:w="3700" w:type="dxa"/>
            <w:vAlign w:val="bottom"/>
          </w:tcPr>
          <w:p>
            <w:pPr>
              <w:ind w:left="80"/>
              <w:spacing w:after="0"/>
              <w:rPr>
                <w:sz w:val="20"/>
                <w:szCs w:val="20"/>
                <w:color w:val="auto"/>
              </w:rPr>
            </w:pPr>
            <w:r>
              <w:rPr>
                <w:rFonts w:ascii="Courier New" w:cs="Courier New" w:eastAsia="Courier New" w:hAnsi="Courier New"/>
                <w:sz w:val="14"/>
                <w:szCs w:val="14"/>
                <w:color w:val="auto"/>
              </w:rPr>
              <w:t>Declared(b)</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1.37</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bl>
    <w:p>
      <w:pPr>
        <w:spacing w:after="0" w:line="4"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 FORMA(c)</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2,899</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2,589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2,266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1,564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1,111</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Income Per Common Share-Primary</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4.55</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2.71</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Net Income Per Common Share-Fully-Diluted</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Return on Average Common Stockholders' Equity</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15.80%</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14.51%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8.74%</w:t>
            </w:r>
          </w:p>
        </w:tc>
      </w:tr>
    </w:tbl>
    <w:p>
      <w:pPr>
        <w:spacing w:after="0" w:line="4"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AT YEAR-END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2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$150,207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$142,231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$137,117</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$144,568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$152,022</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303,989(d)</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285,383(d)</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251,948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235,502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237,115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2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171,534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166,462</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169,786</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161,397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164,467</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12,825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13,061</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13,833</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13,711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12,350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2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20,836</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18,873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19,101</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16,353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12,598</w:t>
            </w:r>
          </w:p>
        </w:tc>
      </w:tr>
    </w:tbl>
    <w:p>
      <w:pPr>
        <w:spacing w:after="0" w:line="4"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RATIOS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gridSpan w:val="2"/>
          </w:tcPr>
          <w:p>
            <w:pPr>
              <w:spacing w:after="0"/>
              <w:rPr>
                <w:sz w:val="20"/>
                <w:szCs w:val="20"/>
                <w:color w:val="auto"/>
              </w:rPr>
            </w:pPr>
            <w:r>
              <w:rPr>
                <w:rFonts w:ascii="Courier New" w:cs="Courier New" w:eastAsia="Courier New" w:hAnsi="Courier New"/>
                <w:sz w:val="14"/>
                <w:szCs w:val="14"/>
                <w:color w:val="auto"/>
              </w:rPr>
              <w:t>Return on Average Total Assets</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.96%(d)</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.87%(d)</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Return on Average</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Common Stockholders' Equity</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16.15</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13.86</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14.62</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11.88</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Return on Average</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Total Stockholders' Equity</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15.06</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13.06</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13.44</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11.29</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5.32</w:t>
            </w:r>
          </w:p>
        </w:tc>
      </w:tr>
      <w:tr>
        <w:trPr>
          <w:trHeight w:val="166"/>
        </w:trPr>
        <w:tc>
          <w:tcPr>
            <w:tcW w:w="4580" w:type="dxa"/>
            <w:vAlign w:val="bottom"/>
            <w:gridSpan w:val="2"/>
          </w:tcPr>
          <w:p>
            <w:pPr>
              <w:spacing w:after="0"/>
              <w:rPr>
                <w:sz w:val="20"/>
                <w:szCs w:val="20"/>
                <w:color w:val="auto"/>
              </w:rPr>
            </w:pPr>
            <w:r>
              <w:rPr>
                <w:rFonts w:ascii="Courier New" w:cs="Courier New" w:eastAsia="Courier New" w:hAnsi="Courier New"/>
                <w:sz w:val="14"/>
                <w:szCs w:val="14"/>
                <w:color w:val="auto"/>
              </w:rPr>
              <w:t>Common Dividend Payout</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r>
      <w:tr>
        <w:trPr>
          <w:trHeight w:val="166"/>
        </w:trPr>
        <w:tc>
          <w:tcPr>
            <w:tcW w:w="4580" w:type="dxa"/>
            <w:vAlign w:val="bottom"/>
            <w:gridSpan w:val="2"/>
          </w:tcPr>
          <w:p>
            <w:pPr>
              <w:spacing w:after="0"/>
              <w:rPr>
                <w:sz w:val="20"/>
                <w:szCs w:val="20"/>
                <w:color w:val="auto"/>
              </w:rPr>
            </w:pPr>
            <w:r>
              <w:rPr>
                <w:rFonts w:ascii="Courier New" w:cs="Courier New" w:eastAsia="Courier New" w:hAnsi="Courier New"/>
                <w:sz w:val="14"/>
                <w:szCs w:val="14"/>
                <w:color w:val="auto"/>
              </w:rPr>
              <w:t>Efficiency Ratio(e)</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63</w:t>
            </w:r>
          </w:p>
        </w:tc>
        <w:tc>
          <w:tcPr>
            <w:tcW w:w="1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w:t>
            </w:r>
          </w:p>
        </w:tc>
      </w:tr>
    </w:tbl>
    <w:p>
      <w:pPr>
        <w:spacing w:after="0" w:line="4"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CAPITAL RATIOS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Tier</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3540" w:type="dxa"/>
            <w:vAlign w:val="bottom"/>
          </w:tcPr>
          <w:p>
            <w:pPr>
              <w:ind w:left="60"/>
              <w:spacing w:after="0"/>
              <w:rPr>
                <w:sz w:val="20"/>
                <w:szCs w:val="20"/>
                <w:color w:val="auto"/>
              </w:rPr>
            </w:pPr>
            <w:r>
              <w:rPr>
                <w:rFonts w:ascii="Courier New" w:cs="Courier New" w:eastAsia="Courier New" w:hAnsi="Courier New"/>
                <w:sz w:val="14"/>
                <w:szCs w:val="14"/>
                <w:color w:val="auto"/>
              </w:rPr>
              <w:t>Leverage(f)</w:t>
            </w:r>
          </w:p>
        </w:tc>
        <w:tc>
          <w:tcPr>
            <w:tcW w:w="2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6.63%</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6.79%</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w w:val="95"/>
              </w:rPr>
              <w:t>5.01%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Tier</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3540" w:type="dxa"/>
            <w:vAlign w:val="bottom"/>
          </w:tcPr>
          <w:p>
            <w:pPr>
              <w:ind w:left="60"/>
              <w:spacing w:after="0"/>
              <w:rPr>
                <w:sz w:val="20"/>
                <w:szCs w:val="20"/>
                <w:color w:val="auto"/>
              </w:rPr>
            </w:pPr>
            <w:r>
              <w:rPr>
                <w:rFonts w:ascii="Courier New" w:cs="Courier New" w:eastAsia="Courier New" w:hAnsi="Courier New"/>
                <w:sz w:val="14"/>
                <w:szCs w:val="14"/>
                <w:color w:val="auto"/>
              </w:rPr>
              <w:t>Risk-Based Capital Ratio(f)</w:t>
            </w:r>
          </w:p>
        </w:tc>
        <w:tc>
          <w:tcPr>
            <w:tcW w:w="2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8.22</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8.05</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8.06</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7.01</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5.14</w:t>
            </w:r>
          </w:p>
        </w:tc>
      </w:tr>
      <w:tr>
        <w:trPr>
          <w:trHeight w:val="166"/>
        </w:trPr>
        <w:tc>
          <w:tcPr>
            <w:tcW w:w="4100" w:type="dxa"/>
            <w:vAlign w:val="bottom"/>
            <w:gridSpan w:val="3"/>
          </w:tcPr>
          <w:p>
            <w:pPr>
              <w:spacing w:after="0"/>
              <w:rPr>
                <w:sz w:val="20"/>
                <w:szCs w:val="20"/>
                <w:color w:val="auto"/>
              </w:rPr>
            </w:pPr>
            <w:r>
              <w:rPr>
                <w:rFonts w:ascii="Courier New" w:cs="Courier New" w:eastAsia="Courier New" w:hAnsi="Courier New"/>
                <w:sz w:val="14"/>
                <w:szCs w:val="14"/>
                <w:color w:val="auto"/>
              </w:rPr>
              <w:t>Total Risk-Based Capital Ratio(f)</w:t>
            </w:r>
          </w:p>
        </w:tc>
        <w:tc>
          <w:tcPr>
            <w:tcW w:w="2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12.27</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12.23</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12.35</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11.22</w:t>
            </w:r>
          </w:p>
        </w:tc>
        <w:tc>
          <w:tcPr>
            <w:tcW w:w="680" w:type="dxa"/>
            <w:vAlign w:val="bottom"/>
          </w:tcPr>
          <w:p>
            <w:pPr>
              <w:ind w:left="260"/>
              <w:spacing w:after="0"/>
              <w:rPr>
                <w:sz w:val="20"/>
                <w:szCs w:val="20"/>
                <w:color w:val="auto"/>
              </w:rPr>
            </w:pPr>
            <w:r>
              <w:rPr>
                <w:rFonts w:ascii="Courier New" w:cs="Courier New" w:eastAsia="Courier New" w:hAnsi="Courier New"/>
                <w:sz w:val="14"/>
                <w:szCs w:val="14"/>
                <w:color w:val="auto"/>
              </w:rPr>
              <w:t>9.25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firstLine="8"/>
        <w:spacing w:after="0" w:line="250" w:lineRule="auto"/>
        <w:tabs>
          <w:tab w:leader="none" w:pos="344"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1, 1995, The Chase Manhattan Corporation (the "Corporation") adopted Statement of Financial Accounting Standards No. 106, "Employer's Accounting for Postretirement Benefits Other Than Pensions" ("SFAS 106") for the accounting for other postretirement benefits relating to the Corporation's foreign plans. On January 1, 1993, the Corporation adopted SFAS 106 for its domestic plans, which resulted in a pre-tax charge of $685 million, and Statement of Financial Accounting Standards No. 109, "Accounting for Income Taxes" ("SFAS 109") which resulted in an income tax benefit of $1053 million.</w:t>
      </w:r>
    </w:p>
    <w:p>
      <w:pPr>
        <w:spacing w:after="0" w:line="3"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1991 amount excludes cash dividends of $.29 per share of Class B Common Stock. The Class B Common Stock was converted into the Corporation's Common Stock in the first quarter of 1992. (c) The pro forma section presents the earnings on a fully-taxed basis and excludes the impact of changes in accounting principles, restructuring charges, charges related to assets held for accelerated disposition and gains on the sales of such assets, gains on emerging markets past-due interest bond sales and foreclosed property expense. (d) On January 1, 1994, the Corporation adopted Financial Accounting Standards Board ("FASB") Interpretation No. 39 ("FASI 39"). Excluding the gross-up impact of FASI 39, the return on average assets for 1995 and 1994 was 1.07% and 0.95%, respectively. (e) Excluding the items discussed in (c) above. (f) Risk-based capital and leverage ratios exclude the assets and off-balance sheet financial instruments of the Corporation's securities subsidiaries, as well as the Corporation's investment in these subsidiaries.</w:t>
      </w:r>
    </w:p>
    <w:p>
      <w:pPr>
        <w:sectPr>
          <w:pgSz w:w="11900" w:h="16838" w:orient="portrait"/>
          <w:cols w:equalWidth="0" w:num="1">
            <w:col w:w="10239"/>
          </w:cols>
          <w:pgMar w:left="220" w:top="285" w:right="1440" w:bottom="1440" w:gutter="0" w:footer="0" w:header="0"/>
        </w:sectPr>
      </w:pPr>
    </w:p>
    <w:p>
      <w:pPr>
        <w:spacing w:after="0" w:line="162"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285"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338"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March 31, 1996, The Chase Manhattan Corporation ("Chase") merged with and into Chemical Banking Corporation ("Chemical"). Upon consummation of the merger, Chemical changed its name to "The Chase Manhattan Corporation" (the "Corporation"). The merger was accounted for as a pooling of interests and, accordingly, the information included in this annual report of the Corporation presents the combined results of Chase and Chemical as if the merger had been in effect for all periods presented. Certain forward-looking statements contained herein are subject to risks and uncertainties. The Corporation's actual results may differ materially from those set forth in such forward-looking statements. Reference is made to the Corporation's reports filed with the Securities and Exchange Commission for a discussion of factors that may cause such differences to occur.</w:t>
      </w:r>
    </w:p>
    <w:p>
      <w:pPr>
        <w:spacing w:after="0" w:line="16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OVERVIEW</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Corporation reported record net income of $2,959 million for 1995, an increase of 19% from net income of $2,486 million in 1994. The Corporation's primary earnings per share were $6.20 in 1995, an increase of 24% from $5.02 in 1994. On a fully-diluted basis, earnings per share were $6.04 in 1995, compared with $4.97 for the prior year. Reported return on average common stockholders' equity increased to 16.15% in 1995 from 13.86% in 1994. The 1995 results were characterized by improving performance trends, demonstrated expense management and a disciplined use of capital.</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Net income on a pro forma basis was $2,899 million in 1995, an increase of 12% from comparable earnings of $2,589 million in 1994. Pro forma primary earnings per share were $6.06 in 1995, an increase of 15% from $5.26 in 1994, while fully-diluted earnings per share were $5.91 in 1995, compared with $5.20 for the prior year. The pro forma results represent earnings on a fully-taxed basis and exclude the impact of changes in accounting principles, restructuring charges, charges related to assets held for accelerated disposition and gains on the sales of such assets, gains on emerging markets past-due interest bond sales and foreclosed property expense.</w:t>
      </w:r>
    </w:p>
    <w:p>
      <w:pPr>
        <w:spacing w:after="0" w:line="164"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merger of Chase and Chemical created a premier global financial services company that is the largest banking institution in the United States, with over $300 billion in assets, an estimated 25 million retail customers and leadership positions in corporate banking, global finance and other major business lines. The combination of the two companies represents a unique strategic fit, with complementary product capabilities and market coverage and with the scale necessary to support expansion and technological enhancements in all major products and markets.</w:t>
      </w:r>
    </w:p>
    <w:p>
      <w:pPr>
        <w:spacing w:after="0" w:line="164"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Under the terms of the merger agreement, approximately 183 million shares of common stock were issued in exchange for all of the outstanding shares of Chase's common stock (based on an exchange ratio of 1.04 shares of the Corporation's common stock for each share of Chase's common stock). All of Chase's series of preferred stock were exchanged on a one-for-one basis for a corresponding series of the Corporation's preferred stock having substantially the same terms as the Chase preferred stock so converted.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 NUMBER 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 NUMBER 2]</w:t>
      </w:r>
    </w:p>
    <w:p>
      <w:pPr>
        <w:spacing w:after="0" w:line="173"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PERFORMANCE TARGETS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March 21, 1996, the Corporation announced revised estimates of merger-related costs and anticipated savings as well as financial targets for the Corporation following the merger on March 31, 1996. The Corporation estimates that annual cost savings from the merger to be $1.7 billion, of which 30 percent is expected to be realized by the end of 1996, 70 percent by year-end 1997 and the total by the end of 1998. These annual cost savings are expected to be realized without job eliminations beyond those previously announced in August 1995.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285"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and Subsidiaries</w:t>
      </w:r>
    </w:p>
    <w:p>
      <w:pPr>
        <w:spacing w:after="0" w:line="338"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the merger, $1.9 billion of one-time merger-related costs</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have been identified, of which $1.65 billion (approximately $1.0 billion on an after-tax basis) was taken as a restructuring charge on March 31, 1996. The remaining $250 million will be substantially incurred over the next two years as these costs do not qualify for immediate recognition under a recently issued accounting pronouncement. The $1.9 billion of merger-related costs reflect severance expenses associated with the elimination of approximately 12,000 positions from a combined staff at the merger announcement date of approximately 75,000 located in 39 states and 52 countries and expenses associated with the elimination of redundant offices and operations. The impact of the merger charge is not reflected in the 1995 results.</w:t>
      </w:r>
    </w:p>
    <w:p>
      <w:pPr>
        <w:spacing w:after="0" w:line="163"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In connection with the merger, the Corporation announced longer-term financial targets of double-digit operating earnings per share growth in each of the three years through 1998, an efficiency ratio in the low 50 percent range and a return on average common shareholders' equity of 18 percent or higher by the end of 1998. For 1996, the operating goals for the Corporation are as follows:</w:t>
      </w:r>
    </w:p>
    <w:p>
      <w:pPr>
        <w:spacing w:after="0" w:line="327" w:lineRule="exact"/>
        <w:rPr>
          <w:sz w:val="20"/>
          <w:szCs w:val="20"/>
          <w:color w:val="auto"/>
        </w:rPr>
      </w:pPr>
    </w:p>
    <w:p>
      <w:pPr>
        <w:ind w:left="440" w:hanging="173"/>
        <w:spacing w:after="0"/>
        <w:tabs>
          <w:tab w:leader="none" w:pos="44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 growth in excess of 15 percent</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Efficiency ratio in the high 50 percent range</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revenue growth of 5 to 7 percent</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Noninterest expenses of approximately $9.1 billion</w:t>
      </w:r>
    </w:p>
    <w:p>
      <w:pPr>
        <w:spacing w:after="0" w:line="7" w:lineRule="exact"/>
        <w:rPr>
          <w:rFonts w:ascii="Courier New" w:cs="Courier New" w:eastAsia="Courier New" w:hAnsi="Courier New"/>
          <w:sz w:val="14"/>
          <w:szCs w:val="14"/>
          <w:color w:val="auto"/>
        </w:rPr>
      </w:pPr>
    </w:p>
    <w:p>
      <w:pPr>
        <w:ind w:left="440" w:hanging="173"/>
        <w:spacing w:after="0"/>
        <w:tabs>
          <w:tab w:leader="none" w:pos="44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 on average common stockholders' equity of 17 percent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RESULTS OF OPERATIONS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2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Year Ended December</w:t>
            </w:r>
          </w:p>
        </w:tc>
        <w:tc>
          <w:tcPr>
            <w:tcW w:w="2380" w:type="dxa"/>
            <w:vAlign w:val="bottom"/>
          </w:tcPr>
          <w:p>
            <w:pPr>
              <w:ind w:left="60"/>
              <w:spacing w:after="0"/>
              <w:rPr>
                <w:sz w:val="20"/>
                <w:szCs w:val="20"/>
                <w:color w:val="auto"/>
              </w:rPr>
            </w:pPr>
            <w:r>
              <w:rPr>
                <w:rFonts w:ascii="Courier New" w:cs="Courier New" w:eastAsia="Courier New" w:hAnsi="Courier New"/>
                <w:sz w:val="14"/>
                <w:szCs w:val="14"/>
                <w:color w:val="auto"/>
              </w:rPr>
              <w:t>31, (in millions)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24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Domestic</w:t>
            </w: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6,402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6,431</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Overseas</w:t>
            </w:r>
          </w:p>
        </w:tc>
        <w:tc>
          <w:tcPr>
            <w:tcW w:w="2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1,881</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Total Net Interest Income</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8,202</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8,312</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Taxable-Equivalent Adjustment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00" w:type="dxa"/>
            <w:vAlign w:val="bottom"/>
            <w:gridSpan w:val="2"/>
          </w:tcPr>
          <w:p>
            <w:pPr>
              <w:spacing w:after="0"/>
              <w:rPr>
                <w:sz w:val="20"/>
                <w:szCs w:val="20"/>
                <w:color w:val="auto"/>
              </w:rPr>
            </w:pPr>
            <w:r>
              <w:rPr>
                <w:rFonts w:ascii="Courier New" w:cs="Courier New" w:eastAsia="Courier New" w:hAnsi="Courier New"/>
                <w:sz w:val="14"/>
                <w:szCs w:val="14"/>
                <w:color w:val="auto"/>
              </w:rPr>
              <w:t>Net Interest Income-Taxable-Equivalent Basis(a)</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8,247</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8,361</w:t>
            </w:r>
          </w:p>
        </w:tc>
      </w:tr>
    </w:tbl>
    <w:p>
      <w:pPr>
        <w:spacing w:after="0" w:line="4"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Average Interest-Earning Assets: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620" w:type="dxa"/>
            <w:vAlign w:val="bottom"/>
          </w:tcPr>
          <w:p>
            <w:pPr>
              <w:spacing w:after="0"/>
              <w:rPr>
                <w:sz w:val="20"/>
                <w:szCs w:val="20"/>
                <w:color w:val="auto"/>
              </w:rPr>
            </w:pPr>
            <w:r>
              <w:rPr>
                <w:rFonts w:ascii="Courier New" w:cs="Courier New" w:eastAsia="Courier New" w:hAnsi="Courier New"/>
                <w:sz w:val="14"/>
                <w:szCs w:val="14"/>
                <w:color w:val="auto"/>
              </w:rPr>
              <w:t>Domestic</w:t>
            </w:r>
          </w:p>
        </w:tc>
        <w:tc>
          <w:tcPr>
            <w:tcW w:w="2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$176,058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$163,022</w:t>
            </w:r>
          </w:p>
        </w:tc>
      </w:tr>
      <w:tr>
        <w:trPr>
          <w:trHeight w:val="166"/>
        </w:trPr>
        <w:tc>
          <w:tcPr>
            <w:tcW w:w="2620" w:type="dxa"/>
            <w:vAlign w:val="bottom"/>
          </w:tcPr>
          <w:p>
            <w:pPr>
              <w:spacing w:after="0"/>
              <w:rPr>
                <w:sz w:val="20"/>
                <w:szCs w:val="20"/>
                <w:color w:val="auto"/>
              </w:rPr>
            </w:pPr>
            <w:r>
              <w:rPr>
                <w:rFonts w:ascii="Courier New" w:cs="Courier New" w:eastAsia="Courier New" w:hAnsi="Courier New"/>
                <w:sz w:val="14"/>
                <w:szCs w:val="14"/>
                <w:color w:val="auto"/>
              </w:rPr>
              <w:t>Overseas</w:t>
            </w:r>
          </w:p>
        </w:tc>
        <w:tc>
          <w:tcPr>
            <w:tcW w:w="2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68,449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64,248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Total Average Interest-Earning Assets</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$244,507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$227,270</w:t>
            </w:r>
          </w:p>
        </w:tc>
      </w:tr>
    </w:tbl>
    <w:p>
      <w:pPr>
        <w:spacing w:after="0" w:line="4"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Yield on Interest-Earning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Domestic</w:t>
            </w:r>
          </w:p>
        </w:tc>
        <w:tc>
          <w:tcPr>
            <w:tcW w:w="1200" w:type="dxa"/>
            <w:vAlign w:val="bottom"/>
          </w:tcPr>
          <w:p>
            <w:pPr>
              <w:ind w:left="440"/>
              <w:spacing w:after="0"/>
              <w:rPr>
                <w:sz w:val="20"/>
                <w:szCs w:val="20"/>
                <w:color w:val="auto"/>
              </w:rPr>
            </w:pPr>
            <w:r>
              <w:rPr>
                <w:rFonts w:ascii="Courier New" w:cs="Courier New" w:eastAsia="Courier New" w:hAnsi="Courier New"/>
                <w:sz w:val="14"/>
                <w:szCs w:val="14"/>
                <w:color w:val="auto"/>
              </w:rPr>
              <w:t>3.66%</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3.97%</w:t>
            </w:r>
          </w:p>
        </w:tc>
      </w:tr>
      <w:tr>
        <w:trPr>
          <w:trHeight w:val="166"/>
        </w:trPr>
        <w:tc>
          <w:tcPr>
            <w:tcW w:w="140" w:type="dxa"/>
            <w:vAlign w:val="bottom"/>
          </w:tcPr>
          <w:p>
            <w:pPr>
              <w:spacing w:after="0"/>
              <w:rPr>
                <w:sz w:val="14"/>
                <w:szCs w:val="14"/>
                <w:color w:val="auto"/>
              </w:rPr>
            </w:pP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Overseas</w:t>
            </w:r>
          </w:p>
        </w:tc>
        <w:tc>
          <w:tcPr>
            <w:tcW w:w="1200" w:type="dxa"/>
            <w:vAlign w:val="bottom"/>
          </w:tcPr>
          <w:p>
            <w:pPr>
              <w:ind w:left="440"/>
              <w:spacing w:after="0"/>
              <w:rPr>
                <w:sz w:val="20"/>
                <w:szCs w:val="20"/>
                <w:color w:val="auto"/>
              </w:rPr>
            </w:pPr>
            <w:r>
              <w:rPr>
                <w:rFonts w:ascii="Courier New" w:cs="Courier New" w:eastAsia="Courier New" w:hAnsi="Courier New"/>
                <w:sz w:val="14"/>
                <w:szCs w:val="14"/>
                <w:color w:val="auto"/>
              </w:rPr>
              <w:t>2.64</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2.94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Net Yield on Interest-Earning Assets</w:t>
            </w:r>
          </w:p>
        </w:tc>
        <w:tc>
          <w:tcPr>
            <w:tcW w:w="1200" w:type="dxa"/>
            <w:vAlign w:val="bottom"/>
          </w:tcPr>
          <w:p>
            <w:pPr>
              <w:ind w:left="440"/>
              <w:spacing w:after="0"/>
              <w:rPr>
                <w:sz w:val="20"/>
                <w:szCs w:val="20"/>
                <w:color w:val="auto"/>
              </w:rPr>
            </w:pPr>
            <w:r>
              <w:rPr>
                <w:rFonts w:ascii="Courier New" w:cs="Courier New" w:eastAsia="Courier New" w:hAnsi="Courier New"/>
                <w:sz w:val="14"/>
                <w:szCs w:val="14"/>
                <w:color w:val="auto"/>
              </w:rPr>
              <w:t>3.37%</w:t>
            </w:r>
          </w:p>
        </w:tc>
        <w:tc>
          <w:tcPr>
            <w:tcW w:w="1220" w:type="dxa"/>
            <w:vAlign w:val="bottom"/>
          </w:tcPr>
          <w:p>
            <w:pPr>
              <w:ind w:left="360"/>
              <w:spacing w:after="0"/>
              <w:rPr>
                <w:sz w:val="20"/>
                <w:szCs w:val="20"/>
                <w:color w:val="auto"/>
              </w:rPr>
            </w:pPr>
            <w:r>
              <w:rPr>
                <w:rFonts w:ascii="Courier New" w:cs="Courier New" w:eastAsia="Courier New" w:hAnsi="Courier New"/>
                <w:sz w:val="14"/>
                <w:szCs w:val="14"/>
                <w:color w:val="auto"/>
              </w:rPr>
              <w:t>3.68%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599" w:firstLine="8"/>
        <w:spacing w:after="0" w:line="255" w:lineRule="auto"/>
        <w:tabs>
          <w:tab w:leader="none" w:pos="344"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Reflected on a taxable equivalent basis in order to permit comparisons of yields on tax-exempt and taxable assets.</w:t>
      </w:r>
    </w:p>
    <w:p>
      <w:pPr>
        <w:spacing w:after="0" w:line="160"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Reported net interest income for 1995 was $8,202 million, compared with $8,312 million in 1994. The reduction in 1995 net interest income from 1994 reflects a higher level of credit card receivable securitizations and the sale of certain New Jersey operations in the fourth quarter, which reduced net interest income by $94 million and $33 million, respectively. Excluding the impact of these factors, the improvement in 1995 was primarily due to an increase in interest-earning assets (led by growth in consumer loans) and higher levels of trading-related net interest income, partially offset by narrower spreads.</w:t>
      </w:r>
    </w:p>
    <w:p>
      <w:pPr>
        <w:spacing w:after="0" w:line="329"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interest rate spread, which is the difference between the average rate on interest-earning assets and the average rate on interest-bearing liabilities, was 2.58% for 1995, compared with 3.02% for 1994. The net yield on interest-earning assets, which is the average rate for interest-earning assets less the average rate paid for all sources of funds, including the impact of interest-free funds, was 3.37% in 1995, compared with 3.68% in 1994. The declines in 1995 principally reflected narrower loan spreads due to increased pressure on loan pricings, the impact of higher interest rates on wholesale funding, and the securitization of credit card receivables. These factors were partially offset by an increased contribution from noninterest-bearing funds due to an increase in compensating balances as a result of higher short-term interest rates in 1995.</w:t>
      </w:r>
    </w:p>
    <w:p>
      <w:pPr>
        <w:spacing w:after="0" w:line="329"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[GRAPH NUMBER 3]</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[GRAPH NUMBER 4]</w:t>
      </w:r>
    </w:p>
    <w:p>
      <w:pPr>
        <w:sectPr>
          <w:pgSz w:w="11900" w:h="16838" w:orient="portrait"/>
          <w:cols w:equalWidth="0" w:num="1">
            <w:col w:w="10239"/>
          </w:cols>
          <w:pgMar w:left="220" w:top="285" w:right="1440" w:bottom="591" w:gutter="0" w:footer="0" w:header="0"/>
        </w:sectPr>
      </w:pPr>
    </w:p>
    <w:p>
      <w:pPr>
        <w:spacing w:after="0" w:line="7"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285" w:right="1440" w:bottom="591"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reflects the composition of interest-earning assets as a</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percentage of total earning assets, as well as the interest rate spread and the net yield on interest-earning assets, for the periods indicated.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AVERAGE INTEREST-EARNING ASSET MIX</w:t>
            </w: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920" w:type="dxa"/>
            <w:vAlign w:val="bottom"/>
          </w:tcPr>
          <w:p>
            <w:pPr>
              <w:spacing w:after="0"/>
              <w:rPr>
                <w:sz w:val="20"/>
                <w:szCs w:val="20"/>
                <w:color w:val="auto"/>
              </w:rPr>
            </w:pPr>
            <w:r>
              <w:rPr>
                <w:rFonts w:ascii="Courier New" w:cs="Courier New" w:eastAsia="Courier New" w:hAnsi="Courier New"/>
                <w:sz w:val="14"/>
                <w:szCs w:val="14"/>
                <w:color w:val="auto"/>
              </w:rPr>
              <w:t>Year Ended December 31, (in billions)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2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$ 69.5</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28%</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$ 59.6</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w w:val="95"/>
              </w:rPr>
              <w:t>26%</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Commercial Loans</w:t>
            </w:r>
          </w:p>
        </w:tc>
        <w:tc>
          <w:tcPr>
            <w:tcW w:w="2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77.0</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32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77.1</w:t>
            </w:r>
          </w:p>
        </w:tc>
        <w:tc>
          <w:tcPr>
            <w:tcW w:w="420" w:type="dxa"/>
            <w:vAlign w:val="bottom"/>
          </w:tcPr>
          <w:p>
            <w:pPr>
              <w:ind w:left="160"/>
              <w:spacing w:after="0"/>
              <w:rPr>
                <w:sz w:val="20"/>
                <w:szCs w:val="20"/>
                <w:color w:val="auto"/>
              </w:rPr>
            </w:pPr>
            <w:r>
              <w:rPr>
                <w:rFonts w:ascii="Courier New" w:cs="Courier New" w:eastAsia="Courier New" w:hAnsi="Courier New"/>
                <w:sz w:val="14"/>
                <w:szCs w:val="14"/>
                <w:color w:val="auto"/>
              </w:rPr>
              <w:t>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Total Loans</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146.5</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36.7</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Liquid Interest-Earning Assets</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61.3</w:t>
            </w: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120" w:val="left"/>
          <w:tab w:leader="none" w:pos="4900" w:val="left"/>
          <w:tab w:leader="none" w:pos="5580" w:val="left"/>
          <w:tab w:leader="none" w:pos="6360" w:val="left"/>
        </w:tabs>
        <w:rPr>
          <w:sz w:val="20"/>
          <w:szCs w:val="20"/>
          <w:color w:val="auto"/>
        </w:rPr>
      </w:pPr>
      <w:r>
        <w:rPr>
          <w:rFonts w:ascii="Courier New" w:cs="Courier New" w:eastAsia="Courier New" w:hAnsi="Courier New"/>
          <w:sz w:val="14"/>
          <w:szCs w:val="14"/>
          <w:color w:val="auto"/>
        </w:rPr>
        <w:t>Total Interest-Earning Assets</w:t>
      </w:r>
      <w:r>
        <w:rPr>
          <w:sz w:val="20"/>
          <w:szCs w:val="20"/>
          <w:color w:val="auto"/>
        </w:rPr>
        <w:tab/>
      </w:r>
      <w:r>
        <w:rPr>
          <w:rFonts w:ascii="Courier New" w:cs="Courier New" w:eastAsia="Courier New" w:hAnsi="Courier New"/>
          <w:sz w:val="14"/>
          <w:szCs w:val="14"/>
          <w:color w:val="auto"/>
        </w:rPr>
        <w:t>$244.5</w:t>
      </w:r>
      <w:r>
        <w:rPr>
          <w:sz w:val="20"/>
          <w:szCs w:val="20"/>
          <w:color w:val="auto"/>
        </w:rPr>
        <w:tab/>
      </w:r>
      <w:r>
        <w:rPr>
          <w:rFonts w:ascii="Courier New" w:cs="Courier New" w:eastAsia="Courier New" w:hAnsi="Courier New"/>
          <w:sz w:val="14"/>
          <w:szCs w:val="14"/>
          <w:color w:val="auto"/>
        </w:rPr>
        <w:t>100%</w:t>
      </w:r>
      <w:r>
        <w:rPr>
          <w:sz w:val="20"/>
          <w:szCs w:val="20"/>
          <w:color w:val="auto"/>
        </w:rPr>
        <w:tab/>
      </w:r>
      <w:r>
        <w:rPr>
          <w:rFonts w:ascii="Courier New" w:cs="Courier New" w:eastAsia="Courier New" w:hAnsi="Courier New"/>
          <w:sz w:val="14"/>
          <w:szCs w:val="14"/>
          <w:color w:val="auto"/>
        </w:rPr>
        <w:t>$227.3</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300" w:val="left"/>
          <w:tab w:leader="none" w:pos="5760" w:val="left"/>
        </w:tabs>
        <w:rPr>
          <w:sz w:val="20"/>
          <w:szCs w:val="20"/>
          <w:color w:val="auto"/>
        </w:rPr>
      </w:pPr>
      <w:r>
        <w:rPr>
          <w:rFonts w:ascii="Courier New" w:cs="Courier New" w:eastAsia="Courier New" w:hAnsi="Courier New"/>
          <w:sz w:val="14"/>
          <w:szCs w:val="14"/>
          <w:color w:val="auto"/>
        </w:rPr>
        <w:t>Interest Rate Spread</w:t>
      </w:r>
      <w:r>
        <w:rPr>
          <w:sz w:val="20"/>
          <w:szCs w:val="20"/>
          <w:color w:val="auto"/>
        </w:rPr>
        <w:tab/>
      </w:r>
      <w:r>
        <w:rPr>
          <w:rFonts w:ascii="Courier New" w:cs="Courier New" w:eastAsia="Courier New" w:hAnsi="Courier New"/>
          <w:sz w:val="14"/>
          <w:szCs w:val="14"/>
          <w:color w:val="auto"/>
        </w:rPr>
        <w:t>2.58%</w:t>
      </w:r>
      <w:r>
        <w:rPr>
          <w:sz w:val="20"/>
          <w:szCs w:val="20"/>
          <w:color w:val="auto"/>
        </w:rPr>
        <w:tab/>
      </w:r>
      <w:r>
        <w:rPr>
          <w:rFonts w:ascii="Courier New" w:cs="Courier New" w:eastAsia="Courier New" w:hAnsi="Courier New"/>
          <w:sz w:val="14"/>
          <w:szCs w:val="14"/>
          <w:color w:val="auto"/>
        </w:rPr>
        <w:t>3.02%</w:t>
      </w:r>
    </w:p>
    <w:p>
      <w:pPr>
        <w:spacing w:after="0" w:line="7"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Net Yield on</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Interest-Earning Assets</w:t>
            </w:r>
          </w:p>
        </w:tc>
        <w:tc>
          <w:tcPr>
            <w:tcW w:w="20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3.37%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Corporation's average total loans in 1995 were $146.5 billion, compared with $136.7 billion in 1994. The increase reflected the continued growth in consumer loans (principally from residential mortgage and credit card activities) and commercial lending, partially offset by a reduction in the commercial real estate portfolio.</w:t>
      </w:r>
    </w:p>
    <w:p>
      <w:pPr>
        <w:spacing w:after="0" w:line="165"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growth in interest-earning assets was funded by a $14.4 billion increase in interest-bearing liabilities. For 1995, average interest-bearing liabilities were $209.0 billion, compared with $194.6 billion for 1994, principally due to a higher level of foreign interest-bearing deposits and Federal funds purchased and securities sold under repurchase agreements. The Corporation utilizes repurchase agreements as a source of short-term funding for trading-related positions and for its securities portfolio.</w:t>
      </w:r>
    </w:p>
    <w:p>
      <w:pPr>
        <w:spacing w:after="0" w:line="164"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The negative impact on net interest income from nonperforming loans in 1995 was $94 million, compared with $106 million in 1994, reflecting the continued reduction in the level of the Corporation's nonperforming loans.</w:t>
      </w:r>
    </w:p>
    <w:p>
      <w:pPr>
        <w:spacing w:after="0" w:line="163" w:lineRule="exact"/>
        <w:rPr>
          <w:sz w:val="20"/>
          <w:szCs w:val="20"/>
          <w:color w:val="auto"/>
        </w:rPr>
      </w:pPr>
    </w:p>
    <w:p>
      <w:pPr>
        <w:ind w:right="3519" w:firstLine="258"/>
        <w:spacing w:after="0" w:line="255" w:lineRule="auto"/>
        <w:rPr>
          <w:sz w:val="20"/>
          <w:szCs w:val="20"/>
          <w:color w:val="auto"/>
        </w:rPr>
      </w:pPr>
      <w:r>
        <w:rPr>
          <w:rFonts w:ascii="Courier New" w:cs="Courier New" w:eastAsia="Courier New" w:hAnsi="Courier New"/>
          <w:sz w:val="14"/>
          <w:szCs w:val="14"/>
          <w:color w:val="auto"/>
        </w:rPr>
        <w:t>For additional information on average balances and net interest income, see Average Consolidated Balance Sheet, Interest and Rates on page 83.</w:t>
      </w:r>
    </w:p>
    <w:p>
      <w:pPr>
        <w:spacing w:after="0" w:line="160"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Management anticipates that, given its current expectations for interest rate movements in 1996, the Corporation's net interest income in 1996 will be approximately 3 to 4 percent higher than in 1995 (prior to the impact of securitizations to be undertaken during 1996).</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LOSSES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provision for losses in 1995 was $758 million, a decline of 28% from $1,050 million in 1994, reflecting a significant improvement in the Corporation's credit quality and an increase in commercial loan recoveries. Management anticipates that the provision for losses in 1996 will increase over the 1995 level due to a lower level of commercial loan recoveries and higher credit card charge-offs. For a discussion of the Corporation's net charge-offs, see page 33.</w:t>
      </w:r>
    </w:p>
    <w:p>
      <w:pPr>
        <w:spacing w:after="0" w:line="16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[GRAPH NUMBER 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NONINTEREST REVENUE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Noninterest revenue totaled $6,758 million in 1995, an increase of $57 million when compared with 1994. The 1995 results reflected a 7% increase in fees and commissions, principally from corporate finance and syndication activities and credit card revenue, partially offset by declines in trading revenue and lower other revenue. Other revenue declined in 1995 due to the absence of nonrecurring gains that were included in the 1994 results.</w:t>
      </w:r>
    </w:p>
    <w:p>
      <w:pPr>
        <w:spacing w:after="0" w:line="164" w:lineRule="exact"/>
        <w:rPr>
          <w:sz w:val="20"/>
          <w:szCs w:val="20"/>
          <w:color w:val="auto"/>
        </w:rPr>
      </w:pPr>
    </w:p>
    <w:p>
      <w:pPr>
        <w:ind w:right="3599" w:firstLine="258"/>
        <w:spacing w:after="0" w:line="255" w:lineRule="auto"/>
        <w:rPr>
          <w:sz w:val="20"/>
          <w:szCs w:val="20"/>
          <w:color w:val="auto"/>
        </w:rPr>
      </w:pPr>
      <w:r>
        <w:rPr>
          <w:rFonts w:ascii="Courier New" w:cs="Courier New" w:eastAsia="Courier New" w:hAnsi="Courier New"/>
          <w:sz w:val="14"/>
          <w:szCs w:val="14"/>
          <w:color w:val="auto"/>
        </w:rPr>
        <w:t>The following table presents the components of noninterest revenue for the periods indicated.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18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1995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Corporate Finance and Syndication Fees</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796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593</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Trust and Investment Management Fees</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1,018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1,056</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Credit Card Revenue</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754</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Service Charges on Deposit Accounts</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408</w:t>
            </w:r>
          </w:p>
        </w:tc>
      </w:tr>
      <w:tr>
        <w:trPr>
          <w:trHeight w:val="166"/>
        </w:trPr>
        <w:tc>
          <w:tcPr>
            <w:tcW w:w="4060" w:type="dxa"/>
            <w:vAlign w:val="bottom"/>
          </w:tcPr>
          <w:p>
            <w:pPr>
              <w:spacing w:after="0"/>
              <w:rPr>
                <w:sz w:val="20"/>
                <w:szCs w:val="20"/>
                <w:color w:val="auto"/>
              </w:rPr>
            </w:pPr>
            <w:r>
              <w:rPr>
                <w:rFonts w:ascii="Courier New" w:cs="Courier New" w:eastAsia="Courier New" w:hAnsi="Courier New"/>
                <w:sz w:val="14"/>
                <w:szCs w:val="14"/>
                <w:color w:val="auto"/>
              </w:rPr>
              <w:t>Fees for Other Financial Services</w:t>
            </w:r>
          </w:p>
        </w:tc>
        <w:tc>
          <w:tcPr>
            <w:tcW w:w="1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1,453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Fees</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and Commissions</w:t>
            </w:r>
          </w:p>
        </w:tc>
        <w:tc>
          <w:tcPr>
            <w:tcW w:w="2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4,518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4,224</w:t>
            </w:r>
          </w:p>
        </w:tc>
      </w:tr>
      <w:tr>
        <w:trPr>
          <w:trHeight w:val="166"/>
        </w:trPr>
        <w:tc>
          <w:tcPr>
            <w:tcW w:w="3580" w:type="dxa"/>
            <w:vAlign w:val="bottom"/>
            <w:gridSpan w:val="3"/>
          </w:tcPr>
          <w:p>
            <w:pPr>
              <w:spacing w:after="0"/>
              <w:rPr>
                <w:sz w:val="20"/>
                <w:szCs w:val="20"/>
                <w:color w:val="auto"/>
              </w:rPr>
            </w:pPr>
            <w:r>
              <w:rPr>
                <w:rFonts w:ascii="Courier New" w:cs="Courier New" w:eastAsia="Courier New" w:hAnsi="Courier New"/>
                <w:sz w:val="14"/>
                <w:szCs w:val="14"/>
                <w:color w:val="auto"/>
              </w:rPr>
              <w:t>Trading Revenue</w:t>
            </w:r>
          </w:p>
        </w:tc>
        <w:tc>
          <w:tcPr>
            <w:tcW w:w="2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1,016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1,173</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2660" w:type="dxa"/>
            <w:vAlign w:val="bottom"/>
          </w:tcPr>
          <w:p>
            <w:pPr>
              <w:ind w:left="40"/>
              <w:spacing w:after="0"/>
              <w:rPr>
                <w:sz w:val="20"/>
                <w:szCs w:val="20"/>
                <w:color w:val="auto"/>
              </w:rPr>
            </w:pPr>
            <w:r>
              <w:rPr>
                <w:rFonts w:ascii="Courier New" w:cs="Courier New" w:eastAsia="Courier New" w:hAnsi="Courier New"/>
                <w:sz w:val="14"/>
                <w:szCs w:val="14"/>
                <w:color w:val="auto"/>
              </w:rPr>
              <w:t>Gains</w:t>
            </w:r>
          </w:p>
        </w:tc>
        <w:tc>
          <w:tcPr>
            <w:tcW w:w="2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Revenue</w:t>
            </w:r>
          </w:p>
        </w:tc>
        <w:tc>
          <w:tcPr>
            <w:tcW w:w="2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1,092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820" w:val="left"/>
          <w:tab w:leader="none" w:pos="6360" w:val="left"/>
        </w:tabs>
        <w:rPr>
          <w:sz w:val="20"/>
          <w:szCs w:val="20"/>
          <w:color w:val="auto"/>
        </w:rPr>
      </w:pPr>
      <w:r>
        <w:rPr>
          <w:rFonts w:ascii="Courier New" w:cs="Courier New" w:eastAsia="Courier New" w:hAnsi="Courier New"/>
          <w:sz w:val="14"/>
          <w:szCs w:val="14"/>
          <w:color w:val="auto"/>
        </w:rPr>
        <w:t>Total Noninterest Revenue</w:t>
      </w:r>
      <w:r>
        <w:rPr>
          <w:sz w:val="20"/>
          <w:szCs w:val="20"/>
          <w:color w:val="auto"/>
        </w:rPr>
        <w:tab/>
      </w:r>
      <w:r>
        <w:rPr>
          <w:rFonts w:ascii="Courier New" w:cs="Courier New" w:eastAsia="Courier New" w:hAnsi="Courier New"/>
          <w:sz w:val="14"/>
          <w:szCs w:val="14"/>
          <w:color w:val="auto"/>
        </w:rPr>
        <w:t>$6,758</w:t>
      </w:r>
      <w:r>
        <w:rPr>
          <w:sz w:val="20"/>
          <w:szCs w:val="20"/>
          <w:color w:val="auto"/>
        </w:rPr>
        <w:tab/>
      </w:r>
      <w:r>
        <w:rPr>
          <w:rFonts w:ascii="Courier New" w:cs="Courier New" w:eastAsia="Courier New" w:hAnsi="Courier New"/>
          <w:sz w:val="14"/>
          <w:szCs w:val="14"/>
          <w:color w:val="auto"/>
        </w:rPr>
        <w:t>$6,701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5" w:right="1440" w:bottom="0" w:gutter="0" w:footer="0" w:header="0"/>
        </w:sectPr>
      </w:pPr>
    </w:p>
    <w:bookmarkStart w:id="24" w:name="page25"/>
    <w:bookmarkEnd w:id="24"/>
    <w:p>
      <w:pPr>
        <w:spacing w:after="0"/>
        <w:rPr>
          <w:sz w:val="20"/>
          <w:szCs w:val="20"/>
          <w:color w:val="auto"/>
        </w:rPr>
      </w:pPr>
      <w:r>
        <w:rPr>
          <w:rFonts w:ascii="Courier New" w:cs="Courier New" w:eastAsia="Courier New" w:hAnsi="Courier New"/>
          <w:sz w:val="14"/>
          <w:szCs w:val="14"/>
          <w:color w:val="auto"/>
        </w:rPr>
        <w:t>FEES AND COMMISSIONS</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Total fees and commissions were $4,518 million in 1995, a 7% increase from $4,224 million in 1994.</w:t>
      </w:r>
    </w:p>
    <w:p>
      <w:pPr>
        <w:spacing w:after="0" w:line="160"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Corporate finance and syndication fees include revenue from managing and syndicating loan arrangements; providing financial advisory services in connection with leveraged buyouts, recapitalizations and mergers and acquisitions; and arranging private placements and underwriting public debt and equity securities. Corporate finance and syndication fees in 1995 reached a record level of $796 million, a 34% increase from the prior year, principally reflecting increases in global investment banking activities, especially loan syndications and new issues of high-yield securities.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141"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1995, the Corporation acted as agent or co-agent for approximately $533 billion of syndicated credit facilities, compared with $392 billion in 1994, a reflection of the Corporation's large client base and strong emphasis on distribution.</w:t>
      </w:r>
    </w:p>
    <w:p>
      <w:pPr>
        <w:spacing w:after="0" w:line="162"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Trust and investment management fees are primarily generated from services provided to corporate, institutional and private banking clients on a global basis. The Corporation's corporate and institutional trust area provides customers with a full range of services such as trustee and securities processing and custody, as well as investment advisory and administrative functions for customers' pension and other employee benefit plans. The Corporation's Global Asset Management and Private Banking area provides asset management to institutions, as well as investment management, personal trust, custody and a full range of financial services to high-net worth individuals. The Corporation's families of proprietary mutual funds, the Vista Family of Mutual Funds and The Hanover Funds, are managed within the Global Asset Management and Private Banking area. As of December 31, 1995, the Corporation directly managed in excess of $100 billion of assets.</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Trust and investment management fees were $1,018 million, a decline of 4% from the 1994 level largely due to the absence of $46 million in fees in 1995 related to the joint venture with Mellon Bank Corporation. As a result of the shareholder services joint venture between the Corporation and Mellon Bank Corporation, effective January 1, 1995, revenues and expenses of the affected business units were reflected on an equity basis within other revenue. Partially offsetting this decline was business growth and revenue from the securities processing businesses acquired from the U.S. Trust Corporation ("U.S. Trust") in September 1995. Investment management fees in 1995 remained consistent with that of the prior year, as an increase in assets under management was offset by pricing pressures affecting the business.</w:t>
      </w:r>
    </w:p>
    <w:p>
      <w:pPr>
        <w:spacing w:after="0" w:line="16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[GRAPH NUMBER 6]</w:t>
      </w:r>
    </w:p>
    <w:p>
      <w:pPr>
        <w:spacing w:after="0" w:line="17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Credit card revenue increased $80 million from the 1994 level due to an increased volume of retail credit card receivables from a growing cardholder base, as well as increased fees related to the securitization of $4.75 billion in credit card outstandings in 1995. For a further discussion of the credit card portfolio and related securitization activity, see pages 34-35.</w:t>
      </w:r>
    </w:p>
    <w:p>
      <w:pPr>
        <w:spacing w:after="0" w:line="165" w:lineRule="exact"/>
        <w:rPr>
          <w:sz w:val="20"/>
          <w:szCs w:val="20"/>
          <w:color w:val="auto"/>
        </w:rPr>
      </w:pPr>
    </w:p>
    <w:p>
      <w:pPr>
        <w:jc w:val="both"/>
        <w:ind w:right="3519" w:firstLine="258"/>
        <w:spacing w:after="0" w:line="252" w:lineRule="auto"/>
        <w:rPr>
          <w:sz w:val="20"/>
          <w:szCs w:val="20"/>
          <w:color w:val="auto"/>
        </w:rPr>
      </w:pPr>
      <w:r>
        <w:rPr>
          <w:rFonts w:ascii="Courier New" w:cs="Courier New" w:eastAsia="Courier New" w:hAnsi="Courier New"/>
          <w:sz w:val="14"/>
          <w:szCs w:val="14"/>
          <w:color w:val="auto"/>
        </w:rPr>
        <w:t>Fees for other financial services for 1995 were $1,453 million, an increase of $40 million from a year ago. The following table reflects the components of fees for other financial services for the periods indicated.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1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Commissions on Letters of Credit and Acceptances</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334</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Fees</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in Lieu of Compensating Balances</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314</w:t>
            </w:r>
          </w:p>
        </w:tc>
      </w:tr>
      <w:tr>
        <w:trPr>
          <w:trHeight w:val="166"/>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Mortgage Servicing Fees</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Loan</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Commitment Fees</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116</w:t>
            </w:r>
          </w:p>
        </w:tc>
      </w:tr>
      <w:tr>
        <w:trPr>
          <w:trHeight w:val="166"/>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13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469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500" w:val="left"/>
          <w:tab w:leader="none" w:pos="6360" w:val="left"/>
        </w:tabs>
        <w:rPr>
          <w:sz w:val="20"/>
          <w:szCs w:val="20"/>
          <w:color w:val="auto"/>
        </w:rPr>
      </w:pPr>
      <w:r>
        <w:rPr>
          <w:rFonts w:ascii="Courier New" w:cs="Courier New" w:eastAsia="Courier New" w:hAnsi="Courier New"/>
          <w:sz w:val="14"/>
          <w:szCs w:val="14"/>
          <w:color w:val="auto"/>
        </w:rPr>
        <w:t>Total Fees for Other Financial Services</w:t>
      </w:r>
      <w:r>
        <w:rPr>
          <w:sz w:val="20"/>
          <w:szCs w:val="20"/>
          <w:color w:val="auto"/>
        </w:rPr>
        <w:tab/>
      </w:r>
      <w:r>
        <w:rPr>
          <w:rFonts w:ascii="Courier New" w:cs="Courier New" w:eastAsia="Courier New" w:hAnsi="Courier New"/>
          <w:sz w:val="14"/>
          <w:szCs w:val="14"/>
          <w:color w:val="auto"/>
        </w:rPr>
        <w:t>$1,453</w:t>
      </w:r>
      <w:r>
        <w:rPr>
          <w:sz w:val="20"/>
          <w:szCs w:val="20"/>
          <w:color w:val="auto"/>
        </w:rPr>
        <w:tab/>
      </w:r>
      <w:r>
        <w:rPr>
          <w:rFonts w:ascii="Courier New" w:cs="Courier New" w:eastAsia="Courier New" w:hAnsi="Courier New"/>
          <w:sz w:val="14"/>
          <w:szCs w:val="14"/>
          <w:color w:val="auto"/>
        </w:rPr>
        <w:t>$1,413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Mortgage servicing fees increased $32 million in 1995 reflecting a higher level of mortgage servicing volume resulting from the acquisitions of Margaretten Financial Corporation ("Margaretten") in July 1994, and American Residential Holding Corporation ("AmRes") in September 1994, as well as additions to the portfolio from purchases of servicing portfolios and mortgage originations during 1995. The Corporation's residential mortgage servicing portfolio increased $13.8 billion to $132.1 billion in 1995. For a further discussion on the Corporation's mortgage banking activities, see the residential mortgage section on page 34.</w:t>
      </w:r>
    </w:p>
    <w:p>
      <w:pPr>
        <w:spacing w:after="0" w:line="329"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The improvement in other fees for 1995 reflected higher brokerage commissions of $17 million, due to higher transaction volume at the Corporation's discount brokerage firm, Brown and Company.</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Fees in lieu of compensating balances decreased by $33 million in 1995 when compared with 1994. Customers often pay for cash management or other banking services by maintaining noninterest-bearing deposits. As interest rates increase, the required compensating balance for a given level of service will decrease. As a result, during 1995, when short-term interest rates were higher than in 1994, a greater volume of customers maintained a compensating balance in lieu of paying a fee for services.</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285" w:right="1440" w:bottom="1440" w:gutter="0" w:footer="0" w:header="0"/>
          <w:type w:val="continuous"/>
        </w:sectPr>
      </w:pPr>
    </w:p>
    <w:bookmarkStart w:id="26" w:name="page27"/>
    <w:bookmarkEnd w:id="26"/>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TRADING REVENUE</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following table sets forth the components of total trading-related revenue for 1995 and 1994. Net interest income related to trading activities should be reviewed in conjunction with the trading revenue amounts in the following table.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Trading Revenue</w:t>
            </w: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$1,016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$1,173</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Net Interest Income Impact(a)</w:t>
            </w: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442</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00" w:type="dxa"/>
            <w:vAlign w:val="bottom"/>
            <w:gridSpan w:val="2"/>
          </w:tcPr>
          <w:p>
            <w:pPr>
              <w:spacing w:after="0"/>
              <w:rPr>
                <w:sz w:val="20"/>
                <w:szCs w:val="20"/>
                <w:color w:val="auto"/>
              </w:rPr>
            </w:pPr>
            <w:r>
              <w:rPr>
                <w:rFonts w:ascii="Courier New" w:cs="Courier New" w:eastAsia="Courier New" w:hAnsi="Courier New"/>
                <w:sz w:val="14"/>
                <w:szCs w:val="14"/>
                <w:color w:val="auto"/>
              </w:rPr>
              <w:t>Total Trading-Related Revenue</w:t>
            </w:r>
          </w:p>
        </w:tc>
        <w:tc>
          <w:tcPr>
            <w:tcW w:w="22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$1,458</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$1,339</w:t>
            </w:r>
          </w:p>
        </w:tc>
      </w:tr>
    </w:tbl>
    <w:p>
      <w:pPr>
        <w:spacing w:after="0" w:line="4" w:lineRule="exact"/>
        <w:rPr>
          <w:sz w:val="20"/>
          <w:szCs w:val="20"/>
          <w:color w:val="auto"/>
        </w:rPr>
      </w:pPr>
    </w:p>
    <w:p>
      <w:pPr>
        <w:ind w:left="180" w:hanging="172"/>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Product Diversification:</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Courier New" w:cs="Courier New" w:eastAsia="Courier New" w:hAnsi="Courier New"/>
                <w:sz w:val="14"/>
                <w:szCs w:val="14"/>
                <w:color w:val="auto"/>
              </w:rPr>
              <w:t>Interest Rate Contracts(b)</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445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492</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Foreign Exchange Contracts(c)</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584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431</w:t>
            </w:r>
          </w:p>
        </w:tc>
      </w:tr>
      <w:tr>
        <w:trPr>
          <w:trHeight w:val="166"/>
        </w:trPr>
        <w:tc>
          <w:tcPr>
            <w:tcW w:w="3700" w:type="dxa"/>
            <w:vAlign w:val="bottom"/>
          </w:tcPr>
          <w:p>
            <w:pPr>
              <w:spacing w:after="0"/>
              <w:rPr>
                <w:sz w:val="20"/>
                <w:szCs w:val="20"/>
                <w:color w:val="auto"/>
              </w:rPr>
            </w:pPr>
            <w:r>
              <w:rPr>
                <w:rFonts w:ascii="Courier New" w:cs="Courier New" w:eastAsia="Courier New" w:hAnsi="Courier New"/>
                <w:sz w:val="14"/>
                <w:szCs w:val="14"/>
                <w:color w:val="auto"/>
              </w:rPr>
              <w:t>Debt Instruments and Other(d)</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429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080" w:val="left"/>
          <w:tab w:leader="none" w:pos="6360" w:val="left"/>
        </w:tabs>
        <w:rPr>
          <w:sz w:val="20"/>
          <w:szCs w:val="20"/>
          <w:color w:val="auto"/>
        </w:rPr>
      </w:pPr>
      <w:r>
        <w:rPr>
          <w:rFonts w:ascii="Courier New" w:cs="Courier New" w:eastAsia="Courier New" w:hAnsi="Courier New"/>
          <w:sz w:val="14"/>
          <w:szCs w:val="14"/>
          <w:color w:val="auto"/>
        </w:rPr>
        <w:t>Total Trading-Related Revenue</w:t>
      </w:r>
      <w:r>
        <w:rPr>
          <w:sz w:val="20"/>
          <w:szCs w:val="20"/>
          <w:color w:val="auto"/>
        </w:rPr>
        <w:tab/>
      </w:r>
      <w:r>
        <w:rPr>
          <w:rFonts w:ascii="Courier New" w:cs="Courier New" w:eastAsia="Courier New" w:hAnsi="Courier New"/>
          <w:sz w:val="14"/>
          <w:szCs w:val="14"/>
          <w:color w:val="auto"/>
        </w:rPr>
        <w:t>$1,458</w:t>
      </w:r>
      <w:r>
        <w:rPr>
          <w:sz w:val="20"/>
          <w:szCs w:val="20"/>
          <w:color w:val="auto"/>
        </w:rPr>
        <w:tab/>
      </w:r>
      <w:r>
        <w:rPr>
          <w:rFonts w:ascii="Courier New" w:cs="Courier New" w:eastAsia="Courier New" w:hAnsi="Courier New"/>
          <w:sz w:val="14"/>
          <w:szCs w:val="14"/>
          <w:color w:val="auto"/>
        </w:rPr>
        <w:t>$1,339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419" w:firstLine="8"/>
        <w:spacing w:after="0" w:line="250" w:lineRule="auto"/>
        <w:tabs>
          <w:tab w:leader="none" w:pos="34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interest income attributable to trading activities includes accruals on interest-earning and interest-bearing trading-related positions as well as a management allocation reflecting the funding cost or benefit associated with trading positions.</w:t>
      </w:r>
    </w:p>
    <w:p>
      <w:pPr>
        <w:spacing w:after="0" w:line="1" w:lineRule="exact"/>
        <w:rPr>
          <w:rFonts w:ascii="Courier New" w:cs="Courier New" w:eastAsia="Courier New" w:hAnsi="Courier New"/>
          <w:sz w:val="14"/>
          <w:szCs w:val="14"/>
          <w:color w:val="auto"/>
        </w:rPr>
      </w:pPr>
    </w:p>
    <w:p>
      <w:pPr>
        <w:ind w:right="3519" w:firstLine="8"/>
        <w:spacing w:after="0" w:line="250" w:lineRule="auto"/>
        <w:tabs>
          <w:tab w:leader="none" w:pos="34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interest rate swaps, cross-currency interest rate swaps, foreign exchange forward contracts, interest rate futures, and forward rate agreements and related hedges.</w:t>
      </w:r>
    </w:p>
    <w:p>
      <w:pPr>
        <w:spacing w:after="0" w:line="1"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foreign exchange spot and option contracts.</w:t>
      </w:r>
    </w:p>
    <w:p>
      <w:pPr>
        <w:spacing w:after="0" w:line="7" w:lineRule="exact"/>
        <w:rPr>
          <w:rFonts w:ascii="Courier New" w:cs="Courier New" w:eastAsia="Courier New" w:hAnsi="Courier New"/>
          <w:sz w:val="14"/>
          <w:szCs w:val="14"/>
          <w:color w:val="auto"/>
        </w:rPr>
      </w:pPr>
    </w:p>
    <w:p>
      <w:pPr>
        <w:jc w:val="both"/>
        <w:ind w:right="3519" w:firstLine="8"/>
        <w:spacing w:after="0" w:line="252" w:lineRule="auto"/>
        <w:tabs>
          <w:tab w:leader="none" w:pos="344"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U.S. and foreign government and government agency securities, corporate debt securities, emerging markets debt instruments, debt-related derivatives, equity securities, equity derivatives, and commodity derivatives.</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$47 million decrease in revenue from interest rate contracts during 1995 was primarily due to unexpected volatility in certain European and U.S. interest rate markets. During 1995, combined foreign exchange revenue increased $153 million, benefiting from anticipated volatility in the currency markets and from the Corporation's market-making activities, which increase during periods of volatility. The 1994 foreign exchange amount reflects a $70 million loss resulting from unauthorized foreign exchange transactions involving the Mexican peso. Revenue in 1995 from combined debt instruments and other was consistent with the prior year, as modest decreases in certain of the Corporation's activities were more than offset by modest increases in other activities, reflecting the diversification of the Corporation's trading activities.</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Trading revenues are affected by many factors including volatility of currencies and interest rates, the volume of transactions executed by the Corporation on behalf of its customers, the Corporation's success in proprietary positioning, the credit standing of the Corporation, and the steps taken by central banks and governments that affect financial markets. The Corporation expects its trading revenues will fluctuate as these factors will vary from period to period.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NONINTEREST REVENUE</w:t>
      </w:r>
    </w:p>
    <w:p>
      <w:pPr>
        <w:spacing w:after="0" w:line="173"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The following table presents securities gains and the composition of other revenue for 1995 and 1994.</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18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Securities Gains</w:t>
            </w:r>
          </w:p>
        </w:tc>
        <w:tc>
          <w:tcPr>
            <w:tcW w:w="2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132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65</w:t>
            </w:r>
          </w:p>
        </w:tc>
      </w:tr>
    </w:tbl>
    <w:p>
      <w:pPr>
        <w:spacing w:after="0" w:line="4" w:lineRule="exact"/>
        <w:rPr>
          <w:sz w:val="20"/>
          <w:szCs w:val="20"/>
          <w:color w:val="auto"/>
        </w:rPr>
      </w:pPr>
    </w:p>
    <w:p>
      <w:pPr>
        <w:ind w:left="180" w:hanging="172"/>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Revenue:</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080" w:type="dxa"/>
            <w:vAlign w:val="bottom"/>
          </w:tcPr>
          <w:p>
            <w:pPr>
              <w:spacing w:after="0"/>
              <w:rPr>
                <w:sz w:val="20"/>
                <w:szCs w:val="20"/>
                <w:color w:val="auto"/>
              </w:rPr>
            </w:pPr>
            <w:r>
              <w:rPr>
                <w:rFonts w:ascii="Courier New" w:cs="Courier New" w:eastAsia="Courier New" w:hAnsi="Courier New"/>
                <w:sz w:val="14"/>
                <w:szCs w:val="14"/>
                <w:color w:val="auto"/>
              </w:rPr>
              <w:t>Revenue from</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Equity-Related Investments</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626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577</w:t>
            </w:r>
          </w:p>
        </w:tc>
      </w:tr>
      <w:tr>
        <w:trPr>
          <w:trHeight w:val="166"/>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Net Gains (Losses) on Emerging Markets</w:t>
            </w: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Securities</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Sales</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233</w:t>
            </w:r>
          </w:p>
        </w:tc>
      </w:tr>
      <w:tr>
        <w:trPr>
          <w:trHeight w:val="166"/>
        </w:trPr>
        <w:tc>
          <w:tcPr>
            <w:tcW w:w="1080" w:type="dxa"/>
            <w:vAlign w:val="bottom"/>
          </w:tcPr>
          <w:p>
            <w:pPr>
              <w:spacing w:after="0"/>
              <w:rPr>
                <w:sz w:val="20"/>
                <w:szCs w:val="20"/>
                <w:color w:val="auto"/>
              </w:rPr>
            </w:pPr>
            <w:r>
              <w:rPr>
                <w:rFonts w:ascii="Courier New" w:cs="Courier New" w:eastAsia="Courier New" w:hAnsi="Courier New"/>
                <w:sz w:val="14"/>
                <w:szCs w:val="14"/>
                <w:color w:val="auto"/>
              </w:rPr>
              <w:t>Gains on the</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Sale of Nonstrategic Businesses</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84</w:t>
            </w:r>
          </w:p>
        </w:tc>
      </w:tr>
      <w:tr>
        <w:trPr>
          <w:trHeight w:val="166"/>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Accelerated Disposition Gains</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104</w:t>
            </w:r>
          </w:p>
        </w:tc>
      </w:tr>
      <w:tr>
        <w:trPr>
          <w:trHeight w:val="166"/>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Residential Mortgage Origination/Sales Activities</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All Other Revenue</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207</w:t>
            </w:r>
          </w:p>
        </w:tc>
      </w:tr>
    </w:tbl>
    <w:p>
      <w:pPr>
        <w:spacing w:after="0" w:line="4" w:lineRule="exact"/>
        <w:rPr>
          <w:sz w:val="20"/>
          <w:szCs w:val="20"/>
          <w:color w:val="auto"/>
        </w:rPr>
      </w:pPr>
    </w:p>
    <w:p>
      <w:pPr>
        <w:jc w:val="center"/>
        <w:ind w:right="3159"/>
        <w:spacing w:after="0" w:line="252" w:lineRule="auto"/>
        <w:rPr>
          <w:sz w:val="20"/>
          <w:szCs w:val="20"/>
          <w:color w:val="auto"/>
        </w:rPr>
      </w:pPr>
      <w:r>
        <w:rPr>
          <w:rFonts w:ascii="Courier New" w:cs="Courier New" w:eastAsia="Courier New" w:hAnsi="Courier New"/>
          <w:sz w:val="14"/>
          <w:szCs w:val="14"/>
          <w:color w:val="auto"/>
        </w:rPr>
        <w:t>- -------------------------------------------------------------------------------- Total Other Revenue                                     $1,092          $1,239 - --------------------------------------------------------------------------------</w:t>
      </w:r>
    </w:p>
    <w:p>
      <w:pPr>
        <w:spacing w:after="0" w:line="329"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Securities gains were $132 million in 1995, an increase of $67 million from 1994. The higher level of securities gains, all of which resulted from sales from the available-for-sale portfolio, were made in connection with the Corporation's asset/liability management ("ALM") activities. For further discussion of the Corporation's securities, see Note Four of the Notes to Consolidated Financial Statements.</w:t>
      </w:r>
    </w:p>
    <w:p>
      <w:pPr>
        <w:spacing w:after="0" w:line="164"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The Corporation's other revenue was $1,092 million in 1995, compared with</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$1,239 million in 1994. Revenue from equity-related investments, which includes income from venture capital activities and emerging markets investments, was $626 million in 1995, an increase of 8% from 1994. At December 31, 1995, the Corporation had equity-related investments with a carrying value of $2.7 billion. Average revenue from equity-related investments was approximately $150</w:t>
      </w:r>
    </w:p>
    <w:p>
      <w:pPr>
        <w:sectPr>
          <w:pgSz w:w="11900" w:h="16885" w:orient="portrait"/>
          <w:cols w:equalWidth="0" w:num="1">
            <w:col w:w="10239"/>
          </w:cols>
          <w:pgMar w:left="220" w:top="285" w:right="1440" w:bottom="0" w:gutter="0" w:footer="0" w:header="0"/>
        </w:sectPr>
      </w:pPr>
    </w:p>
    <w:bookmarkStart w:id="27" w:name="page28"/>
    <w:bookmarkEnd w:id="27"/>
    <w:p>
      <w:pPr>
        <w:ind w:right="3419"/>
        <w:spacing w:after="0" w:line="251" w:lineRule="auto"/>
        <w:rPr>
          <w:sz w:val="20"/>
          <w:szCs w:val="20"/>
          <w:color w:val="auto"/>
        </w:rPr>
      </w:pPr>
      <w:r>
        <w:rPr>
          <w:rFonts w:ascii="Courier New" w:cs="Courier New" w:eastAsia="Courier New" w:hAnsi="Courier New"/>
          <w:sz w:val="14"/>
          <w:szCs w:val="14"/>
          <w:color w:val="auto"/>
        </w:rPr>
        <w:t>million per quarter, based upon revenues during the last eight quarterly periods. The Corporation believes that equity-related investments will continue to make contributions to the Corporation's earnings, although the timing of the recognition of gains from such activities is unpredictable and revenues from such activities could vary significantly from period to period.</w:t>
      </w:r>
    </w:p>
    <w:p>
      <w:pPr>
        <w:spacing w:after="0" w:line="165"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1995 results included net losses of $49 million related to the disposition of emerging markets available-for-sale securities. Such dispositions are part of the Corporation's ongoing efforts to manage its exposure in its available-for-sale portfolio. The 1994 results included net gains of $233 million from sales of emerging markets securities.</w:t>
      </w:r>
    </w:p>
    <w:p>
      <w:pPr>
        <w:spacing w:after="0" w:line="165"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Gains on the sale of nonstrategic businesses included $85 million in 1995 from the sale of the investment in Far East Bank and Trust Company. The 1994 results included gains of $55 million from the sale of Chase Bank of Arizona and $29 million from the sale of the deposit-taking business of Chase Bank of Florida.</w:t>
      </w:r>
    </w:p>
    <w:p>
      <w:pPr>
        <w:spacing w:after="0" w:line="328"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Residential mortgage origination/sales activities in 1995 increased by $145 million from 1994 results primarily due to a more favorable interest rate environment in 1995 and the inclusion of a full year of revenue relating to the aforementioned acqui-</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141" w:right="1440" w:bottom="1440" w:gutter="0" w:footer="0" w:header="0"/>
        </w:sectPr>
      </w:pPr>
    </w:p>
    <w:bookmarkStart w:id="28" w:name="page29"/>
    <w:bookmarkEnd w:id="28"/>
    <w:p>
      <w:pPr>
        <w:spacing w:after="0" w:line="4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sitions of Margaretten and AmRes in July and September 1994, respectively. Also contributing to the increase was the impact of the adoption in 1995 of Statement of Financial Accounting Standards No. 122, "Accounting for Mortgage Servicing Rights" ("SFAS 122"). For a further discussion of SFAS 122, see Note One of the Notes to Consolidated Financial Statements.</w:t>
      </w:r>
    </w:p>
    <w:p>
      <w:pPr>
        <w:spacing w:after="0" w:line="165"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All other revenue includes the Corporation's share of net income from its interest in CIT which, after purchase accounting adjustments, was $77 million in 1995, an increase from $73 million in 1994. On December 15, 1995, the Corporation sold half of its 40% interest in CIT.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NONINTEREST EXPENSE</w:t>
      </w:r>
    </w:p>
    <w:p>
      <w:pPr>
        <w:spacing w:after="0" w:line="173"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Noninterest expense in 1995 was $9,390 million, compared with $10,002 million in 1994. Excluding restructuring charges and foreclosed property expense in both years, noninterest expense for 1995 decreased by $37 million from the 1994 level.</w:t>
      </w:r>
    </w:p>
    <w:p>
      <w:pPr>
        <w:spacing w:after="0" w:line="32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improvement from the prior year reflects the benefits of:</w:t>
      </w:r>
    </w:p>
    <w:p>
      <w:pPr>
        <w:spacing w:after="0" w:line="173" w:lineRule="exact"/>
        <w:rPr>
          <w:sz w:val="20"/>
          <w:szCs w:val="20"/>
          <w:color w:val="auto"/>
        </w:rPr>
      </w:pPr>
    </w:p>
    <w:p>
      <w:pPr>
        <w:ind w:left="180" w:right="3519" w:hanging="172"/>
        <w:spacing w:after="0" w:line="252" w:lineRule="auto"/>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Certain expense-reduction initiatives (the Actions to Improve Earnings Per Share and the Voluntary Retirement and other productivity initiatives) announced by each of the predecessor institutions in 1994.</w:t>
      </w:r>
    </w:p>
    <w:p>
      <w:pPr>
        <w:spacing w:after="0" w:line="162" w:lineRule="exact"/>
        <w:rPr>
          <w:rFonts w:ascii="Courier New" w:cs="Courier New" w:eastAsia="Courier New" w:hAnsi="Courier New"/>
          <w:sz w:val="14"/>
          <w:szCs w:val="14"/>
          <w:color w:val="auto"/>
        </w:rPr>
      </w:pPr>
    </w:p>
    <w:p>
      <w:pPr>
        <w:ind w:left="180" w:right="3259" w:hanging="172"/>
        <w:spacing w:after="0" w:line="255" w:lineRule="auto"/>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Lower FDIC premium expense of $133 million reflecting a reduction in the FDIC assessment rate.</w:t>
      </w:r>
    </w:p>
    <w:p>
      <w:pPr>
        <w:spacing w:after="0" w:line="159" w:lineRule="exact"/>
        <w:rPr>
          <w:rFonts w:ascii="Courier New" w:cs="Courier New" w:eastAsia="Courier New" w:hAnsi="Courier New"/>
          <w:sz w:val="14"/>
          <w:szCs w:val="14"/>
          <w:color w:val="auto"/>
        </w:rPr>
      </w:pPr>
    </w:p>
    <w:p>
      <w:pPr>
        <w:ind w:left="180" w:right="3939" w:hanging="172"/>
        <w:spacing w:after="0" w:line="255" w:lineRule="auto"/>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sale of the southern and central New Jersey banking operations of Chemical New Jersey Holdings to PNC Bank Corp.</w:t>
      </w:r>
    </w:p>
    <w:p>
      <w:pPr>
        <w:spacing w:after="0" w:line="15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shareholder services joint venture with Mellon Bank Corporation.</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decrease in noninterest expense from 1994 was partially offset by:</w:t>
      </w:r>
    </w:p>
    <w:p>
      <w:pPr>
        <w:spacing w:after="0" w:line="173" w:lineRule="exact"/>
        <w:rPr>
          <w:sz w:val="20"/>
          <w:szCs w:val="20"/>
          <w:color w:val="auto"/>
        </w:rPr>
      </w:pPr>
    </w:p>
    <w:p>
      <w:pPr>
        <w:ind w:left="180" w:right="3419" w:hanging="172"/>
        <w:spacing w:after="0" w:line="255" w:lineRule="auto"/>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inclusion of a full year of noninterest expense relating to Margaretten and AmRes, both of which were acquired in the second half of 1994.</w:t>
      </w:r>
    </w:p>
    <w:p>
      <w:pPr>
        <w:spacing w:after="0" w:line="159" w:lineRule="exact"/>
        <w:rPr>
          <w:rFonts w:ascii="Courier New" w:cs="Courier New" w:eastAsia="Courier New" w:hAnsi="Courier New"/>
          <w:sz w:val="14"/>
          <w:szCs w:val="14"/>
          <w:color w:val="auto"/>
        </w:rPr>
      </w:pPr>
    </w:p>
    <w:p>
      <w:pPr>
        <w:ind w:left="180" w:right="3679" w:hanging="172"/>
        <w:spacing w:after="0" w:line="255" w:lineRule="auto"/>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The acquisition of the securities processing businesses of U.S. Trust in September 1995.</w:t>
      </w:r>
    </w:p>
    <w:p>
      <w:pPr>
        <w:spacing w:after="0" w:line="160" w:lineRule="exact"/>
        <w:rPr>
          <w:sz w:val="20"/>
          <w:szCs w:val="20"/>
          <w:color w:val="auto"/>
        </w:rPr>
      </w:pPr>
    </w:p>
    <w:p>
      <w:pPr>
        <w:ind w:right="3599" w:firstLine="258"/>
        <w:spacing w:after="0" w:line="255" w:lineRule="auto"/>
        <w:rPr>
          <w:sz w:val="20"/>
          <w:szCs w:val="20"/>
          <w:color w:val="auto"/>
        </w:rPr>
      </w:pPr>
      <w:r>
        <w:rPr>
          <w:rFonts w:ascii="Courier New" w:cs="Courier New" w:eastAsia="Courier New" w:hAnsi="Courier New"/>
          <w:sz w:val="14"/>
          <w:szCs w:val="14"/>
          <w:color w:val="auto"/>
        </w:rPr>
        <w:t>The following table presents the components of noninterest expense for the periods indicated.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Salaries</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$4,208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$ 3,978</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Employee Benefits</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883</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Occupancy Expense</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968</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Equipment Expense</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724</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Foreclosed Property Expense</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Restructuring Charge</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465</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Other Expense</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2,691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2,934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240" w:val="left"/>
          <w:tab w:leader="none" w:pos="6280" w:val="left"/>
        </w:tabs>
        <w:rPr>
          <w:sz w:val="20"/>
          <w:szCs w:val="20"/>
          <w:color w:val="auto"/>
        </w:rPr>
      </w:pPr>
      <w:r>
        <w:rPr>
          <w:rFonts w:ascii="Courier New" w:cs="Courier New" w:eastAsia="Courier New" w:hAnsi="Courier New"/>
          <w:sz w:val="14"/>
          <w:szCs w:val="14"/>
          <w:color w:val="auto"/>
        </w:rPr>
        <w:t>Total Noninterest Expense</w:t>
      </w:r>
      <w:r>
        <w:rPr>
          <w:sz w:val="20"/>
          <w:szCs w:val="20"/>
          <w:color w:val="auto"/>
        </w:rPr>
        <w:tab/>
      </w:r>
      <w:r>
        <w:rPr>
          <w:rFonts w:ascii="Courier New" w:cs="Courier New" w:eastAsia="Courier New" w:hAnsi="Courier New"/>
          <w:sz w:val="14"/>
          <w:szCs w:val="14"/>
          <w:color w:val="auto"/>
        </w:rPr>
        <w:t>$9,390</w:t>
      </w:r>
      <w:r>
        <w:rPr>
          <w:sz w:val="20"/>
          <w:szCs w:val="20"/>
          <w:color w:val="auto"/>
        </w:rPr>
        <w:tab/>
      </w:r>
      <w:r>
        <w:rPr>
          <w:rFonts w:ascii="Courier New" w:cs="Courier New" w:eastAsia="Courier New" w:hAnsi="Courier New"/>
          <w:sz w:val="14"/>
          <w:szCs w:val="14"/>
          <w:color w:val="auto"/>
        </w:rPr>
        <w:t>$10,002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Corporation's efficiency ratio improved to 63.2% in 1995 compared with 64.2% in 1994. The computation of the efficiency ratio (noninterest expense as a percentage of the total of net interest income and noninterest revenue) excludes any restructuring charges, charges related to assets held for accelerated disposition and gains on the sales of such assets, emerging markets past-due interest bond sales and foreclosed property expense.</w:t>
      </w:r>
    </w:p>
    <w:p>
      <w:pPr>
        <w:spacing w:after="0" w:line="164"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[GRAPH NUMBER 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SALARIES AND EMPLOYEE BENEFITS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increase in salaries in 1995 was primarily due to higher incentive costs as a result of improved earnings for most businesses and a competitive recruiting environment for specialized skills in selected businesses. Also contributing to the increase in salaries was the vesting of various stock-based incentive awards due to the improvement in the predecessor institutions' stock prices during 1995, the continued growth in the Corporation's securities underwriting business, and the additional staff costs resulting from the Margaretten, AmRes and U.S. Trust acquisitions. Partially offsetting these increases were the impact of personnel reductions undertaken in 1995.</w:t>
      </w:r>
    </w:p>
    <w:p>
      <w:pPr>
        <w:spacing w:after="0" w:line="164" w:lineRule="exact"/>
        <w:rPr>
          <w:sz w:val="20"/>
          <w:szCs w:val="20"/>
          <w:color w:val="auto"/>
        </w:rPr>
      </w:pPr>
    </w:p>
    <w:p>
      <w:pPr>
        <w:ind w:right="3339" w:firstLine="258"/>
        <w:spacing w:after="0" w:line="255" w:lineRule="auto"/>
        <w:rPr>
          <w:sz w:val="20"/>
          <w:szCs w:val="20"/>
          <w:color w:val="auto"/>
        </w:rPr>
      </w:pPr>
      <w:r>
        <w:rPr>
          <w:rFonts w:ascii="Courier New" w:cs="Courier New" w:eastAsia="Courier New" w:hAnsi="Courier New"/>
          <w:sz w:val="14"/>
          <w:szCs w:val="14"/>
          <w:color w:val="auto"/>
        </w:rPr>
        <w:t>The following table presents the Corporation's full-time equivalent employees at the dates indicated.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8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Domestic Offices</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60,904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65,678</w:t>
            </w:r>
          </w:p>
        </w:tc>
      </w:tr>
      <w:tr>
        <w:trPr>
          <w:trHeight w:val="166"/>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Foreign Offices</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11,792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12,226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220" w:type="dxa"/>
            <w:vAlign w:val="bottom"/>
            <w:gridSpan w:val="2"/>
          </w:tcPr>
          <w:p>
            <w:pPr>
              <w:spacing w:after="0"/>
              <w:rPr>
                <w:sz w:val="20"/>
                <w:szCs w:val="20"/>
                <w:color w:val="auto"/>
              </w:rPr>
            </w:pPr>
            <w:r>
              <w:rPr>
                <w:rFonts w:ascii="Courier New" w:cs="Courier New" w:eastAsia="Courier New" w:hAnsi="Courier New"/>
                <w:sz w:val="14"/>
                <w:szCs w:val="14"/>
                <w:color w:val="auto"/>
              </w:rPr>
              <w:t>Total Full-Time Equivalent Employees</w:t>
            </w:r>
          </w:p>
        </w:tc>
        <w:tc>
          <w:tcPr>
            <w:tcW w:w="1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72,696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77,904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80" w:orient="portrait"/>
          <w:cols w:equalWidth="0" w:num="1">
            <w:col w:w="10239"/>
          </w:cols>
          <w:pgMar w:left="220" w:top="285" w:right="1440" w:bottom="0" w:gutter="0" w:footer="0" w:header="0"/>
        </w:sectPr>
      </w:pPr>
    </w:p>
    <w:bookmarkStart w:id="29" w:name="page30"/>
    <w:bookmarkEnd w:id="29"/>
    <w:p>
      <w:pPr>
        <w:ind w:right="3519" w:firstLine="258"/>
        <w:spacing w:after="0" w:line="252" w:lineRule="auto"/>
        <w:rPr>
          <w:sz w:val="20"/>
          <w:szCs w:val="20"/>
          <w:color w:val="auto"/>
        </w:rPr>
      </w:pPr>
      <w:r>
        <w:rPr>
          <w:rFonts w:ascii="Courier New" w:cs="Courier New" w:eastAsia="Courier New" w:hAnsi="Courier New"/>
          <w:sz w:val="14"/>
          <w:szCs w:val="14"/>
          <w:color w:val="auto"/>
        </w:rPr>
        <w:t>At December 31, 1995, there were approximately 2,800 positions eliminated from the 3,700 positions targeted for elimination, and 1,200 voluntary retirements accepted from offers extended to 2,600 eligible employees, as part of both predecessor institutions' expense reduction programs.</w:t>
      </w:r>
    </w:p>
    <w:p>
      <w:pPr>
        <w:spacing w:after="0" w:line="162"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473" w:right="1440" w:bottom="1440" w:gutter="0" w:footer="0" w:header="0"/>
        </w:sectPr>
      </w:pPr>
    </w:p>
    <w:bookmarkStart w:id="30" w:name="page31"/>
    <w:bookmarkEnd w:id="30"/>
    <w:p>
      <w:pPr>
        <w:spacing w:after="0" w:line="4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AND EQUIPMENT EXPENSE</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Occupancy expense was $897 million in 1995, a decrease of $71 million from 1994. The decline from 1994 is largely the result of the consolidation of operational and branch facilities and other expense-reduction initiatives.</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Equipment expense in 1995 was $755 million, compared with $724 million in 1994. For 1995, the higher level of equipment expense was due to continued technology enhancements to support the Corporation's investment in certain key businesses (in particular its trading, consumer banking, trust, and transactions and information service businesses).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FORECLOSED PROPERTY EXPENSE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Foreclosed property expense was a credit of $75 million in 1995, compared with an expense of $50 million in 1994, reflecting the significant progress made in reducing the Corporation's real estate portfolio as a result of improved real estate market conditions. The 1995 amount included proceeds received on the sale of certain foreclosed properties previously written down.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RESTRUCTURING CHARGE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connection with the merger, $1.9 billion of one-time merger-related costs have been identified, of which $1.65 billion were recorded on March 31, 1996. The remaining $250 million will be substantially incurred over the next two years as these costs do not qualify for immediate recognition under a recently issued accounting pronouncement. These costs will be reflected in the restructuring charge caption when incurred. The $1.9 billion of merger-related costs reflect severance and other termination-related costs to be incurred in connection with anticipated staff reductions (approximately $600 million), costs in connection with planned dispositions of certain facilities, premises and equipment (approximately $700 million), and other merger-related expenses, including costs to eliminate redundant back office and other operations of Chemical and Chase and other expenses related directly to the merger (approximately $600 million). Management does not anticipate that this restructuring charge will have a material impact on the Corporation's future liquidity.</w:t>
      </w:r>
    </w:p>
    <w:p>
      <w:pPr>
        <w:spacing w:after="0" w:line="328" w:lineRule="exact"/>
        <w:rPr>
          <w:sz w:val="20"/>
          <w:szCs w:val="20"/>
          <w:color w:val="auto"/>
        </w:rPr>
      </w:pPr>
    </w:p>
    <w:p>
      <w:pPr>
        <w:ind w:right="3779" w:firstLine="258"/>
        <w:spacing w:after="0" w:line="255" w:lineRule="auto"/>
        <w:rPr>
          <w:sz w:val="20"/>
          <w:szCs w:val="20"/>
          <w:color w:val="auto"/>
        </w:rPr>
      </w:pPr>
      <w:r>
        <w:rPr>
          <w:rFonts w:ascii="Courier New" w:cs="Courier New" w:eastAsia="Courier New" w:hAnsi="Courier New"/>
          <w:sz w:val="14"/>
          <w:szCs w:val="14"/>
          <w:color w:val="auto"/>
        </w:rPr>
        <w:t>During 1995, the Corporation recorded a $15 million restructuring charge primarily related to exiting a futures brokerage business.</w:t>
      </w:r>
    </w:p>
    <w:p>
      <w:pPr>
        <w:spacing w:after="0" w:line="160"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During 1994, a restructuring charge of $260 million was taken by the Corporation in connection with a program to improve earnings per share. Additionally, a charge of $157 million was incurred relating to a voluntary retirement program and for other productivity initiatives, such as exiting from certain consumer activities overseas, regionalizing foreign operations, and for further streamlining of the domestic infrastructure. The Corporation also recorded a restructuring charge of $48 million in 1994, related to the closing of 50 New York branches and a staff reduction of 650. For a further discussion of the Corporation's restructuring charges, see Note Fifteen of the Notes to Consolidated Financial Statements.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EXPENSE</w:t>
      </w:r>
    </w:p>
    <w:p>
      <w:pPr>
        <w:spacing w:after="0" w:line="17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following table presents the components of other expense for the periods indicated.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Other Expense:</w:t>
            </w:r>
          </w:p>
        </w:tc>
        <w:tc>
          <w:tcPr>
            <w:tcW w:w="2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Professional</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559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564</w:t>
            </w:r>
          </w:p>
        </w:tc>
      </w:tr>
      <w:tr>
        <w:trPr>
          <w:trHeight w:val="166"/>
        </w:trPr>
        <w:tc>
          <w:tcPr>
            <w:tcW w:w="38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Marketing Expense</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371</w:t>
            </w:r>
          </w:p>
        </w:tc>
      </w:tr>
      <w:tr>
        <w:trPr>
          <w:trHeight w:val="166"/>
        </w:trPr>
        <w:tc>
          <w:tcPr>
            <w:tcW w:w="38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FDIC Assessments</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r>
      <w:tr>
        <w:trPr>
          <w:trHeight w:val="166"/>
        </w:trPr>
        <w:tc>
          <w:tcPr>
            <w:tcW w:w="38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Telecommunications</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294</w:t>
            </w:r>
          </w:p>
        </w:tc>
      </w:tr>
      <w:tr>
        <w:trPr>
          <w:trHeight w:val="166"/>
        </w:trPr>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Amortization</w:t>
            </w:r>
          </w:p>
        </w:tc>
        <w:tc>
          <w:tcPr>
            <w:tcW w:w="2620" w:type="dxa"/>
            <w:vAlign w:val="bottom"/>
          </w:tcPr>
          <w:p>
            <w:pPr>
              <w:ind w:left="40"/>
              <w:spacing w:after="0"/>
              <w:rPr>
                <w:sz w:val="20"/>
                <w:szCs w:val="20"/>
                <w:color w:val="auto"/>
              </w:rPr>
            </w:pPr>
            <w:r>
              <w:rPr>
                <w:rFonts w:ascii="Courier New" w:cs="Courier New" w:eastAsia="Courier New" w:hAnsi="Courier New"/>
                <w:sz w:val="14"/>
                <w:szCs w:val="14"/>
                <w:color w:val="auto"/>
              </w:rPr>
              <w:t>of Intangibles</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192</w:t>
            </w:r>
          </w:p>
        </w:tc>
      </w:tr>
      <w:tr>
        <w:trPr>
          <w:trHeight w:val="166"/>
        </w:trPr>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All Other</w:t>
            </w:r>
          </w:p>
        </w:tc>
        <w:tc>
          <w:tcPr>
            <w:tcW w:w="2620" w:type="dxa"/>
            <w:vAlign w:val="bottom"/>
          </w:tcPr>
          <w:p>
            <w:pPr>
              <w:spacing w:after="0"/>
              <w:rPr>
                <w:sz w:val="14"/>
                <w:szCs w:val="14"/>
                <w:color w:val="auto"/>
              </w:rPr>
            </w:pP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240" w:val="left"/>
          <w:tab w:leader="none" w:pos="6360" w:val="left"/>
        </w:tabs>
        <w:rPr>
          <w:sz w:val="20"/>
          <w:szCs w:val="20"/>
          <w:color w:val="auto"/>
        </w:rPr>
      </w:pPr>
      <w:r>
        <w:rPr>
          <w:rFonts w:ascii="Courier New" w:cs="Courier New" w:eastAsia="Courier New" w:hAnsi="Courier New"/>
          <w:sz w:val="14"/>
          <w:szCs w:val="14"/>
          <w:color w:val="auto"/>
        </w:rPr>
        <w:t>Total Other Expense</w:t>
      </w:r>
      <w:r>
        <w:rPr>
          <w:sz w:val="20"/>
          <w:szCs w:val="20"/>
          <w:color w:val="auto"/>
        </w:rPr>
        <w:tab/>
      </w:r>
      <w:r>
        <w:rPr>
          <w:rFonts w:ascii="Courier New" w:cs="Courier New" w:eastAsia="Courier New" w:hAnsi="Courier New"/>
          <w:sz w:val="14"/>
          <w:szCs w:val="14"/>
          <w:color w:val="auto"/>
        </w:rPr>
        <w:t>$2,691</w:t>
      </w:r>
      <w:r>
        <w:rPr>
          <w:sz w:val="20"/>
          <w:szCs w:val="20"/>
          <w:color w:val="auto"/>
        </w:rPr>
        <w:tab/>
      </w:r>
      <w:r>
        <w:rPr>
          <w:rFonts w:ascii="Courier New" w:cs="Courier New" w:eastAsia="Courier New" w:hAnsi="Courier New"/>
          <w:sz w:val="14"/>
          <w:szCs w:val="14"/>
          <w:color w:val="auto"/>
        </w:rPr>
        <w:t>$2,934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FDIC assessments declined $133 million during 1995 reflecting a reduction in the FDIC assessment rate. All other expense, which includes various smaller expense categories such as stationery and other supplies, postage, shipping, travel and insurance, decreased by 11% in 1995 when compared with 1994, reflecting the Corporation's sourcing and other expense-reduction initiatives. Partially offsetting these declines was higher telecommunications expense in 1995 when compared with 1994.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The following table presents the Corporation's income tax expense and effective tax rate for the periods indicated.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Year Ended</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December 31, (in millions)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Income Tax</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$1,842</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$1,475</w:t>
            </w:r>
          </w:p>
        </w:tc>
      </w:tr>
      <w:tr>
        <w:trPr>
          <w:trHeight w:val="166"/>
        </w:trPr>
        <w:tc>
          <w:tcPr>
            <w:tcW w:w="4360" w:type="dxa"/>
            <w:vAlign w:val="bottom"/>
            <w:gridSpan w:val="3"/>
          </w:tcPr>
          <w:p>
            <w:pPr>
              <w:spacing w:after="0"/>
              <w:rPr>
                <w:sz w:val="20"/>
                <w:szCs w:val="20"/>
                <w:color w:val="auto"/>
              </w:rPr>
            </w:pPr>
            <w:r>
              <w:rPr>
                <w:rFonts w:ascii="Courier New" w:cs="Courier New" w:eastAsia="Courier New" w:hAnsi="Courier New"/>
                <w:sz w:val="14"/>
                <w:szCs w:val="14"/>
                <w:color w:val="auto"/>
              </w:rPr>
              <w:t>Effective Tax Rate</w:t>
            </w:r>
          </w:p>
        </w:tc>
        <w:tc>
          <w:tcPr>
            <w:tcW w:w="1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38.3%</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37.2%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80" w:orient="portrait"/>
          <w:cols w:equalWidth="0" w:num="1">
            <w:col w:w="10239"/>
          </w:cols>
          <w:pgMar w:left="220" w:top="285" w:right="1440" w:bottom="0" w:gutter="0" w:footer="0" w:header="0"/>
        </w:sectPr>
      </w:pPr>
    </w:p>
    <w:bookmarkStart w:id="31" w:name="page32"/>
    <w:bookmarkEnd w:id="31"/>
    <w:p>
      <w:pPr>
        <w:ind w:right="4379" w:firstLine="258"/>
        <w:spacing w:after="0" w:line="255" w:lineRule="auto"/>
        <w:rPr>
          <w:sz w:val="20"/>
          <w:szCs w:val="20"/>
          <w:color w:val="auto"/>
        </w:rPr>
      </w:pPr>
      <w:r>
        <w:rPr>
          <w:rFonts w:ascii="Courier New" w:cs="Courier New" w:eastAsia="Courier New" w:hAnsi="Courier New"/>
          <w:sz w:val="14"/>
          <w:szCs w:val="14"/>
          <w:color w:val="auto"/>
        </w:rPr>
        <w:t>For additional information, refer to Note Sixteen of the Notes to Consolidated Financial Statements.</w:t>
      </w:r>
    </w:p>
    <w:p>
      <w:pPr>
        <w:spacing w:after="0" w:line="160"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PRO FORMA LINES OF BUSINESS RESULTS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Profitability of the Corporation is tracked with an internal management information system that produces lines-of-business performance for all sectors. The current presentation of the lines-of-business results is based on existing management accounting policies at both Chemical and Chase. A uniform set of management accounting policies is being developed and will be implemented in 1996 (to ensure that the reported results reflect the economics of their businesses). Lines-of-business results will continue to be subject to further restatement as appropriate whenever there are refinements in management reporting policies,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473"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10</w:t>
      </w:r>
    </w:p>
    <w:p>
      <w:pPr>
        <w:spacing w:after="0" w:line="7" w:lineRule="exact"/>
        <w:rPr>
          <w:sz w:val="20"/>
          <w:szCs w:val="20"/>
          <w:color w:val="auto"/>
        </w:rPr>
      </w:pPr>
    </w:p>
    <w:p>
      <w:pPr>
        <w:jc w:val="right"/>
        <w:ind w:right="4480"/>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jc w:val="right"/>
        <w:ind w:right="4480"/>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4560"/>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changes to the management organization or to reflect future changes in internal management reporting.</w:t>
      </w:r>
    </w:p>
    <w:p>
      <w:pPr>
        <w:spacing w:after="0" w:line="160" w:lineRule="exact"/>
        <w:rPr>
          <w:sz w:val="20"/>
          <w:szCs w:val="20"/>
          <w:color w:val="auto"/>
        </w:rPr>
      </w:pPr>
    </w:p>
    <w:p>
      <w:pPr>
        <w:ind w:right="4480" w:firstLine="258"/>
        <w:spacing w:after="0" w:line="251" w:lineRule="auto"/>
        <w:rPr>
          <w:sz w:val="20"/>
          <w:szCs w:val="20"/>
          <w:color w:val="auto"/>
        </w:rPr>
      </w:pPr>
      <w:r>
        <w:rPr>
          <w:rFonts w:ascii="Courier New" w:cs="Courier New" w:eastAsia="Courier New" w:hAnsi="Courier New"/>
          <w:sz w:val="14"/>
          <w:szCs w:val="14"/>
          <w:color w:val="auto"/>
        </w:rPr>
        <w:t>Guidelines exist for assigning expenses that are not directly incurred by businesses, such as overhead and taxes, as well as for allocating shareholders' equity and the provision for losses, utilizing a risk-based methodology. Also incorporated in the guidelines is a process for matching assets and liabilities with similar maturity, liquidity and interest characteristics within each business. Noninterest expenses of the Corporation are fully allocated to the business units except for special corporate one-time charges. Management has developed a risk-adjusted capital methodology that quantifies different types of risk - credit, market, and operating/business within various businesses and assigns capital accordingly. Credit risk is computed using a risk-grading system that is consistently applied throughout the Corporation. A long-term expected tax rate is assigned in evaluating the Corporation's businesses.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LINES OF BUSINESS RESULTS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Regional and</w:t>
            </w:r>
          </w:p>
        </w:tc>
        <w:tc>
          <w:tcPr>
            <w:tcW w:w="7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Terminal</w:t>
            </w: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5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Global Bank</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Consumer Banking</w:t>
            </w:r>
          </w:p>
        </w:tc>
        <w:tc>
          <w:tcPr>
            <w:tcW w:w="3540" w:type="dxa"/>
            <w:vAlign w:val="bottom"/>
            <w:gridSpan w:val="3"/>
          </w:tcPr>
          <w:p>
            <w:pPr>
              <w:jc w:val="right"/>
              <w:ind w:right="148"/>
              <w:spacing w:after="0"/>
              <w:rPr>
                <w:sz w:val="20"/>
                <w:szCs w:val="20"/>
                <w:color w:val="auto"/>
              </w:rPr>
            </w:pPr>
            <w:r>
              <w:rPr>
                <w:rFonts w:ascii="Courier New" w:cs="Courier New" w:eastAsia="Courier New" w:hAnsi="Courier New"/>
                <w:sz w:val="14"/>
                <w:szCs w:val="14"/>
                <w:color w:val="auto"/>
              </w:rPr>
              <w:t>Global Services (LDC and Real Estate)</w:t>
            </w:r>
          </w:p>
        </w:tc>
        <w:tc>
          <w:tcPr>
            <w:tcW w:w="600" w:type="dxa"/>
            <w:vAlign w:val="bottom"/>
          </w:tcPr>
          <w:p>
            <w:pPr>
              <w:spacing w:after="0"/>
              <w:rPr>
                <w:sz w:val="14"/>
                <w:szCs w:val="14"/>
                <w:color w:val="auto"/>
              </w:rPr>
            </w:pP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Total(a)</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(in millions, except ratios)</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1994</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1994   1995</w:t>
            </w: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gridSpan w:val="2"/>
          </w:tcPr>
          <w:p>
            <w:pPr>
              <w:spacing w:after="0"/>
              <w:rPr>
                <w:sz w:val="20"/>
                <w:szCs w:val="20"/>
                <w:color w:val="auto"/>
              </w:rPr>
            </w:pPr>
            <w:r>
              <w:rPr>
                <w:rFonts w:ascii="Courier New" w:cs="Courier New" w:eastAsia="Courier New" w:hAnsi="Courier New"/>
                <w:sz w:val="14"/>
                <w:szCs w:val="14"/>
                <w:color w:val="auto"/>
              </w:rPr>
              <w:t>Net Interest Income</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2,265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2,124</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5,565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$ 5,711</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751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674</w:t>
            </w:r>
          </w:p>
        </w:tc>
        <w:tc>
          <w:tcPr>
            <w:tcW w:w="2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8,202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8,312</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Noninterest</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Revenue</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3,218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2,864</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2,233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1,994</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1,097</w:t>
            </w:r>
          </w:p>
        </w:tc>
        <w:tc>
          <w:tcPr>
            <w:tcW w:w="26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6,758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6,701</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Noninterest</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2,895</w:t>
            </w:r>
          </w:p>
        </w:tc>
        <w:tc>
          <w:tcPr>
            <w:tcW w:w="2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4,819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4,972</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1,345</w:t>
            </w:r>
          </w:p>
        </w:tc>
        <w:tc>
          <w:tcPr>
            <w:tcW w:w="260" w:type="dxa"/>
            <w:vAlign w:val="bottom"/>
          </w:tcPr>
          <w:p>
            <w:pPr>
              <w:spacing w:after="0"/>
              <w:rPr>
                <w:sz w:val="14"/>
                <w:szCs w:val="14"/>
                <w:color w:val="auto"/>
              </w:rPr>
            </w:pPr>
          </w:p>
        </w:tc>
        <w:tc>
          <w:tcPr>
            <w:tcW w:w="6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70</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9,465(b)</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9,952(b)</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Operating Margin</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2,426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2,733</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426</w:t>
            </w:r>
          </w:p>
        </w:tc>
        <w:tc>
          <w:tcPr>
            <w:tcW w:w="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519</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5,495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5,061</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Credit Provision(c)</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292</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1,016</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284</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1,050</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Foreclosed Property Expense</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640" w:type="dxa"/>
            <w:vAlign w:val="bottom"/>
          </w:tcPr>
          <w:p>
            <w:pPr>
              <w:ind w:left="60"/>
              <w:spacing w:after="0"/>
              <w:rPr>
                <w:sz w:val="20"/>
                <w:szCs w:val="20"/>
                <w:color w:val="auto"/>
              </w:rPr>
            </w:pPr>
            <w:r>
              <w:rPr>
                <w:rFonts w:ascii="Courier New" w:cs="Courier New" w:eastAsia="Courier New" w:hAnsi="Courier New"/>
                <w:sz w:val="14"/>
                <w:szCs w:val="14"/>
                <w:color w:val="auto"/>
              </w:rPr>
              <w:t>Before Taxes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2,135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1,759</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1,926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1,727</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425</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139</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4,812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3,961</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640" w:type="dxa"/>
            <w:vAlign w:val="bottom"/>
          </w:tcPr>
          <w:p>
            <w:pPr>
              <w:ind w:left="60"/>
              <w:spacing w:after="0"/>
              <w:rPr>
                <w:sz w:val="20"/>
                <w:szCs w:val="20"/>
                <w:color w:val="auto"/>
              </w:rPr>
            </w:pPr>
            <w:r>
              <w:rPr>
                <w:rFonts w:ascii="Courier New" w:cs="Courier New" w:eastAsia="Courier New" w:hAnsi="Courier New"/>
                <w:sz w:val="14"/>
                <w:szCs w:val="14"/>
                <w:color w:val="auto"/>
              </w:rPr>
              <w:t>Taxes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665</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741</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675</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165</w:t>
            </w: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1,842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1,475</w:t>
            </w:r>
          </w:p>
        </w:tc>
      </w:tr>
    </w:tbl>
    <w:p>
      <w:pPr>
        <w:spacing w:after="0" w:line="4"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Income Before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Accounting Change</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1,094</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1,185</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1,052</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260</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w:t>
            </w:r>
          </w:p>
        </w:tc>
        <w:tc>
          <w:tcPr>
            <w:tcW w:w="10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2,970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2,486</w:t>
            </w:r>
          </w:p>
        </w:tc>
      </w:tr>
      <w:tr>
        <w:trPr>
          <w:trHeight w:val="166"/>
        </w:trPr>
        <w:tc>
          <w:tcPr>
            <w:tcW w:w="2600" w:type="dxa"/>
            <w:vAlign w:val="bottom"/>
          </w:tcPr>
          <w:p>
            <w:pPr>
              <w:spacing w:after="0"/>
              <w:rPr>
                <w:sz w:val="20"/>
                <w:szCs w:val="20"/>
                <w:color w:val="auto"/>
              </w:rPr>
            </w:pPr>
            <w:r>
              <w:rPr>
                <w:rFonts w:ascii="Courier New" w:cs="Courier New" w:eastAsia="Courier New" w:hAnsi="Courier New"/>
                <w:sz w:val="14"/>
                <w:szCs w:val="14"/>
                <w:color w:val="auto"/>
              </w:rPr>
              <w:t>Accounting Change (SFAS 106)</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1,344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1,094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1,185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$ 1,052</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258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260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75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104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2,959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2,486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Average Assets</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$178,465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$165,421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$106,980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$99,148</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$8,725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$8,457</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$7,747</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$11,324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$307,385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$287,073</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Return on Common Equity</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NM</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13.9%</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Return on Average Assets</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0.75%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0.66%</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3.07%</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NM</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0.96%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0.87%</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Efficiency Ratio(d)</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58.0%</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63.9%</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75.9%</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NM</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NM</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560" w:firstLine="8"/>
        <w:spacing w:after="0" w:line="250" w:lineRule="auto"/>
        <w:tabs>
          <w:tab w:leader="none" w:pos="344"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column includes Corporate sector. See description of Corporate sector on page 31.</w:t>
      </w:r>
    </w:p>
    <w:p>
      <w:pPr>
        <w:ind w:right="4740" w:firstLine="8"/>
        <w:spacing w:after="0" w:line="250" w:lineRule="auto"/>
        <w:tabs>
          <w:tab w:leader="none" w:pos="344"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restructuring charges of $15 million in 1995 and $465 million in 1994.</w:t>
      </w:r>
    </w:p>
    <w:p>
      <w:pPr>
        <w:ind w:right="4480" w:firstLine="8"/>
        <w:spacing w:after="0" w:line="250" w:lineRule="auto"/>
        <w:tabs>
          <w:tab w:leader="none" w:pos="344"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 is allocated to each sector utilizing a credit risk methodology which is computed using a risk-grading system for that sector's loan portfolio. The difference between the risk-based provision and the Corporation's provision is included in the Corporate sector.</w:t>
      </w:r>
    </w:p>
    <w:p>
      <w:pPr>
        <w:spacing w:after="0" w:line="1" w:lineRule="exact"/>
        <w:rPr>
          <w:rFonts w:ascii="Courier New" w:cs="Courier New" w:eastAsia="Courier New" w:hAnsi="Courier New"/>
          <w:sz w:val="14"/>
          <w:szCs w:val="14"/>
          <w:color w:val="auto"/>
        </w:rPr>
      </w:pPr>
    </w:p>
    <w:p>
      <w:pPr>
        <w:jc w:val="both"/>
        <w:ind w:right="4480" w:firstLine="8"/>
        <w:spacing w:after="0" w:line="250" w:lineRule="auto"/>
        <w:tabs>
          <w:tab w:leader="none" w:pos="344"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computation of the efficiency ratio (noninterest expense as a percentage of the total of net interest income and noninterest revenue) excludes the impact of changes in accounting principles, restructuring charges, charges related to assets held for accelerated disposition and gains on the sales of such assets, gains on emerging markets past-due interest bond sales and foreclosed property expense.</w:t>
      </w:r>
    </w:p>
    <w:p>
      <w:pPr>
        <w:spacing w:after="0" w:line="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NM - Not meaningful.</w:t>
      </w:r>
    </w:p>
    <w:p>
      <w:pPr>
        <w:spacing w:after="0" w:line="173"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[GRAPH NUMBER 8]</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[GRAPH NUMBER 9]</w:t>
      </w:r>
    </w:p>
    <w:p>
      <w:pPr>
        <w:spacing w:after="0" w:line="7"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1380"/>
          </w:cols>
          <w:pgMar w:left="220" w:top="285" w:right="299" w:bottom="1440" w:gutter="0" w:footer="0" w:header="0"/>
        </w:sectPr>
      </w:pPr>
    </w:p>
    <w:bookmarkStart w:id="33" w:name="page34"/>
    <w:bookmarkEnd w:id="33"/>
    <w:p>
      <w:pPr>
        <w:spacing w:after="0" w:line="49"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GLOBAL BANK</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Global Bank provides banking, financial advisory, trading and investment services to corporations and public-sector clients worldwide through a network of offices in 52 countries, including major operations in all key international financial centers. Its network enables the Corporation to identify users and sources of capital on a global basis and to serve the cross-border requirements of clients through integrated delivery across all of its businesses.</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Global Bank includes a dedicated Global Client Management organization (focusing on corporate clients, credit and general advisory); Global Investment Banking (including acquisition finance, syndicated finance, high yield finance, private placements, leasing, mergers and acquisitions, and other global investment banking activities); Global Markets &amp; International (foreign exchange dealing and trading, derivatives trading (including equity and commodity derivatives) and structuring, risk management, and securities structuring, underwriting, trading and sales, and the Corporation's funding and securities investment activities); Equity Investments; and Global Trade. In addition, the Global Asset Management and Private Banking group serves high net worth individuals worldwide with banking and investment services, including the Hanover Funds, Vista family of mutual funds and Vista unit trust funds. The Global Bank seeks to optimize its risk profile and profitability by emphasizing a client focus and originations, underwriting, distribution and risk management products.</w:t>
      </w:r>
    </w:p>
    <w:p>
      <w:pPr>
        <w:spacing w:after="0" w:line="328"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Global Bank's net income in 1995 was $1,344 million, an increase of $250 million from 1994. The sector's return on equity in 1995 was 18.5%, compared with 15.4% in 1994. The increase in the 1995 results reflected a 16% increase in fee revenue, a gain related to the sale of the Corporation's investment in Far East Bank and Trust Company and higher securities gains.</w:t>
      </w:r>
    </w:p>
    <w:p>
      <w:pPr>
        <w:spacing w:after="0" w:line="165"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increase in fee revenue from last year was primarily the result of the Corporation's leading market share in the loan syndication business and higher revenue from high-yield securities underwriting. Total trading-related revenue increased in 1995 when compared with 1994, primarily due to increased foreign exchange revenue as a result of anticipated volatility in the currency markets and from the Corporation's market making activities, which increase during periods of volatility.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AND CONSUMER BANKING</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Regional and Consumer Banking includes Credit Cards; Deposits and Investments (consumer banking and commercial and professional banking); Mortgage Banking; National Consumer Finance (home equity secured lending, student lending, and other consumer lending); International Consumer (consumer activities in Asia and Latin America); Middle Market/Community Development (regional commercial banking); Texas Commerce Equity Holdings Inc. ("Texas Commerce") the holding company for Texas Commerce Bank National Association; and the Corporation's franchise in northeastern New Jersey, where it has 39 branches and private banking operations. The Corporation maintains a leading market share position in serving the financial needs of consumers, middle market commercial enterprises and small businesses in the New York metropolitan area. Texas Commerce is a leader in providing financial products and services to businesses and individuals throughout Texas and is the primary bank for more large corporations and middle market companies than any other bank in Texas.</w:t>
      </w:r>
    </w:p>
    <w:p>
      <w:pPr>
        <w:spacing w:after="0" w:line="162"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For 1995, Regional and Consumer Banking's net income was $1,185 million, an increase of $133 million from the prior year. The 1994 results included a $48 million restructuring charge ($28 million after-tax) related to the closing of 50 New York branches and a staff reduction of 650. Excluding the restructuring charge, Regional and Consumer Banking's earnings for 1995 increased by $105 million when compared with 1994 due to lower noninterest expense of $105 million (relating to the reduced FDIC premium expense) and higher noninterest revenue of $239 million. These factors were partially offset by a higher credit provision of $57 million. The higher credit provision in 1995 reflects the substantial growth in credit card outstandings.</w:t>
      </w:r>
    </w:p>
    <w:p>
      <w:pPr>
        <w:spacing w:after="0" w:line="163" w:lineRule="exact"/>
        <w:rPr>
          <w:sz w:val="20"/>
          <w:szCs w:val="20"/>
          <w:color w:val="auto"/>
        </w:rPr>
      </w:pPr>
    </w:p>
    <w:p>
      <w:pPr>
        <w:ind w:right="3679" w:firstLine="258"/>
        <w:spacing w:after="0" w:line="255" w:lineRule="auto"/>
        <w:rPr>
          <w:sz w:val="20"/>
          <w:szCs w:val="20"/>
          <w:color w:val="auto"/>
        </w:rPr>
      </w:pPr>
      <w:r>
        <w:rPr>
          <w:rFonts w:ascii="Courier New" w:cs="Courier New" w:eastAsia="Courier New" w:hAnsi="Courier New"/>
          <w:sz w:val="14"/>
          <w:szCs w:val="14"/>
          <w:color w:val="auto"/>
        </w:rPr>
        <w:t>The following table sets forth the significant components of Regional and Consumer Banking's total revenue by business for the periods indicated.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18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Revenue:(a)</w:t>
            </w:r>
          </w:p>
        </w:tc>
        <w:tc>
          <w:tcPr>
            <w:tcW w:w="18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Credit Cards</w:t>
            </w:r>
          </w:p>
        </w:tc>
        <w:tc>
          <w:tcPr>
            <w:tcW w:w="18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$2,511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$2,553</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Deposits and Investments</w:t>
            </w:r>
          </w:p>
        </w:tc>
        <w:tc>
          <w:tcPr>
            <w:tcW w:w="18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1,892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1,862</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Mortgage Banking</w:t>
            </w:r>
          </w:p>
        </w:tc>
        <w:tc>
          <w:tcPr>
            <w:tcW w:w="18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564</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National Consumer Finance</w:t>
            </w:r>
          </w:p>
        </w:tc>
        <w:tc>
          <w:tcPr>
            <w:tcW w:w="18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398</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International Consumer</w:t>
            </w:r>
          </w:p>
        </w:tc>
        <w:tc>
          <w:tcPr>
            <w:tcW w:w="18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186</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Middle Market/Community Development</w:t>
            </w:r>
          </w:p>
        </w:tc>
        <w:tc>
          <w:tcPr>
            <w:tcW w:w="18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816</w:t>
            </w:r>
          </w:p>
        </w:tc>
      </w:tr>
      <w:tr>
        <w:trPr>
          <w:trHeight w:val="166"/>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Texas Commerce</w:t>
            </w:r>
          </w:p>
        </w:tc>
        <w:tc>
          <w:tcPr>
            <w:tcW w:w="18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1,126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419" w:firstLine="8"/>
        <w:spacing w:after="0" w:line="252" w:lineRule="auto"/>
        <w:tabs>
          <w:tab w:leader="none" w:pos="344"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Insurance products managed within Deposits and Investments but included for reporting purposes in Credit Cards, Mortgage Banking, and National Consumer Finance, generated revenues of $75 million and $52 million in 1995 and 1994, respectively.</w:t>
      </w:r>
    </w:p>
    <w:p>
      <w:pPr>
        <w:spacing w:after="0" w:line="162"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Credit Cards revenue decreased $42 million, or 2%, in 1995, compared with 1994 due to the impact of competitive repricing in 1995. Partially offsetting this unfavorable impact was an increase in Shell MasterCard outstandings and resulting fee growth. The Corporation is a leading provider of credit cards and</w:t>
      </w:r>
    </w:p>
    <w:p>
      <w:pPr>
        <w:sectPr>
          <w:pgSz w:w="11900" w:h="16887" w:orient="portrait"/>
          <w:cols w:equalWidth="0" w:num="1">
            <w:col w:w="10239"/>
          </w:cols>
          <w:pgMar w:left="220" w:top="285" w:right="1440" w:bottom="0" w:gutter="0" w:footer="0" w:header="0"/>
        </w:sectPr>
      </w:pPr>
    </w:p>
    <w:bookmarkStart w:id="34" w:name="page35"/>
    <w:bookmarkEnd w:id="34"/>
    <w:p>
      <w:pPr>
        <w:ind w:right="3339"/>
        <w:spacing w:after="0" w:line="255" w:lineRule="auto"/>
        <w:rPr>
          <w:sz w:val="20"/>
          <w:szCs w:val="20"/>
          <w:color w:val="auto"/>
        </w:rPr>
      </w:pPr>
      <w:r>
        <w:rPr>
          <w:rFonts w:ascii="Courier New" w:cs="Courier New" w:eastAsia="Courier New" w:hAnsi="Courier New"/>
          <w:sz w:val="14"/>
          <w:szCs w:val="14"/>
          <w:color w:val="auto"/>
        </w:rPr>
        <w:t>unsecured revolving credit products in the U.S. with approximately $25.3 billion in managed revolving credit balances in 1995.</w:t>
      </w:r>
    </w:p>
    <w:p>
      <w:pPr>
        <w:spacing w:after="0" w:line="160"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Deposits and Investments had revenue growth of $30 million in 1995, an increase of 2% when compared with 1994. The improvement in 1995 was due mainly to targeted customer segmentation and repricing initiatives. The 1994 results included one-time gains recognized from the sale of regional banks in 1994.</w:t>
      </w:r>
    </w:p>
    <w:p>
      <w:pPr>
        <w:spacing w:after="0" w:line="162"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Mortgage Banking continues to be faced with fierce competition due to industry overcapacity which has adversely affected the 1995 results. Despite these factors, during 1995, Mortgage Banking recorded increased revenues of 13%, when compared with 1994, primarily due to the implementation of SFAS 122 and higher servicing-related revenues as a result of the acquisitions of Margaretten and AmRes.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141"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4"/>
          <w:szCs w:val="14"/>
          <w:color w:val="auto"/>
        </w:rPr>
        <w:t>12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right="3679" w:firstLine="258"/>
        <w:spacing w:after="0" w:line="251" w:lineRule="auto"/>
        <w:rPr>
          <w:sz w:val="20"/>
          <w:szCs w:val="20"/>
          <w:color w:val="auto"/>
        </w:rPr>
      </w:pPr>
      <w:r>
        <w:rPr>
          <w:rFonts w:ascii="Courier New" w:cs="Courier New" w:eastAsia="Courier New" w:hAnsi="Courier New"/>
          <w:sz w:val="14"/>
          <w:szCs w:val="14"/>
          <w:color w:val="auto"/>
        </w:rPr>
        <w:t>National Consumer Finance revenues increased $11 million, or 3%, in 1995, when compared with 1994. National Consumer Finance outstandings increased in 1995 by more than 25% over 1994. Despite the increase in outstandings, competitive pricing pressures largely offset the favorable impact from the higher level of outstandings.</w:t>
      </w:r>
    </w:p>
    <w:p>
      <w:pPr>
        <w:spacing w:after="0" w:line="165"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International consumer revenues increased 12% in 1995, compared with 1994, primarily due to increased revenue in Hong Kong as credit card outstandings and the number of accounts increased.</w:t>
      </w:r>
    </w:p>
    <w:p>
      <w:pPr>
        <w:spacing w:after="0" w:line="16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Middle Market/Community Development revenues increased 10% in 1995, when compared with 1994, due to higher revenues from business services to middle market and small business customers. During 1995, Middle Market experienced favorable deposit spreads and a reduction in the level of nonperforming assets; however, loan spreads and deposit volumes decreased primarily due to heightened competition.</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Texas Commerce revenue increased $39 million, or 4%, in 1995, compared with 1994. The improvement in 1995 was due to higher net interest income resulting from growth in loan volume and more favorable interest rate spreads. Also contributing to the increase in earnings for 1995 was lower foreclosed property expense. The substantial decrease in foreclosed property expense is attributable to the improvement in the Texas real estate market and payments received related to certain foreclosed properties that were previously written down.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GLOBAL SERVICES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Global Services includes custody, cash management, trade services, trust and other fiduciary services. At year-end 1995, the Corporation was custodian or trustee for approximately $2.9 trillion. The strategy for Global Services is to build world class product capabilities in transaction and information services. The results for Global Services were essentially flat in 1995, when compared with 1994. Revenue increased in 1995 due to higher net interest income reflecting deposit balance growth and an increase in income related to treasury management products. These factors were partially offset by a decline in trust revenue. The results for 1995 reflect the acquisition of the securities processing businesses of U.S. Trust in September 1995. Effective January 1, 1995, revenues and expenses of the business units that contributed to the shareholder services joint venture with Mellon Bank Corporation were reflected on an equity basis.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TERMINAL BUSINESSES (LDC AND REAL ESTATE)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Terminal Businesses represent discontinued portfolios that are primarily the refinancing country debt portfolio and the Corporation's nonperforming commercial real estate portfolio, primarily at Chase Manhattan Bank and Chemical Bank. Terminal Businesses had net income of $75 million for 1995, compared with net income of $104 million in 1994, and included losses of $49 million related to the disposition of available-for-sale emerging markets securities in 1995 (compared with gains of $233 million from sales of such securities in 1994). Net interest income decreased $30 million in 1995 due to a decline in loan outstandings. The improvements in credit provision and foreclosed property expense reflects the significant progress made in managing the Corporation's real estate portfolio. Total nonperforming refinancing country debt and real estate assets at December 31, 1995 were $433 million, down $304 million from $737 million at December 31, 1994, as a result of increased liquidity in the real estate markets and successful workout activities.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Corporate includes the management results attributed to the parent company; the Corporation's investment in CIT; and some effects remaining at the corporate level after the implementation of management accounting policies, including residual credit provision and tax expense. Corporate had net income of $97 million for 1995, which included an $11 million after-tax charge due to the adoption of SFAS 106 for foreign employees and a $6 million writedown associated with certain nonperforming residential mortgages. In 1994, the net loss of $24 million included after-tax restructuring charges of $152 million associated with a program to improve earnings per share and $65 million for a voluntary retirement program, partially offset by a Federal tax benefit of $70 million.</w:t>
      </w:r>
    </w:p>
    <w:p>
      <w:pPr>
        <w:spacing w:after="0" w:line="163"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CREDIT RISK MANAGEMENT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Credit risk for both lending-related products and derivative and foreign exchange products represents the possibility that a loss may occur if a borrower or counterparty fails to honor fully the terms of a contract. Under the direction of the Chief Credit Officer, risk policies and guidelines are formulated, approved and communicated throughout the Corporation; and senior credit executives, representing the major lines of business, are responsible for maintaining a sound credit process, addressing risk issues, and reviewing the portfolio.</w:t>
      </w:r>
    </w:p>
    <w:p>
      <w:pPr>
        <w:spacing w:after="0" w:line="330"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Corporation's credit risk management is an integrated process operating concurrently at the transaction and portfolio levels. For credit origination, business professionals formulate strategies, target markets, and determine acceptable levels of risk. Credit executives work with business originators during the underwriting process to review adherence to risk policies.</w:t>
      </w:r>
    </w:p>
    <w:p>
      <w:pPr>
        <w:sectPr>
          <w:pgSz w:w="11900" w:h="16838" w:orient="portrait"/>
          <w:cols w:equalWidth="0" w:num="1">
            <w:col w:w="10239"/>
          </w:cols>
          <w:pgMar w:left="220" w:top="285" w:right="1440" w:bottom="260" w:gutter="0" w:footer="0" w:header="0"/>
        </w:sectPr>
      </w:pPr>
    </w:p>
    <w:p>
      <w:pPr>
        <w:spacing w:after="0" w:line="165"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285" w:right="1440" w:bottom="260" w:gutter="0" w:footer="0" w:header="0"/>
          <w:type w:val="continuous"/>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ind w:left="180" w:hanging="172"/>
        <w:spacing w:after="0"/>
        <w:tabs>
          <w:tab w:leader="none" w:pos="1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Portfolio diversification lowers the Corporation's risk profile. In addition</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to the diversification achieved by the expanse of the Corporation's businesses, the Corporation diversifies by securitizing and selling credit assets such as loans, thereby seeking to avoid unacceptable risk concentrations.</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Loan Portfolio: The consumer and commercial segments of the portfolio have different risk characteristics and different techniques are utilized to measure and manage their respective credit risks. The consumer loan risk management process utilizes sophisticated credit scoring and other analytical methods to differentiate risk characteristics. Risk management procedures include monitoring both loan origination credit standards and loan performance quality indicators. The consumer portfolio review process also includes evaluating product-line performance, geographic diversity and consumer economic trends.</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Within the commercial segment, each credit facility is risk graded. Facilities are subject to hold targets based on risk, and are often syndicated in order to lower potential concentration risks. Syndication consists of arranging a credit facility between a borrower and a group of lenders in which each lender assumes a share of the facility, thereby limiting the Corporation's risk with regard to the facility as the syndicated portions are not recorded on the Corporation's consolidated balance sheet. These activities enable the Corporation to function as a financial intermediary between other suppliers and users of funds. In contrast, loan sales occur only after a loan is funded by the Corporation. Such loans are generally sold to maturity and without recourse to the Corporation.</w:t>
      </w:r>
    </w:p>
    <w:p>
      <w:pPr>
        <w:spacing w:after="0" w:line="329" w:lineRule="exact"/>
        <w:rPr>
          <w:sz w:val="20"/>
          <w:szCs w:val="20"/>
          <w:color w:val="auto"/>
        </w:rPr>
      </w:pPr>
    </w:p>
    <w:p>
      <w:pPr>
        <w:ind w:right="3679" w:firstLine="258"/>
        <w:spacing w:after="0" w:line="252" w:lineRule="auto"/>
        <w:rPr>
          <w:sz w:val="20"/>
          <w:szCs w:val="20"/>
          <w:color w:val="auto"/>
        </w:rPr>
      </w:pPr>
      <w:r>
        <w:rPr>
          <w:rFonts w:ascii="Courier New" w:cs="Courier New" w:eastAsia="Courier New" w:hAnsi="Courier New"/>
          <w:sz w:val="14"/>
          <w:szCs w:val="14"/>
          <w:color w:val="auto"/>
        </w:rPr>
        <w:t>Real estate problem assets are managed in special units staffed for restructuring, workout and collection. The Corporation reassesses the market value of real estate owned for possible impairment on a continual basis.</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loan review process includes industry specialists and country risk managers who provide expert insight into the portfolio. Industries and countries are also evaluated in a process which is incorporated into credit-risk decisions through the facility-risk grading system and by direct consultation with originating officers.</w:t>
      </w:r>
    </w:p>
    <w:p>
      <w:pPr>
        <w:spacing w:after="0" w:line="165"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Overseas extensions of credit require not only the normal credit-risk analysis associated with the decision to extend financing to a particular customer, but also an assessment of country risk. Country risk arises from economic, social and political factors that might affect a borrower's ability to repay in the currency of the extension of credit. Cross-border credit exposures are those that borrowers must repay in a currency other than their local currency or to a lender in a different country. One of the major risk factors associated with cross-border credit exposures is the possibility that a country's foreign exchange reserves may be insufficient or unavailable to permit timely repayment by borrowers domiciled in that country, even if the borrowers possess sufficient local currency. In addition, global economic, social and political conditions, local and foreign government actions and associated events can affect business activities in a country and a borrower's ability and/or willingness to repay external debt obligations.</w:t>
      </w:r>
    </w:p>
    <w:p>
      <w:pPr>
        <w:spacing w:after="0" w:line="162"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Corporation has a country risk assessment process by which it monitors and analyzes the economic, social and political environments in all countries in which it conducts business or in which its borrowers reside. These in-depth assessments, conducted by a team of economists and political analysts, in conjunction with local management, are utilized by the Corporation as part of its system of managing total country exposures.</w:t>
      </w:r>
    </w:p>
    <w:p>
      <w:pPr>
        <w:spacing w:after="0" w:line="164"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Derivative and Foreign Exchange Financial Instruments: The Corporation seeks to control the credit risk arising from derivative and foreign exchange transactions through its credit approval process and the use of risk control limits and monitoring procedures. The Corporation uses the same credit procedures when entering into derivative and foreign exchange transactions as it does for traditional lending products. The credit approval process involves evaluating each counterparty's creditworthiness, then, where appropriate, assessing the applicability of off-balance sheet instruments to the risks the counterparty is attempting to manage, and determining if there are specific transaction characteristics which alter the risk profile. Credit limits are calculated and monitored on the basis of potential exposure which takes into consideration current market value and estimates of potential future movements in market values. If collateral is deemed necessary to reduce credit risk, then the amount and nature of the collateral obtained is based on management's credit evaluation of the customer. Collateral held varies but may include cash, investment securities, accounts receivable, inventory, property, plant and equipment, and real estate.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PORTFOLIO</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Corporation's loans outstanding totaled $150.2 billion at December 31, 1995, an increase of $8.0 billion from the 1994 year-end reflecting growth in both the domestic consumer and the commercial and industrial loan portfolios.</w:t>
      </w:r>
    </w:p>
    <w:p>
      <w:pPr>
        <w:spacing w:after="0" w:line="16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[GRAPH NUMBER 10]</w:t>
      </w:r>
    </w:p>
    <w:p>
      <w:pPr>
        <w:sectPr>
          <w:pgSz w:w="11900" w:h="16838" w:orient="portrait"/>
          <w:cols w:equalWidth="0" w:num="1">
            <w:col w:w="10239"/>
          </w:cols>
          <w:pgMar w:left="220" w:top="285"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285" w:right="1440" w:bottom="144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14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ind w:left="180" w:hanging="172"/>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Corporation's nonperforming assets at December 31, 1995 were $1,664</w:t>
      </w:r>
    </w:p>
    <w:p>
      <w:pPr>
        <w:spacing w:after="0" w:line="7"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million, a decrease of $462 million from the 1994 year-end level. The reduction in nonperforming assets reflects the improvement in the Corporation's credit profile as a result of a lower level of loans being placed on nonperforming status, repayments, charge-offs and the Corporation's continuing loan workout and collection activities.</w:t>
      </w:r>
    </w:p>
    <w:p>
      <w:pPr>
        <w:spacing w:after="0" w:line="165"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Total net charge-offs were $840 million in 1995, compared with $1,464 million in 1994. The 1994 amount excluded a $148 million charge related to the decision to designate certain real estate assets as held for accelerated disposition. For a further discussion of nonperforming assets and net charge-offs, see the various credit portfolio sections that follow.</w:t>
      </w:r>
    </w:p>
    <w:p>
      <w:pPr>
        <w:spacing w:after="0" w:line="165"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following table presents the Corporation's loan and nonperforming asset balances by portfolio at December 31, 1995 and 1994 and the related net charge-off amounts for the periods indicated. Additionally, loans which were past due 90 days and over as to principal or interest but not characterized as nonperforming are also included in the table below.</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Past Due</w:t>
            </w:r>
          </w:p>
        </w:tc>
      </w:tr>
      <w:tr>
        <w:trPr>
          <w:trHeight w:val="166"/>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90 Days and Over</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As of or for the year ended</w:t>
            </w:r>
          </w:p>
        </w:tc>
        <w:tc>
          <w:tcPr>
            <w:tcW w:w="1000" w:type="dxa"/>
            <w:vAlign w:val="bottom"/>
          </w:tcPr>
          <w:p>
            <w:pPr>
              <w:spacing w:after="0"/>
              <w:rPr>
                <w:sz w:val="14"/>
                <w:szCs w:val="14"/>
                <w:color w:val="auto"/>
              </w:rPr>
            </w:pPr>
          </w:p>
        </w:tc>
        <w:tc>
          <w:tcPr>
            <w:tcW w:w="1040" w:type="dxa"/>
            <w:vAlign w:val="bottom"/>
          </w:tcPr>
          <w:p>
            <w:pPr>
              <w:jc w:val="right"/>
              <w:ind w:right="548"/>
              <w:spacing w:after="0"/>
              <w:rPr>
                <w:sz w:val="20"/>
                <w:szCs w:val="20"/>
                <w:color w:val="auto"/>
              </w:rPr>
            </w:pPr>
            <w:r>
              <w:rPr>
                <w:rFonts w:ascii="Courier New" w:cs="Courier New" w:eastAsia="Courier New" w:hAnsi="Courier New"/>
                <w:sz w:val="14"/>
                <w:szCs w:val="14"/>
                <w:color w:val="auto"/>
                <w:w w:val="95"/>
              </w:rPr>
              <w:t>Loans</w:t>
            </w:r>
          </w:p>
        </w:tc>
        <w:tc>
          <w:tcPr>
            <w:tcW w:w="19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Nonperforming Assets</w:t>
            </w:r>
          </w:p>
        </w:tc>
        <w:tc>
          <w:tcPr>
            <w:tcW w:w="1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Net Charge-offs</w:t>
            </w:r>
          </w:p>
        </w:tc>
        <w:tc>
          <w:tcPr>
            <w:tcW w:w="1460" w:type="dxa"/>
            <w:vAlign w:val="bottom"/>
            <w:gridSpan w:val="2"/>
          </w:tcPr>
          <w:p>
            <w:pPr>
              <w:jc w:val="center"/>
              <w:ind w:left="8"/>
              <w:spacing w:after="0"/>
              <w:rPr>
                <w:sz w:val="20"/>
                <w:szCs w:val="20"/>
                <w:color w:val="auto"/>
              </w:rPr>
            </w:pPr>
            <w:r>
              <w:rPr>
                <w:rFonts w:ascii="Courier New" w:cs="Courier New" w:eastAsia="Courier New" w:hAnsi="Courier New"/>
                <w:sz w:val="14"/>
                <w:szCs w:val="14"/>
                <w:color w:val="auto"/>
              </w:rPr>
              <w:t>and Accruing</w:t>
            </w: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December 31, (in millions)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Domestic</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Consumer:</w:t>
            </w: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Residential Mortgage(a)</w:t>
            </w:r>
          </w:p>
        </w:tc>
        <w:tc>
          <w:tcPr>
            <w:tcW w:w="1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$ 34,060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$ 28,823</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238</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190</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$ 62</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60</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Credit</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Card</w:t>
            </w:r>
          </w:p>
        </w:tc>
        <w:tc>
          <w:tcPr>
            <w:tcW w:w="1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17,078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16,994</w:t>
            </w:r>
          </w:p>
        </w:tc>
        <w:tc>
          <w:tcPr>
            <w:tcW w:w="26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675</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583</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343</w:t>
            </w:r>
          </w:p>
        </w:tc>
      </w:tr>
      <w:tr>
        <w:trPr>
          <w:trHeight w:val="166"/>
        </w:trPr>
        <w:tc>
          <w:tcPr>
            <w:tcW w:w="2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Auto Loans</w:t>
            </w:r>
          </w:p>
        </w:tc>
        <w:tc>
          <w:tcPr>
            <w:tcW w:w="1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6,290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7,999</w:t>
            </w:r>
          </w:p>
        </w:tc>
        <w:tc>
          <w:tcPr>
            <w:tcW w:w="26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2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 Consumer(b)</w:t>
            </w:r>
          </w:p>
        </w:tc>
        <w:tc>
          <w:tcPr>
            <w:tcW w:w="14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12,003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9,816</w:t>
            </w:r>
          </w:p>
        </w:tc>
        <w:tc>
          <w:tcPr>
            <w:tcW w:w="260" w:type="dxa"/>
            <w:vAlign w:val="bottom"/>
          </w:tcPr>
          <w:p>
            <w:pPr>
              <w:spacing w:after="0"/>
              <w:rPr>
                <w:sz w:val="14"/>
                <w:szCs w:val="14"/>
                <w:color w:val="auto"/>
              </w:rPr>
            </w:pP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118</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Domestic Consumer</w:t>
            </w:r>
          </w:p>
        </w:tc>
        <w:tc>
          <w:tcPr>
            <w:tcW w:w="15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69,431</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63,632</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277</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232   859</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768</w:t>
            </w:r>
          </w:p>
        </w:tc>
        <w:tc>
          <w:tcPr>
            <w:tcW w:w="7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473</w:t>
            </w:r>
          </w:p>
        </w:tc>
      </w:tr>
    </w:tbl>
    <w:p>
      <w:pPr>
        <w:spacing w:after="0" w:line="4" w:lineRule="exact"/>
        <w:rPr>
          <w:sz w:val="20"/>
          <w:szCs w:val="20"/>
          <w:color w:val="auto"/>
        </w:rPr>
      </w:pPr>
    </w:p>
    <w:p>
      <w:pPr>
        <w:ind w:left="180" w:hanging="172"/>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Domestic Commercial:</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840" w:type="dxa"/>
            <w:vAlign w:val="bottom"/>
          </w:tcPr>
          <w:p>
            <w:pPr>
              <w:spacing w:after="0"/>
              <w:rPr>
                <w:sz w:val="20"/>
                <w:szCs w:val="20"/>
                <w:color w:val="auto"/>
              </w:rPr>
            </w:pPr>
            <w:r>
              <w:rPr>
                <w:rFonts w:ascii="Courier New" w:cs="Courier New" w:eastAsia="Courier New" w:hAnsi="Courier New"/>
                <w:sz w:val="14"/>
                <w:szCs w:val="14"/>
                <w:color w:val="auto"/>
              </w:rPr>
              <w:t>Commercial and Industrial</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32,276</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30,492</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496</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463</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Commercial Real Estate(c)</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6,660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7,703</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375</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422</w:t>
            </w:r>
          </w:p>
        </w:tc>
        <w:tc>
          <w:tcPr>
            <w:tcW w:w="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290</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Financial Institutions</w:t>
            </w:r>
          </w:p>
        </w:tc>
        <w:tc>
          <w:tcPr>
            <w:tcW w:w="1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5,714</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5,237</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w:t>
            </w:r>
          </w:p>
        </w:tc>
        <w:tc>
          <w:tcPr>
            <w:tcW w:w="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Total Domestic Commercial</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44,650</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43,432</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873</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896</w:t>
            </w:r>
          </w:p>
        </w:tc>
        <w:tc>
          <w:tcPr>
            <w:tcW w:w="6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386</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Total Domestic</w:t>
            </w:r>
          </w:p>
        </w:tc>
        <w:tc>
          <w:tcPr>
            <w:tcW w:w="3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114,081   107,064   1,150</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1,128   874</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1,154   620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Foreign, primarily Commercial</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36,126</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35,167</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343</w:t>
            </w:r>
          </w:p>
        </w:tc>
        <w:tc>
          <w:tcPr>
            <w:tcW w:w="1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461   (34)</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310</w:t>
            </w:r>
          </w:p>
        </w:tc>
        <w:tc>
          <w:tcPr>
            <w:tcW w:w="7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Total Loans</w:t>
            </w:r>
          </w:p>
        </w:tc>
        <w:tc>
          <w:tcPr>
            <w:tcW w:w="20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$150,207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$142,231</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$1,493</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$1,589</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$840</w:t>
            </w: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$1,464</w:t>
            </w:r>
          </w:p>
        </w:tc>
        <w:tc>
          <w:tcPr>
            <w:tcW w:w="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4900" w:val="left"/>
          <w:tab w:leader="none" w:pos="5500" w:val="left"/>
          <w:tab w:leader="none" w:pos="6700" w:val="left"/>
          <w:tab w:leader="none" w:pos="7300" w:val="left"/>
          <w:tab w:leader="none" w:pos="8260" w:val="left"/>
          <w:tab w:leader="none" w:pos="8780" w:val="left"/>
          <w:tab w:leader="none" w:pos="9800" w:val="left"/>
        </w:tabs>
        <w:rPr>
          <w:sz w:val="20"/>
          <w:szCs w:val="20"/>
          <w:color w:val="auto"/>
        </w:rPr>
      </w:pPr>
      <w:r>
        <w:rPr>
          <w:rFonts w:ascii="Courier New" w:cs="Courier New" w:eastAsia="Courier New" w:hAnsi="Courier New"/>
          <w:sz w:val="14"/>
          <w:szCs w:val="14"/>
          <w:color w:val="auto"/>
        </w:rPr>
        <w:t>Assets Acquired as Loan Satisfactions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171</w:t>
      </w:r>
      <w:r>
        <w:rPr>
          <w:sz w:val="20"/>
          <w:szCs w:val="20"/>
          <w:color w:val="auto"/>
        </w:rPr>
        <w:tab/>
      </w:r>
      <w:r>
        <w:rPr>
          <w:rFonts w:ascii="Courier New" w:cs="Courier New" w:eastAsia="Courier New" w:hAnsi="Courier New"/>
          <w:sz w:val="14"/>
          <w:szCs w:val="14"/>
          <w:color w:val="auto"/>
        </w:rPr>
        <w:t>537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4900" w:val="left"/>
          <w:tab w:leader="none" w:pos="5240" w:val="left"/>
          <w:tab w:leader="none" w:pos="6440" w:val="left"/>
          <w:tab w:leader="none" w:pos="7300" w:val="left"/>
          <w:tab w:leader="none" w:pos="8260" w:val="left"/>
          <w:tab w:leader="none" w:pos="8780" w:val="left"/>
          <w:tab w:leader="none" w:pos="9800" w:val="left"/>
        </w:tabs>
        <w:rPr>
          <w:sz w:val="20"/>
          <w:szCs w:val="20"/>
          <w:color w:val="auto"/>
        </w:rPr>
      </w:pPr>
      <w:r>
        <w:rPr>
          <w:rFonts w:ascii="Courier New" w:cs="Courier New" w:eastAsia="Courier New" w:hAnsi="Courier New"/>
          <w:sz w:val="14"/>
          <w:szCs w:val="14"/>
          <w:color w:val="auto"/>
        </w:rPr>
        <w:t>Total Nonperforming Assets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$1,664</w:t>
      </w:r>
      <w:r>
        <w:rPr>
          <w:sz w:val="20"/>
          <w:szCs w:val="20"/>
          <w:color w:val="auto"/>
        </w:rPr>
        <w:tab/>
      </w:r>
      <w:r>
        <w:rPr>
          <w:rFonts w:ascii="Courier New" w:cs="Courier New" w:eastAsia="Courier New" w:hAnsi="Courier New"/>
          <w:sz w:val="14"/>
          <w:szCs w:val="14"/>
          <w:color w:val="auto"/>
        </w:rPr>
        <w:t>$2,126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4900" w:val="left"/>
          <w:tab w:leader="none" w:pos="5240" w:val="left"/>
          <w:tab w:leader="none" w:pos="5500" w:val="left"/>
          <w:tab w:leader="none" w:pos="6440" w:val="left"/>
          <w:tab w:leader="none" w:pos="6700" w:val="left"/>
          <w:tab w:leader="none" w:pos="7300" w:val="left"/>
          <w:tab w:leader="none" w:pos="7920" w:val="left"/>
          <w:tab w:leader="none" w:pos="8180" w:val="left"/>
          <w:tab w:leader="none" w:pos="8780" w:val="left"/>
          <w:tab w:leader="none" w:pos="9800" w:val="left"/>
        </w:tabs>
        <w:rPr>
          <w:sz w:val="20"/>
          <w:szCs w:val="20"/>
          <w:color w:val="auto"/>
        </w:rPr>
      </w:pPr>
      <w:r>
        <w:rPr>
          <w:rFonts w:ascii="Courier New" w:cs="Courier New" w:eastAsia="Courier New" w:hAnsi="Courier New"/>
          <w:sz w:val="14"/>
          <w:szCs w:val="14"/>
          <w:color w:val="auto"/>
        </w:rPr>
        <w:t>Assets Held for Accelerated Disposition</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w:t>
        <w:tab/>
        <w:t>412</w:t>
      </w:r>
      <w:r>
        <w:rPr>
          <w:sz w:val="20"/>
          <w:szCs w:val="20"/>
          <w:color w:val="auto"/>
        </w:rPr>
        <w:tab/>
      </w:r>
      <w:r>
        <w:rPr>
          <w:rFonts w:ascii="Courier New" w:cs="Courier New" w:eastAsia="Courier New" w:hAnsi="Courier New"/>
          <w:sz w:val="14"/>
          <w:szCs w:val="14"/>
          <w:color w:val="auto"/>
        </w:rPr>
        <w:t>$</w:t>
        <w:tab/>
        <w:t>526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tab/>
        <w:t>148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360" w:hanging="352"/>
        <w:spacing w:after="0"/>
        <w:tabs>
          <w:tab w:leader="none" w:pos="36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1-4 family residential mortgages.</w:t>
      </w:r>
    </w:p>
    <w:p>
      <w:pPr>
        <w:spacing w:after="0" w:line="7" w:lineRule="exact"/>
        <w:rPr>
          <w:rFonts w:ascii="Courier New" w:cs="Courier New" w:eastAsia="Courier New" w:hAnsi="Courier New"/>
          <w:sz w:val="14"/>
          <w:szCs w:val="14"/>
          <w:color w:val="auto"/>
        </w:rPr>
      </w:pPr>
    </w:p>
    <w:p>
      <w:pPr>
        <w:ind w:right="3339" w:firstLine="8"/>
        <w:spacing w:after="0" w:line="252" w:lineRule="auto"/>
        <w:tabs>
          <w:tab w:leader="none" w:pos="344"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installment loans (direct and indirect types of consumer finance) and student loans. There are essentially no credit losses in the student loan portfolio due to the existence of Federal and State government agency guarantees. At December 31, 1995 and 1994, student loans which were past due 90 days and over and still accruing were approximately $107 million and $105 million, respectively.</w:t>
      </w:r>
    </w:p>
    <w:p>
      <w:pPr>
        <w:spacing w:after="0" w:line="161" w:lineRule="exact"/>
        <w:rPr>
          <w:rFonts w:ascii="Courier New" w:cs="Courier New" w:eastAsia="Courier New" w:hAnsi="Courier New"/>
          <w:sz w:val="14"/>
          <w:szCs w:val="14"/>
          <w:color w:val="auto"/>
        </w:rPr>
      </w:pPr>
    </w:p>
    <w:p>
      <w:pPr>
        <w:ind w:right="3939" w:firstLine="8"/>
        <w:spacing w:after="0" w:line="255" w:lineRule="auto"/>
        <w:tabs>
          <w:tab w:leader="none" w:pos="344"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loans secured primarily by real property, other than loans secured by mortgages on 1-4 family residential properties.</w:t>
      </w:r>
    </w:p>
    <w:p>
      <w:pPr>
        <w:spacing w:after="0" w:line="16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[GRAPH NUMBER 11]</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[GRAPH NUMBER 12]</w:t>
      </w:r>
    </w:p>
    <w:p>
      <w:pPr>
        <w:spacing w:after="0" w:line="173"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285" w:right="1440" w:bottom="1440" w:gutter="0" w:footer="0" w:header="0"/>
        </w:sectPr>
      </w:pPr>
    </w:p>
    <w:bookmarkStart w:id="38" w:name="page39"/>
    <w:bookmarkEnd w:id="38"/>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DOMESTIC CONSUMER PORTFOLIO</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domestic consumer loan portfolio consists of one-to-four family residential mortgages, credit cards and other consumer loans. The domestic consumer loan portfolio totaled $69.4 billion at December 31, 1995, an increase of 9% from the prior year-end. As a percentage of the total loan portfolio, consumer loans grew to 46% at the end of 1995, from 45% at December 31, 1994.</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Residential Mortgage Loans: Residential mortgage loans at December 31, 1995 were $34.1 billion, an increase of $5.3 billion from the 1994 year-end, primarily reflecting increases in adjustable-rate loan outstandings.</w:t>
      </w:r>
    </w:p>
    <w:p>
      <w:pPr>
        <w:spacing w:after="0" w:line="163" w:lineRule="exact"/>
        <w:rPr>
          <w:sz w:val="20"/>
          <w:szCs w:val="20"/>
          <w:color w:val="auto"/>
        </w:rPr>
      </w:pPr>
    </w:p>
    <w:p>
      <w:pPr>
        <w:ind w:right="3599" w:firstLine="258"/>
        <w:spacing w:after="0" w:line="255" w:lineRule="auto"/>
        <w:rPr>
          <w:sz w:val="20"/>
          <w:szCs w:val="20"/>
          <w:color w:val="auto"/>
        </w:rPr>
      </w:pPr>
      <w:r>
        <w:rPr>
          <w:rFonts w:ascii="Courier New" w:cs="Courier New" w:eastAsia="Courier New" w:hAnsi="Courier New"/>
          <w:sz w:val="14"/>
          <w:szCs w:val="14"/>
          <w:color w:val="auto"/>
        </w:rPr>
        <w:t>The following table presents the residential mortgage loan outstandings by geographic region at the dates indicated.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RESIDENTIAL MORTGAGE LOANS BY GEOGRAPHIC REGION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December 31, (in millions)</w:t>
            </w:r>
          </w:p>
        </w:tc>
        <w:tc>
          <w:tcPr>
            <w:tcW w:w="2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City</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$ 3,399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$ 3,438</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(Excluding New York City)</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4,467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5,284</w:t>
            </w:r>
          </w:p>
        </w:tc>
      </w:tr>
      <w:tr>
        <w:trPr>
          <w:trHeight w:val="166"/>
        </w:trPr>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Remaining Northeast</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6,210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6,766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Total Northeast</w:t>
            </w:r>
          </w:p>
        </w:tc>
        <w:tc>
          <w:tcPr>
            <w:tcW w:w="2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14,076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15,488</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2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3,586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2,379</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2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3,154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2,103</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Southwest(a)</w:t>
            </w:r>
          </w:p>
        </w:tc>
        <w:tc>
          <w:tcPr>
            <w:tcW w:w="2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2,345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2,048</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West(b)</w:t>
            </w:r>
          </w:p>
        </w:tc>
        <w:tc>
          <w:tcPr>
            <w:tcW w:w="2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10,899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6,805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420" w:val="left"/>
          <w:tab w:leader="none" w:pos="628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$34,060</w:t>
      </w:r>
      <w:r>
        <w:rPr>
          <w:sz w:val="20"/>
          <w:szCs w:val="20"/>
          <w:color w:val="auto"/>
        </w:rPr>
        <w:tab/>
      </w:r>
      <w:r>
        <w:rPr>
          <w:rFonts w:ascii="Courier New" w:cs="Courier New" w:eastAsia="Courier New" w:hAnsi="Courier New"/>
          <w:sz w:val="14"/>
          <w:szCs w:val="14"/>
          <w:color w:val="auto"/>
        </w:rPr>
        <w:t>$28,823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679" w:firstLine="8"/>
        <w:spacing w:after="0" w:line="250" w:lineRule="auto"/>
        <w:tabs>
          <w:tab w:leader="none" w:pos="344"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mortgage loans in the Texas market of $2,179 million and $1,934 million at December 31, 1995 and 1994, respectively.</w:t>
      </w:r>
    </w:p>
    <w:p>
      <w:pPr>
        <w:ind w:left="360" w:hanging="352"/>
        <w:spacing w:after="0"/>
        <w:tabs>
          <w:tab w:leader="none" w:pos="36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mortgage loans in the California market of $8,030 million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$4,967 million at December 31, 1995 and 1994, respectively.</w:t>
      </w:r>
    </w:p>
    <w:p>
      <w:pPr>
        <w:spacing w:after="0" w:line="17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Total nonperforming residential mortgage loans at December 31, 1995 were $238 million, compared with $190 million at December 31, 1994. Total net charge-offs of residential mortgage loans were $62 million in 1995, compared with $60 million in 1994. The percentage of net charge-offs to average residential mortgage loans for 1995 declined to .20% from .22% for the prior year.</w:t>
      </w:r>
    </w:p>
    <w:p>
      <w:pPr>
        <w:spacing w:after="0" w:line="165"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During the 1995 fourth quarter, the Corporation transferred $421 million of residential mortgage loans into the accelerated disposition portfolio. For a further discussion of the transfer, see the Assets Held for Accelerated Disposition section on page 38.</w:t>
      </w:r>
    </w:p>
    <w:p>
      <w:pPr>
        <w:spacing w:after="0" w:line="162"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Corporation both originates and services residential mortgage loans as part of its mortgage banking activities. After origination, the Corporation typically sells loans to investors, primarily in the secondary market, while retaining the rights to service such loans. In addition to originating mortgage servicing rights, the Corporation also purchases and sells mortgage servicing rights. The Corporation may purchase bulk rights to service a loan portfolio or the Corporation may purchase loans directly and then sell such loans while retaining the servicing rights. As disclosed in Note One of the Notes to Consolidated Financial Statements, the Corporation adopted SFAS 122 in the 1995 second quarter. SFAS 122 requires that when a definitive plan exists to sell or securitize mortgage loans and to retain the servicing rights related thereto, a mortgage banking enterprise should recognize as separate assets the rights to service mortgage loans for others, irrespective of whether those servicing rights are acquired through the purchase or origination of mortgage loans.</w:t>
      </w:r>
    </w:p>
    <w:p>
      <w:pPr>
        <w:spacing w:after="0" w:line="162"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The Corporation's residential mortgage servicing portfolio amounted to $132.1 billion at December 31, 1995, compared with $118.3 billion at December 31, 1994. The following table presents the residential mortgage servicing portfolio activity for 1995 and 1994.</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Year Ended December 31, (in billions)</w:t>
            </w:r>
          </w:p>
        </w:tc>
        <w:tc>
          <w:tcPr>
            <w:tcW w:w="18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$ 80.9</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Originations</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26.6</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Acquisitions</w:t>
            </w:r>
          </w:p>
        </w:tc>
        <w:tc>
          <w:tcPr>
            <w:tcW w:w="2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37.6</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Repayments</w:t>
            </w:r>
          </w:p>
        </w:tc>
        <w:tc>
          <w:tcPr>
            <w:tcW w:w="2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(17.1)</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Sales</w:t>
            </w:r>
          </w:p>
        </w:tc>
        <w:tc>
          <w:tcPr>
            <w:tcW w:w="22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320" w:val="left"/>
          <w:tab w:leader="none" w:pos="6360" w:val="left"/>
        </w:tabs>
        <w:rPr>
          <w:sz w:val="20"/>
          <w:szCs w:val="20"/>
          <w:color w:val="auto"/>
        </w:rPr>
      </w:pPr>
      <w:r>
        <w:rPr>
          <w:rFonts w:ascii="Courier New" w:cs="Courier New" w:eastAsia="Courier New" w:hAnsi="Courier New"/>
          <w:sz w:val="14"/>
          <w:szCs w:val="14"/>
          <w:color w:val="auto"/>
        </w:rPr>
        <w:t>Balance at End of Year</w:t>
      </w:r>
      <w:r>
        <w:rPr>
          <w:sz w:val="20"/>
          <w:szCs w:val="20"/>
          <w:color w:val="auto"/>
        </w:rPr>
        <w:tab/>
      </w:r>
      <w:r>
        <w:rPr>
          <w:rFonts w:ascii="Courier New" w:cs="Courier New" w:eastAsia="Courier New" w:hAnsi="Courier New"/>
          <w:sz w:val="14"/>
          <w:szCs w:val="14"/>
          <w:color w:val="auto"/>
        </w:rPr>
        <w:t>$132.1</w:t>
      </w:r>
      <w:r>
        <w:rPr>
          <w:sz w:val="20"/>
          <w:szCs w:val="20"/>
          <w:color w:val="auto"/>
        </w:rPr>
        <w:tab/>
      </w:r>
      <w:r>
        <w:rPr>
          <w:rFonts w:ascii="Courier New" w:cs="Courier New" w:eastAsia="Courier New" w:hAnsi="Courier New"/>
          <w:sz w:val="14"/>
          <w:szCs w:val="14"/>
          <w:color w:val="auto"/>
        </w:rPr>
        <w:t>$118.3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Mortgage servicing rights (included in other assets) amounted to $1,242 million at December 31, 1995, compared with $1,120 million at December 31, 1994. The increase reflects the corresponding increase in the Corporation's residential mortgage servicing portfolio, the effects of purchases of servicing portfolios during the first half of 1995, and the recognition of originated mortgage servicing rights as assets beginning in 1995 pursuant to SFAS 122. Capitalized mortgage servicing rights are amortized into income in proportion to, and over the period of, the estimated future net servicing income stream of</w:t>
      </w:r>
    </w:p>
    <w:p>
      <w:pPr>
        <w:sectPr>
          <w:pgSz w:w="11900" w:h="16886" w:orient="portrait"/>
          <w:cols w:equalWidth="0" w:num="1">
            <w:col w:w="10239"/>
          </w:cols>
          <w:pgMar w:left="220" w:top="285" w:right="1440" w:bottom="0" w:gutter="0" w:footer="0" w:header="0"/>
        </w:sectPr>
      </w:pPr>
    </w:p>
    <w:bookmarkStart w:id="39" w:name="page40"/>
    <w:bookmarkEnd w:id="39"/>
    <w:p>
      <w:pPr>
        <w:ind w:right="3339"/>
        <w:spacing w:after="0" w:line="251" w:lineRule="auto"/>
        <w:rPr>
          <w:sz w:val="20"/>
          <w:szCs w:val="20"/>
          <w:color w:val="auto"/>
        </w:rPr>
      </w:pPr>
      <w:r>
        <w:rPr>
          <w:rFonts w:ascii="Courier New" w:cs="Courier New" w:eastAsia="Courier New" w:hAnsi="Courier New"/>
          <w:sz w:val="14"/>
          <w:szCs w:val="14"/>
          <w:color w:val="auto"/>
        </w:rPr>
        <w:t>the underlying mortgage loans. The Corporation utilizes an amortization method based on adjusted cash flows to amortize mortgage servicing rights. The mortgage loans to which the Corporation's servicing rights relate are, to a substantial degree, of recent vintage (i.e., originated in the period 1992 through 1995 when interest rates were relatively low). The Corporation continually evaluates prepayment exposure of the portfolio, adjusting the balance and remaining life of the servicing rights as a result of prepayments, and utilizes derivative contracts to reduce its exposure to such prepayment risks. For a further discussion of derivatives used in connection with mortgage servicing, see page 44.</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Credit Card Loans: The Corporation evaluates its credit card exposure based on its "managed receivables" which include credit card receivables on the balance sheet as well as credit card receivables which have been securitized. During 1995, the Corporation securitized $4.8 billion of credit card receivables. There were no new credit card securitizations during 1994; although securitized balances existed in 1994 from securitizations that occurred in 1993 and prior years. At December 31, 1995, the Corporation had $23.7 billion of managed receivables ($17.1 billion of receivables on the balance sheet) compared with $19.7 billion ($17.0 billion on the balance sheet) at year-end 1994, reflecting the continued strong growth in credit card outstandings, principally due to the co-branded Shell MasterCard and other solicitation programs.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141" w:right="1440" w:bottom="1440" w:gutter="0" w:footer="0" w:header="0"/>
        </w:sectPr>
      </w:pPr>
    </w:p>
    <w:bookmarkStart w:id="40" w:name="page41"/>
    <w:bookmarkEnd w:id="40"/>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[GRAPH NUMBER 13]</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[GRAPH NUMBER 14]</w:t>
      </w:r>
    </w:p>
    <w:p>
      <w:pPr>
        <w:spacing w:after="0" w:line="173" w:lineRule="exact"/>
        <w:rPr>
          <w:sz w:val="20"/>
          <w:szCs w:val="20"/>
          <w:color w:val="auto"/>
        </w:rPr>
      </w:pPr>
    </w:p>
    <w:p>
      <w:pPr>
        <w:ind w:right="4199" w:firstLine="258"/>
        <w:spacing w:after="0" w:line="255" w:lineRule="auto"/>
        <w:rPr>
          <w:sz w:val="20"/>
          <w:szCs w:val="20"/>
          <w:color w:val="auto"/>
        </w:rPr>
      </w:pPr>
      <w:r>
        <w:rPr>
          <w:rFonts w:ascii="Courier New" w:cs="Courier New" w:eastAsia="Courier New" w:hAnsi="Courier New"/>
          <w:sz w:val="14"/>
          <w:szCs w:val="14"/>
          <w:color w:val="auto"/>
        </w:rPr>
        <w:t>The following table presents the Corporation's domestic credit card receivables by geographic region at the dates indicated.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CREDIT CARD RECEIVABLES BY GEOGRAPHIC REGION</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City</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$ 1,412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$ 1,553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New York</w:t>
            </w:r>
          </w:p>
        </w:tc>
        <w:tc>
          <w:tcPr>
            <w:tcW w:w="3280" w:type="dxa"/>
            <w:vAlign w:val="bottom"/>
          </w:tcPr>
          <w:p>
            <w:pPr>
              <w:ind w:left="40"/>
              <w:spacing w:after="0"/>
              <w:rPr>
                <w:sz w:val="20"/>
                <w:szCs w:val="20"/>
                <w:color w:val="auto"/>
              </w:rPr>
            </w:pPr>
            <w:r>
              <w:rPr>
                <w:rFonts w:ascii="Courier New" w:cs="Courier New" w:eastAsia="Courier New" w:hAnsi="Courier New"/>
                <w:sz w:val="14"/>
                <w:szCs w:val="14"/>
                <w:color w:val="auto"/>
              </w:rPr>
              <w:t>(Excluding New York City)</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1,516</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Remaining Northeast</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3,448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Total Northeast</w:t>
            </w:r>
          </w:p>
        </w:tc>
        <w:tc>
          <w:tcPr>
            <w:tcW w:w="2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6,237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6,632</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Southeast</w:t>
            </w:r>
          </w:p>
        </w:tc>
        <w:tc>
          <w:tcPr>
            <w:tcW w:w="2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2,446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2,325</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2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3,275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3,375</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Southwest(a)</w:t>
            </w:r>
          </w:p>
        </w:tc>
        <w:tc>
          <w:tcPr>
            <w:tcW w:w="2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1,673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1,554</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West(b)</w:t>
            </w:r>
          </w:p>
        </w:tc>
        <w:tc>
          <w:tcPr>
            <w:tcW w:w="2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3,447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080" w:val="left"/>
          <w:tab w:leader="none" w:pos="628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$17,078</w:t>
      </w:r>
      <w:r>
        <w:rPr>
          <w:sz w:val="20"/>
          <w:szCs w:val="20"/>
          <w:color w:val="auto"/>
        </w:rPr>
        <w:tab/>
      </w:r>
      <w:r>
        <w:rPr>
          <w:rFonts w:ascii="Courier New" w:cs="Courier New" w:eastAsia="Courier New" w:hAnsi="Courier New"/>
          <w:sz w:val="14"/>
          <w:szCs w:val="14"/>
          <w:color w:val="auto"/>
        </w:rPr>
        <w:t>$16,994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519" w:firstLine="8"/>
        <w:spacing w:after="0" w:line="250" w:lineRule="auto"/>
        <w:tabs>
          <w:tab w:leader="none" w:pos="344"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credit card receivables in the Texas market of $1,196 million and $1,119 million at December 31, 1995 and 1994, respectively.</w:t>
      </w:r>
    </w:p>
    <w:p>
      <w:pPr>
        <w:ind w:right="3419" w:firstLine="8"/>
        <w:spacing w:after="0" w:line="255" w:lineRule="auto"/>
        <w:tabs>
          <w:tab w:leader="none" w:pos="344"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credit card receivables in the California market of $2,383 million and $2,137 million at December 31, 1995 and 1994, respectively.</w:t>
      </w:r>
    </w:p>
    <w:p>
      <w:pPr>
        <w:spacing w:after="0" w:line="160"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Total credit card net charge-offs were $675 million in 1995, an increase of $92 million from the 1994 level, primarily as a result of growth in average outstandings in the credit card portfolio.</w:t>
      </w:r>
    </w:p>
    <w:p>
      <w:pPr>
        <w:spacing w:after="0" w:line="16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following table presents the Corporation's average managed credit card receivables (credit card receivables on the balance sheet plus securitized credit card receivables); the amount of these receivables past due 90 days and over and accruing; net charge-offs related to the credit card portfolio; and related ratios for the managed credit card portfolio for the periods presented.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As of or for the year ended December 31,</w:t>
            </w: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Average Managed Credit Card Receivables</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$20,980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$17,341</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Past</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Due 90 Days &amp; Over and Accruing</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538</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428</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As</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a Percentage of Average Credit Card Receivables</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2.47%</w:t>
            </w:r>
          </w:p>
        </w:tc>
      </w:tr>
      <w:tr>
        <w:trPr>
          <w:trHeight w:val="166"/>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Net Charge-offs</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849(a)</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745(a)</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As</w:t>
            </w:r>
          </w:p>
        </w:tc>
        <w:tc>
          <w:tcPr>
            <w:tcW w:w="4440" w:type="dxa"/>
            <w:vAlign w:val="bottom"/>
          </w:tcPr>
          <w:p>
            <w:pPr>
              <w:ind w:left="40"/>
              <w:spacing w:after="0"/>
              <w:rPr>
                <w:sz w:val="20"/>
                <w:szCs w:val="20"/>
                <w:color w:val="auto"/>
              </w:rPr>
            </w:pPr>
            <w:r>
              <w:rPr>
                <w:rFonts w:ascii="Courier New" w:cs="Courier New" w:eastAsia="Courier New" w:hAnsi="Courier New"/>
                <w:sz w:val="14"/>
                <w:szCs w:val="14"/>
                <w:color w:val="auto"/>
              </w:rPr>
              <w:t>a Percentage of Average Credit Card Receivables</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679" w:firstLine="8"/>
        <w:spacing w:after="0" w:line="255" w:lineRule="auto"/>
        <w:tabs>
          <w:tab w:leader="none" w:pos="34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$174 million and $162 million, respectively, of net charge-offs related to securitized credit card receivables.</w:t>
      </w:r>
    </w:p>
    <w:p>
      <w:pPr>
        <w:spacing w:after="0" w:line="160"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A higher level of credit card net charge-offs is expected during 1996 as a result of the growth in outstandings experienced during 1995 and further anticipated growth in receivables in 1996, and from anticipated higher levels of delinquencies and personal bankruptcies. Credit card net charge-offs as a percentage of average managed credit card receivables are expected to approximate 4.5% during 1996.</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Credit Card Securitization: In a credit card securitization, the Corporation takes a portion of its credit card receivables and packages them into securities. The securitization of credit card receivables does not significantly affect the Corporation's reported net income. The initial gain on the sale of the securitized receivables is recorded at the time of the securitization. Due to the revolving nature of the credit card receivables sold, the recognition of servicing fees results in a pattern of income recognition that is substantially similar to the pattern that would be experienced if the receivables had not been sold.</w:t>
      </w:r>
    </w:p>
    <w:p>
      <w:pPr>
        <w:spacing w:after="0" w:line="329" w:lineRule="exact"/>
        <w:rPr>
          <w:sz w:val="20"/>
          <w:szCs w:val="20"/>
          <w:color w:val="auto"/>
        </w:rPr>
      </w:pPr>
    </w:p>
    <w:p>
      <w:pPr>
        <w:ind w:right="3339" w:firstLine="258"/>
        <w:spacing w:after="0" w:line="250" w:lineRule="auto"/>
        <w:rPr>
          <w:sz w:val="20"/>
          <w:szCs w:val="20"/>
          <w:color w:val="auto"/>
        </w:rPr>
      </w:pPr>
      <w:r>
        <w:rPr>
          <w:rFonts w:ascii="Courier New" w:cs="Courier New" w:eastAsia="Courier New" w:hAnsi="Courier New"/>
          <w:sz w:val="14"/>
          <w:szCs w:val="14"/>
          <w:color w:val="auto"/>
        </w:rPr>
        <w:t>The securitization of credit card receivables changes the Corporation's status from that of a lender to that of a loan servicer. There is a change in the classification in which the revenue associated with the securitization is reported in the income statement. For securitized receivables, amounts that would previously have been reported as net interest income and as provision for losses are instead reported as components of noninterest revenue (i.e., as credit card revenue and as other revenue). Because credit losses become a component of the cash flows arising from the securitized transaction, the Corporation's revenues over the terms of a securitization transaction may vary depending upon the credit performance of the securitized receivables. However, the Corporation's exposure to credit losses on the securitized receivables is contractually limited to these cash flows. In 1995, $752 million of previously securitized credit card receivables were returned to the balance sheet. In 1996, an additional $1,375 million of previously securitized credit card receivables are scheduled to return to the balance sheet.</w:t>
      </w:r>
    </w:p>
    <w:p>
      <w:pPr>
        <w:sectPr>
          <w:pgSz w:w="11900" w:h="16877" w:orient="portrait"/>
          <w:cols w:equalWidth="0" w:num="1">
            <w:col w:w="10239"/>
          </w:cols>
          <w:pgMar w:left="220" w:top="285" w:right="1440" w:bottom="0" w:gutter="0" w:footer="0" w:header="0"/>
        </w:sectPr>
      </w:pPr>
    </w:p>
    <w:p>
      <w:pPr>
        <w:spacing w:after="0" w:line="172"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35</w:t>
      </w:r>
    </w:p>
    <w:p>
      <w:pPr>
        <w:sectPr>
          <w:pgSz w:w="11900" w:h="16877" w:orient="portrait"/>
          <w:cols w:equalWidth="0" w:num="1">
            <w:col w:w="10239"/>
          </w:cols>
          <w:pgMar w:left="220" w:top="285" w:right="1440" w:bottom="0" w:gutter="0" w:footer="0" w:header="0"/>
          <w:type w:val="continuous"/>
        </w:sectPr>
      </w:pPr>
    </w:p>
    <w:bookmarkStart w:id="41" w:name="page42"/>
    <w:bookmarkEnd w:id="41"/>
    <w:p>
      <w:pPr>
        <w:spacing w:after="0" w:line="4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The following table outlines the impact of the securitizations of credit card receivables by showing the favorable (unfavorable) change in the reported Consolidated Statement of Income line items.</w:t>
      </w:r>
    </w:p>
    <w:p>
      <w:pPr>
        <w:spacing w:after="0" w:line="200" w:lineRule="exact"/>
        <w:rPr>
          <w:sz w:val="20"/>
          <w:szCs w:val="20"/>
          <w:color w:val="auto"/>
        </w:rPr>
      </w:pPr>
    </w:p>
    <w:p>
      <w:pPr>
        <w:spacing w:after="0" w:line="294" w:lineRule="exact"/>
        <w:rPr>
          <w:sz w:val="20"/>
          <w:szCs w:val="20"/>
          <w:color w:val="auto"/>
        </w:rPr>
      </w:pPr>
    </w:p>
    <w:p>
      <w:pPr>
        <w:ind w:left="4920"/>
        <w:spacing w:after="0"/>
        <w:rPr>
          <w:sz w:val="20"/>
          <w:szCs w:val="20"/>
          <w:color w:val="auto"/>
        </w:rPr>
      </w:pPr>
      <w:r>
        <w:rPr>
          <w:rFonts w:ascii="Courier New" w:cs="Courier New" w:eastAsia="Courier New" w:hAnsi="Courier New"/>
          <w:sz w:val="14"/>
          <w:szCs w:val="14"/>
          <w:color w:val="auto"/>
        </w:rPr>
        <w:t>Favorable (Unfavorable)</w:t>
      </w:r>
    </w:p>
    <w:p>
      <w:pPr>
        <w:spacing w:after="0" w:line="7"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Impact</w:t>
      </w:r>
    </w:p>
    <w:p>
      <w:pPr>
        <w:spacing w:after="0" w:line="7" w:lineRule="exact"/>
        <w:rPr>
          <w:sz w:val="20"/>
          <w:szCs w:val="20"/>
          <w:color w:val="auto"/>
        </w:rPr>
      </w:pPr>
    </w:p>
    <w:p>
      <w:pPr>
        <w:spacing w:after="0"/>
        <w:tabs>
          <w:tab w:leader="none" w:pos="4980" w:val="left"/>
          <w:tab w:leader="none" w:pos="6440" w:val="left"/>
        </w:tabs>
        <w:rPr>
          <w:sz w:val="20"/>
          <w:szCs w:val="20"/>
          <w:color w:val="auto"/>
        </w:rPr>
      </w:pPr>
      <w:r>
        <w:rPr>
          <w:rFonts w:ascii="Courier New" w:cs="Courier New" w:eastAsia="Courier New" w:hAnsi="Courier New"/>
          <w:sz w:val="14"/>
          <w:szCs w:val="14"/>
          <w:color w:val="auto"/>
        </w:rPr>
        <w:t>Year Ended December 31, (in millions)</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Interest Income</w:t>
            </w:r>
          </w:p>
        </w:tc>
        <w:tc>
          <w:tcPr>
            <w:tcW w:w="2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$(360)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$(266)</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Provision for Losses</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170</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Credit Card Revenue</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173</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 Revenue</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5240" w:val="left"/>
          <w:tab w:leader="none" w:pos="6360" w:val="left"/>
          <w:tab w:leader="none" w:pos="6620" w:val="left"/>
        </w:tabs>
        <w:rPr>
          <w:sz w:val="20"/>
          <w:szCs w:val="20"/>
          <w:color w:val="auto"/>
        </w:rPr>
      </w:pPr>
      <w:r>
        <w:rPr>
          <w:rFonts w:ascii="Courier New" w:cs="Courier New" w:eastAsia="Courier New" w:hAnsi="Courier New"/>
          <w:sz w:val="14"/>
          <w:szCs w:val="14"/>
          <w:color w:val="auto"/>
        </w:rPr>
        <w:t>Pre-tax Income Impact of Securitization</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w:t>
        <w:tab/>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Auto and Other Consumer Loans: These consumer loans consist of installment loans (direct and indirect types of consumer finance), automobile financings and student loans.</w:t>
      </w:r>
    </w:p>
    <w:p>
      <w:pPr>
        <w:spacing w:after="0" w:line="16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Automobile financing loans were $6.3 billion at the 1995 year-end, compared with $8.0 billion at December 31, 1994. The decrease in automobile financing loans was due mainly to the securitization of $3.0 billion of these loans, partially offset by increased demand during the year. Net charge-offs of auto loans were $8 million in 1995, compared with $7 million in 1994.</w:t>
      </w:r>
    </w:p>
    <w:p>
      <w:pPr>
        <w:spacing w:after="0" w:line="165"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Other consumer loans were $12.0 billion at December 31, 1995, an increase of 22% when compared with $9.8 billion at December 31, 1994. Net charge-offs of other consumer loans were $114 million in 1995, a decrease of $4 million from the 1994 level.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COMMERCIAL PORTFOLIO</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Domestic Commercial and Industrial Portfolio: The domestic commercial and industrial portfolio totaled $32.3 billion at December 31, 1995, compared with $30.5 billion at December 31, 1994. The portfolio consists primarily of loans made to large corporate and middle market customers and is diversified geographically and by industry. The largest industry concentration is oil and gas which approximates $3.2 billion, or 2.1% of total loans. All of the other remaining industries are each less than 2% of total loans.</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Corporation is a leading participant in loan originations and sales. This activity is comprised of the sale of loans and lending commitments to investors, generally without recourse. These sales include syndication, assignment and participation, and include both short- and medium-term transactions. This loan distribution capability allows the Corporation to compete aggressively and profitably in wholesale lending markets by enabling it to reduce larger individual credit exposures and thereby to price more flexibly than if all loans were held as permanent investments. The Corporation also benefits from increased liquidity. During 1995, the Corporation acted as agent or co-agent for approximately $533 billion in syndicated credit facilities, compared with $392 billion in 1994.</w:t>
      </w:r>
    </w:p>
    <w:p>
      <w:pPr>
        <w:spacing w:after="0" w:line="329" w:lineRule="exact"/>
        <w:rPr>
          <w:sz w:val="20"/>
          <w:szCs w:val="20"/>
          <w:color w:val="auto"/>
        </w:rPr>
      </w:pPr>
    </w:p>
    <w:p>
      <w:pPr>
        <w:ind w:right="3519" w:firstLine="258"/>
        <w:spacing w:after="0" w:line="255" w:lineRule="auto"/>
        <w:rPr>
          <w:sz w:val="20"/>
          <w:szCs w:val="20"/>
          <w:color w:val="auto"/>
        </w:rPr>
      </w:pPr>
      <w:r>
        <w:rPr>
          <w:rFonts w:ascii="Courier New" w:cs="Courier New" w:eastAsia="Courier New" w:hAnsi="Courier New"/>
          <w:sz w:val="14"/>
          <w:szCs w:val="14"/>
          <w:color w:val="auto"/>
        </w:rPr>
        <w:t>Nonperforming domestic commercial and industrial loans were $496 million at December 31, 1995, compared with $463 million at December 31, 1994.</w:t>
      </w:r>
    </w:p>
    <w:p>
      <w:pPr>
        <w:spacing w:after="0" w:line="160"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In 1995, the Corporation had net recoveries of domestic commercial and industrial loans of $4 million, compared with net charge-offs of $84 million in 1994. Management believes that the credit quality of the Corporation's commercial and industrial loan portfolio will remain relatively stable in 1996, as compared to 1995 (although it expects to have net charge-offs in its commercial and industrial loan portfolio in 1996 because of lower gross recoveries).</w:t>
      </w:r>
    </w:p>
    <w:p>
      <w:pPr>
        <w:spacing w:after="0" w:line="33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Domestic Commercial Real Estate Portfolio: The domestic commercial real estate portfolio represents loans secured primarily by real property, other than loans secured by one-to-four family residential properties (which are included in the consumer loan portfolio). The domestic commercial real estate loan portfolio totaled $6.7 billion at December 31, 1995, a decline from $7.7 billion at December 31, 1994. The decrease from the 1994 year-end is principally attributable to repayments from borrowers.</w:t>
      </w:r>
    </w:p>
    <w:p>
      <w:pPr>
        <w:spacing w:after="0" w:line="164" w:lineRule="exact"/>
        <w:rPr>
          <w:sz w:val="20"/>
          <w:szCs w:val="20"/>
          <w:color w:val="auto"/>
        </w:rPr>
      </w:pPr>
    </w:p>
    <w:p>
      <w:pPr>
        <w:ind w:right="4199" w:firstLine="258"/>
        <w:spacing w:after="0" w:line="255" w:lineRule="auto"/>
        <w:rPr>
          <w:sz w:val="20"/>
          <w:szCs w:val="20"/>
          <w:color w:val="auto"/>
        </w:rPr>
      </w:pPr>
      <w:r>
        <w:rPr>
          <w:rFonts w:ascii="Courier New" w:cs="Courier New" w:eastAsia="Courier New" w:hAnsi="Courier New"/>
          <w:sz w:val="14"/>
          <w:szCs w:val="14"/>
          <w:color w:val="auto"/>
        </w:rPr>
        <w:t>The following table sets forth the major components of the domestic commercial real estate loan portfolio at the dates indicated.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December 31, (in millions)</w:t>
            </w:r>
          </w:p>
        </w:tc>
        <w:tc>
          <w:tcPr>
            <w:tcW w:w="2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Commercial Mortgages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$5,512</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$6,123</w:t>
            </w: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Construction Loans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gridSpan w:val="2"/>
          </w:tcPr>
          <w:p>
            <w:pPr>
              <w:spacing w:after="0"/>
              <w:rPr>
                <w:sz w:val="20"/>
                <w:szCs w:val="20"/>
                <w:color w:val="auto"/>
              </w:rPr>
            </w:pPr>
            <w:r>
              <w:rPr>
                <w:rFonts w:ascii="Courier New" w:cs="Courier New" w:eastAsia="Courier New" w:hAnsi="Courier New"/>
                <w:sz w:val="14"/>
                <w:szCs w:val="14"/>
                <w:color w:val="auto"/>
              </w:rPr>
              <w:t>Total Domestic Commercial Real Estate Loans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$6,660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$7,703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419" w:firstLine="258"/>
        <w:spacing w:after="0" w:line="252" w:lineRule="auto"/>
        <w:rPr>
          <w:sz w:val="20"/>
          <w:szCs w:val="20"/>
          <w:color w:val="auto"/>
        </w:rPr>
      </w:pPr>
      <w:r>
        <w:rPr>
          <w:rFonts w:ascii="Courier New" w:cs="Courier New" w:eastAsia="Courier New" w:hAnsi="Courier New"/>
          <w:sz w:val="14"/>
          <w:szCs w:val="14"/>
          <w:color w:val="auto"/>
        </w:rPr>
        <w:t>Commercial mortgages provide financing for the acquisition or refinancing of commercial properties, and typically have terms ranging from two-to-five years. Construction loans are generally originated to finance the construction of real</w:t>
      </w:r>
    </w:p>
    <w:p>
      <w:pPr>
        <w:sectPr>
          <w:pgSz w:w="11900" w:h="16887" w:orient="portrait"/>
          <w:cols w:equalWidth="0" w:num="1">
            <w:col w:w="10239"/>
          </w:cols>
          <w:pgMar w:left="220" w:top="285" w:right="1440" w:bottom="0" w:gutter="0" w:footer="0" w:header="0"/>
        </w:sectPr>
      </w:pPr>
    </w:p>
    <w:bookmarkStart w:id="42" w:name="page43"/>
    <w:bookmarkEnd w:id="42"/>
    <w:p>
      <w:pPr>
        <w:ind w:right="3419"/>
        <w:spacing w:after="0" w:line="252" w:lineRule="auto"/>
        <w:rPr>
          <w:sz w:val="20"/>
          <w:szCs w:val="20"/>
          <w:color w:val="auto"/>
        </w:rPr>
      </w:pPr>
      <w:r>
        <w:rPr>
          <w:rFonts w:ascii="Courier New" w:cs="Courier New" w:eastAsia="Courier New" w:hAnsi="Courier New"/>
          <w:sz w:val="14"/>
          <w:szCs w:val="14"/>
          <w:color w:val="auto"/>
        </w:rPr>
        <w:t>estate projects. When the real estate project has cash flows sufficient to support a commercial mortgage, the loan is transferred from construction status to commercial mortgage status.</w:t>
      </w:r>
    </w:p>
    <w:p>
      <w:pPr>
        <w:spacing w:after="0" w:line="163"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The largest concentration of domestic commercial real estate loans is in the New York/New Jersey and Texas markets, representing 48% and 23%, respectively, of the portfolio. No other state represents more than 5% of the domestic commercial real estate loan portfolio.</w:t>
      </w:r>
    </w:p>
    <w:p>
      <w:pPr>
        <w:spacing w:after="0" w:line="162"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Nonperforming domestic commercial real estate loans were $375 million at December 31, 1995, compared with $422 million at December 31, 1994. The improvement in nonperforming domestic commercial real estate loan levels in 1995 is the result of increased liquidity in the commercial real estate markets coupled with successful workout activities.</w:t>
      </w:r>
    </w:p>
    <w:p>
      <w:pPr>
        <w:spacing w:after="0" w:line="165"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Domestic commercial real estate net charge-offs in 1995 totaled $31 million, compared with $290 million in the prior year (excluding the charge related to the accelerated disposition portfolio). The lower net charge-offs are due in part to the decision in December 1994 to designate certain real estate assets for accelerated disposition, and from a higher level of recoveries as a result of payments received on certain loans which had been previously written down. For a more detailed discussion, see Assets Held for Accelerated Disposition on page 38.</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141" w:right="1440" w:bottom="1440" w:gutter="0" w:footer="0" w:header="0"/>
        </w:sectPr>
      </w:pPr>
    </w:p>
    <w:bookmarkStart w:id="43" w:name="page44"/>
    <w:bookmarkEnd w:id="43"/>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Domestic Financial Institutions Portfolio: The domestic financial institutions portfolio includes loans to commercial banks and companies whose businesses primarily involve lending, financing, investing, underwriting, or insurance. Loans to domestic financial institutions were $5.7 billion at December 31, 1995, or 4% of total loans outstanding at December 31, 1995, compared with $5.2 billion at December 31, 1994. Loans to domestic financial institutions are predominantly secured loans to broker-dealers, domestic commercial banks and domestic branches of foreign banks. The portfolio maintained its strong credit quality during 1995 as the Corporation had net recoveries of $12 million in 1995 compared with net charge-offs of $12 million in 1994.</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PORTFOLIO</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foreign portfolio includes commercial and industrial loans, loans to financial institutions, commercial real estate loans, loans to foreign governments and official institutions, and consumer loans. At December 31, 1995, the Corporation's total foreign loans were $36.1 billion, compared with $35.2 billion at December 31, 1994.</w:t>
      </w:r>
    </w:p>
    <w:p>
      <w:pPr>
        <w:spacing w:after="0" w:line="165"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Included in foreign loans were commercial and industrial loans of $20.8 billion at the end of 1995, an increase of $2.4 billion from the 1994 year-end. Total foreign commercial real estate loans at December 31, 1995 were $.8 billion, unchanged from the 1994 year-end.</w:t>
      </w:r>
    </w:p>
    <w:p>
      <w:pPr>
        <w:spacing w:after="0" w:line="162" w:lineRule="exact"/>
        <w:rPr>
          <w:sz w:val="20"/>
          <w:szCs w:val="20"/>
          <w:color w:val="auto"/>
        </w:rPr>
      </w:pPr>
    </w:p>
    <w:p>
      <w:pPr>
        <w:ind w:right="4019" w:firstLine="258"/>
        <w:spacing w:after="0" w:line="255" w:lineRule="auto"/>
        <w:rPr>
          <w:sz w:val="20"/>
          <w:szCs w:val="20"/>
          <w:color w:val="auto"/>
        </w:rPr>
      </w:pPr>
      <w:r>
        <w:rPr>
          <w:rFonts w:ascii="Courier New" w:cs="Courier New" w:eastAsia="Courier New" w:hAnsi="Courier New"/>
          <w:sz w:val="14"/>
          <w:szCs w:val="14"/>
          <w:color w:val="auto"/>
        </w:rPr>
        <w:t>Foreign nonperforming loans at December 31, 1995 were $343 million, a decrease from $461 million at December 31, 1994.</w:t>
      </w:r>
    </w:p>
    <w:p>
      <w:pPr>
        <w:spacing w:after="0" w:line="160"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foreign portfolio experienced net recoveries of $34 million in 1995, compared with net charge-offs of $310 million in 1994. A $291 million charge was incurred in 1994 in connection with the Corporation's final valuation of its emerging markets portfolio, at which time its medium- and long-term outstandings to the various emerging markets countries were adjusted to the estimated net recoverable values of such loans. The remaining emerging markets allowance was transferred to the general allowance for credit losses.</w:t>
      </w:r>
    </w:p>
    <w:p>
      <w:pPr>
        <w:spacing w:after="0" w:line="164" w:lineRule="exact"/>
        <w:rPr>
          <w:sz w:val="20"/>
          <w:szCs w:val="20"/>
          <w:color w:val="auto"/>
        </w:rPr>
      </w:pPr>
    </w:p>
    <w:p>
      <w:pPr>
        <w:ind w:right="3339" w:firstLine="258"/>
        <w:spacing w:after="0" w:line="255" w:lineRule="auto"/>
        <w:rPr>
          <w:sz w:val="20"/>
          <w:szCs w:val="20"/>
          <w:color w:val="auto"/>
        </w:rPr>
      </w:pPr>
      <w:r>
        <w:rPr>
          <w:rFonts w:ascii="Courier New" w:cs="Courier New" w:eastAsia="Courier New" w:hAnsi="Courier New"/>
          <w:sz w:val="14"/>
          <w:szCs w:val="14"/>
          <w:color w:val="auto"/>
        </w:rPr>
        <w:t>For year-end loan balances by type of loan included in the foreign portfolio, refer to Note Five of the Notes to Consolidated Financial Statements.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CROSS-BORDER OUTSTANDINGS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The extension of credits denominated in a currency other than that of the country in which a borrower is located, such as dollar-denominated loans made overseas, are called "cross-border" credits.</w:t>
      </w:r>
    </w:p>
    <w:p>
      <w:pPr>
        <w:spacing w:after="0" w:line="16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following table lists all countries in which the Corporation's cross-border outstandings exceeded 1% of consolidated assets as of any of the dates specified. The Corporation does not have significant local currency outstandings in the individual countries listed in the following table that are not hedged or funded by local currency borrowings.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CROSS-BORDER OUTSTANDINGS EXCEEDING ONE PERCENT OF TOTAL ASSETS(A)</w:t>
      </w:r>
    </w:p>
    <w:p>
      <w:pPr>
        <w:spacing w:after="0" w:line="200" w:lineRule="exact"/>
        <w:rPr>
          <w:sz w:val="20"/>
          <w:szCs w:val="20"/>
          <w:color w:val="auto"/>
        </w:rPr>
      </w:pPr>
    </w:p>
    <w:p>
      <w:pPr>
        <w:spacing w:after="0" w:line="304" w:lineRule="exact"/>
        <w:rPr>
          <w:sz w:val="20"/>
          <w:szCs w:val="20"/>
          <w:color w:val="auto"/>
        </w:rPr>
      </w:pPr>
    </w:p>
    <w:p>
      <w:pPr>
        <w:jc w:val="right"/>
        <w:ind w:right="579"/>
        <w:spacing w:after="0"/>
        <w:rPr>
          <w:sz w:val="20"/>
          <w:szCs w:val="20"/>
          <w:color w:val="auto"/>
        </w:rPr>
      </w:pPr>
      <w:r>
        <w:rPr>
          <w:rFonts w:ascii="Courier New" w:cs="Courier New" w:eastAsia="Courier New" w:hAnsi="Courier New"/>
          <w:sz w:val="14"/>
          <w:szCs w:val="14"/>
          <w:color w:val="auto"/>
        </w:rPr>
        <w:t>Cross-Border</w:t>
      </w:r>
    </w:p>
    <w:p>
      <w:pPr>
        <w:spacing w:after="0" w:line="7" w:lineRule="exact"/>
        <w:rPr>
          <w:sz w:val="20"/>
          <w:szCs w:val="20"/>
          <w:color w:val="auto"/>
        </w:rPr>
      </w:pPr>
    </w:p>
    <w:p>
      <w:pPr>
        <w:jc w:val="both"/>
        <w:ind w:left="7760"/>
        <w:spacing w:after="0"/>
        <w:tabs>
          <w:tab w:leader="none" w:pos="860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Outstandings</w:t>
      </w:r>
    </w:p>
    <w:p>
      <w:pPr>
        <w:spacing w:after="0" w:line="7" w:lineRule="exact"/>
        <w:rPr>
          <w:sz w:val="20"/>
          <w:szCs w:val="20"/>
          <w:color w:val="auto"/>
        </w:rPr>
      </w:pPr>
    </w:p>
    <w:p>
      <w:pPr>
        <w:jc w:val="right"/>
        <w:ind w:right="579"/>
        <w:spacing w:after="0"/>
        <w:tabs>
          <w:tab w:leader="none" w:pos="1440" w:val="left"/>
        </w:tabs>
        <w:rPr>
          <w:sz w:val="20"/>
          <w:szCs w:val="20"/>
          <w:color w:val="auto"/>
        </w:rPr>
      </w:pPr>
      <w:r>
        <w:rPr>
          <w:rFonts w:ascii="Courier New" w:cs="Courier New" w:eastAsia="Courier New" w:hAnsi="Courier New"/>
          <w:sz w:val="14"/>
          <w:szCs w:val="14"/>
          <w:color w:val="auto"/>
        </w:rPr>
        <w:t>Cross-Border</w:t>
        <w:tab/>
        <w:t>as a Percentage</w:t>
      </w:r>
    </w:p>
    <w:p>
      <w:pPr>
        <w:spacing w:after="0" w:line="7" w:lineRule="exact"/>
        <w:rPr>
          <w:sz w:val="20"/>
          <w:szCs w:val="20"/>
          <w:color w:val="auto"/>
        </w:rPr>
      </w:pPr>
    </w:p>
    <w:p>
      <w:pPr>
        <w:jc w:val="right"/>
        <w:ind w:right="579"/>
        <w:spacing w:after="0"/>
        <w:tabs>
          <w:tab w:leader="none" w:pos="7900" w:val="left"/>
          <w:tab w:leader="none" w:pos="6080" w:val="left"/>
          <w:tab w:leader="none" w:pos="4800" w:val="left"/>
          <w:tab w:leader="none" w:pos="3580" w:val="left"/>
          <w:tab w:leader="none" w:pos="2900" w:val="left"/>
          <w:tab w:leader="none" w:pos="1440" w:val="left"/>
        </w:tabs>
        <w:rPr>
          <w:sz w:val="20"/>
          <w:szCs w:val="20"/>
          <w:color w:val="auto"/>
        </w:rPr>
      </w:pPr>
      <w:r>
        <w:rPr>
          <w:rFonts w:ascii="Courier New" w:cs="Courier New" w:eastAsia="Courier New" w:hAnsi="Courier New"/>
          <w:sz w:val="14"/>
          <w:szCs w:val="14"/>
          <w:color w:val="auto"/>
        </w:rPr>
        <w:t>(in millions)</w:t>
      </w:r>
      <w:r>
        <w:rPr>
          <w:sz w:val="20"/>
          <w:szCs w:val="20"/>
          <w:color w:val="auto"/>
        </w:rPr>
        <w:tab/>
      </w:r>
      <w:r>
        <w:rPr>
          <w:rFonts w:ascii="Courier New" w:cs="Courier New" w:eastAsia="Courier New" w:hAnsi="Courier New"/>
          <w:sz w:val="14"/>
          <w:szCs w:val="14"/>
          <w:color w:val="auto"/>
        </w:rPr>
        <w:t>At December 31</w:t>
      </w:r>
      <w:r>
        <w:rPr>
          <w:sz w:val="20"/>
          <w:szCs w:val="20"/>
          <w:color w:val="auto"/>
        </w:rPr>
        <w:tab/>
      </w:r>
      <w:r>
        <w:rPr>
          <w:rFonts w:ascii="Courier New" w:cs="Courier New" w:eastAsia="Courier New" w:hAnsi="Courier New"/>
          <w:sz w:val="14"/>
          <w:szCs w:val="14"/>
          <w:color w:val="auto"/>
        </w:rPr>
        <w:t>Public</w:t>
      </w:r>
      <w:r>
        <w:rPr>
          <w:sz w:val="20"/>
          <w:szCs w:val="20"/>
          <w:color w:val="auto"/>
        </w:rPr>
        <w:tab/>
      </w:r>
      <w:r>
        <w:rPr>
          <w:rFonts w:ascii="Courier New" w:cs="Courier New" w:eastAsia="Courier New" w:hAnsi="Courier New"/>
          <w:sz w:val="14"/>
          <w:szCs w:val="14"/>
          <w:color w:val="auto"/>
        </w:rPr>
        <w:t>Banks</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Outstandings(b)</w:t>
        <w:tab/>
        <w:t>of Total Assets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80" w:type="dxa"/>
            <w:vAlign w:val="bottom"/>
          </w:tcPr>
          <w:p>
            <w:pPr>
              <w:spacing w:after="0"/>
              <w:rPr>
                <w:sz w:val="20"/>
                <w:szCs w:val="20"/>
                <w:color w:val="auto"/>
              </w:rPr>
            </w:pPr>
            <w:r>
              <w:rPr>
                <w:rFonts w:ascii="Courier New" w:cs="Courier New" w:eastAsia="Courier New" w:hAnsi="Courier New"/>
                <w:sz w:val="14"/>
                <w:szCs w:val="14"/>
                <w:color w:val="auto"/>
              </w:rPr>
              <w:t>Japan</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905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$2,708</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$1,724</w:t>
            </w:r>
          </w:p>
        </w:tc>
        <w:tc>
          <w:tcPr>
            <w:tcW w:w="16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$5,337(c)</w:t>
            </w:r>
          </w:p>
        </w:tc>
        <w:tc>
          <w:tcPr>
            <w:tcW w:w="960" w:type="dxa"/>
            <w:vAlign w:val="bottom"/>
          </w:tcPr>
          <w:p>
            <w:pPr>
              <w:ind w:left="520"/>
              <w:spacing w:after="0"/>
              <w:rPr>
                <w:sz w:val="20"/>
                <w:szCs w:val="20"/>
                <w:color w:val="auto"/>
              </w:rPr>
            </w:pPr>
            <w:r>
              <w:rPr>
                <w:rFonts w:ascii="Courier New" w:cs="Courier New" w:eastAsia="Courier New" w:hAnsi="Courier New"/>
                <w:sz w:val="14"/>
                <w:szCs w:val="14"/>
                <w:color w:val="auto"/>
                <w:w w:val="99"/>
              </w:rPr>
              <w:t>1.76%</w:t>
            </w:r>
          </w:p>
        </w:tc>
      </w:tr>
      <w:tr>
        <w:trPr>
          <w:trHeight w:val="166"/>
        </w:trPr>
        <w:tc>
          <w:tcPr>
            <w:tcW w:w="198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5,280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1,538</w:t>
            </w:r>
          </w:p>
        </w:tc>
        <w:tc>
          <w:tcPr>
            <w:tcW w:w="16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7,066(c)</w:t>
            </w:r>
          </w:p>
        </w:tc>
        <w:tc>
          <w:tcPr>
            <w:tcW w:w="960" w:type="dxa"/>
            <w:vAlign w:val="bottom"/>
          </w:tcPr>
          <w:p>
            <w:pPr>
              <w:ind w:left="520"/>
              <w:spacing w:after="0"/>
              <w:rPr>
                <w:sz w:val="20"/>
                <w:szCs w:val="20"/>
                <w:color w:val="auto"/>
              </w:rPr>
            </w:pPr>
            <w:r>
              <w:rPr>
                <w:rFonts w:ascii="Courier New" w:cs="Courier New" w:eastAsia="Courier New" w:hAnsi="Courier New"/>
                <w:sz w:val="14"/>
                <w:szCs w:val="14"/>
                <w:color w:val="auto"/>
              </w:rPr>
              <w:t>2.48</w:t>
            </w:r>
          </w:p>
        </w:tc>
      </w:tr>
      <w:tr>
        <w:trPr>
          <w:trHeight w:val="166"/>
        </w:trPr>
        <w:tc>
          <w:tcPr>
            <w:tcW w:w="198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5,585</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587</w:t>
            </w:r>
          </w:p>
        </w:tc>
        <w:tc>
          <w:tcPr>
            <w:tcW w:w="16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6,219(c)</w:t>
            </w:r>
          </w:p>
        </w:tc>
        <w:tc>
          <w:tcPr>
            <w:tcW w:w="960" w:type="dxa"/>
            <w:vAlign w:val="bottom"/>
          </w:tcPr>
          <w:p>
            <w:pPr>
              <w:ind w:left="520"/>
              <w:spacing w:after="0"/>
              <w:rPr>
                <w:sz w:val="20"/>
                <w:szCs w:val="20"/>
                <w:color w:val="auto"/>
              </w:rPr>
            </w:pPr>
            <w:r>
              <w:rPr>
                <w:rFonts w:ascii="Courier New" w:cs="Courier New" w:eastAsia="Courier New" w:hAnsi="Courier New"/>
                <w:sz w:val="14"/>
                <w:szCs w:val="14"/>
                <w:color w:val="auto"/>
              </w:rPr>
              <w:t>2.47</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Germany</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4,315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339</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413</w:t>
            </w:r>
          </w:p>
        </w:tc>
        <w:tc>
          <w:tcPr>
            <w:tcW w:w="16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5,067(d)</w:t>
            </w:r>
          </w:p>
        </w:tc>
        <w:tc>
          <w:tcPr>
            <w:tcW w:w="960" w:type="dxa"/>
            <w:vAlign w:val="bottom"/>
          </w:tcPr>
          <w:p>
            <w:pPr>
              <w:ind w:left="520"/>
              <w:spacing w:after="0"/>
              <w:rPr>
                <w:sz w:val="20"/>
                <w:szCs w:val="20"/>
                <w:color w:val="auto"/>
              </w:rPr>
            </w:pPr>
            <w:r>
              <w:rPr>
                <w:rFonts w:ascii="Courier New" w:cs="Courier New" w:eastAsia="Courier New" w:hAnsi="Courier New"/>
                <w:sz w:val="14"/>
                <w:szCs w:val="14"/>
                <w:color w:val="auto"/>
                <w:w w:val="99"/>
              </w:rPr>
              <w:t>1.67%</w:t>
            </w:r>
          </w:p>
        </w:tc>
      </w:tr>
      <w:tr>
        <w:trPr>
          <w:trHeight w:val="166"/>
        </w:trPr>
        <w:tc>
          <w:tcPr>
            <w:tcW w:w="198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1,490</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496</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883</w:t>
            </w:r>
          </w:p>
        </w:tc>
        <w:tc>
          <w:tcPr>
            <w:tcW w:w="16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2,869(d)</w:t>
            </w:r>
          </w:p>
        </w:tc>
        <w:tc>
          <w:tcPr>
            <w:tcW w:w="960" w:type="dxa"/>
            <w:vAlign w:val="bottom"/>
          </w:tcPr>
          <w:p>
            <w:pPr>
              <w:ind w:left="520"/>
              <w:spacing w:after="0"/>
              <w:rPr>
                <w:sz w:val="20"/>
                <w:szCs w:val="20"/>
                <w:color w:val="auto"/>
              </w:rPr>
            </w:pPr>
            <w:r>
              <w:rPr>
                <w:rFonts w:ascii="Courier New" w:cs="Courier New" w:eastAsia="Courier New" w:hAnsi="Courier New"/>
                <w:sz w:val="14"/>
                <w:szCs w:val="14"/>
                <w:color w:val="auto"/>
              </w:rPr>
              <w:t>1.01</w:t>
            </w:r>
          </w:p>
        </w:tc>
      </w:tr>
      <w:tr>
        <w:trPr>
          <w:trHeight w:val="166"/>
        </w:trPr>
        <w:tc>
          <w:tcPr>
            <w:tcW w:w="198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2,021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384</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576</w:t>
            </w:r>
          </w:p>
        </w:tc>
        <w:tc>
          <w:tcPr>
            <w:tcW w:w="16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2,981(d)</w:t>
            </w:r>
          </w:p>
        </w:tc>
        <w:tc>
          <w:tcPr>
            <w:tcW w:w="960" w:type="dxa"/>
            <w:vAlign w:val="bottom"/>
          </w:tcPr>
          <w:p>
            <w:pPr>
              <w:ind w:left="520"/>
              <w:spacing w:after="0"/>
              <w:rPr>
                <w:sz w:val="20"/>
                <w:szCs w:val="20"/>
                <w:color w:val="auto"/>
              </w:rPr>
            </w:pPr>
            <w:r>
              <w:rPr>
                <w:rFonts w:ascii="Courier New" w:cs="Courier New" w:eastAsia="Courier New" w:hAnsi="Courier New"/>
                <w:sz w:val="14"/>
                <w:szCs w:val="14"/>
                <w:color w:val="auto"/>
              </w:rPr>
              <w:t>1.18</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United Kingdom</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192</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915</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3,314</w:t>
            </w:r>
          </w:p>
        </w:tc>
        <w:tc>
          <w:tcPr>
            <w:tcW w:w="16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4,421</w:t>
            </w:r>
          </w:p>
        </w:tc>
        <w:tc>
          <w:tcPr>
            <w:tcW w:w="960" w:type="dxa"/>
            <w:vAlign w:val="bottom"/>
          </w:tcPr>
          <w:p>
            <w:pPr>
              <w:ind w:left="520"/>
              <w:spacing w:after="0"/>
              <w:rPr>
                <w:sz w:val="20"/>
                <w:szCs w:val="20"/>
                <w:color w:val="auto"/>
              </w:rPr>
            </w:pPr>
            <w:r>
              <w:rPr>
                <w:rFonts w:ascii="Courier New" w:cs="Courier New" w:eastAsia="Courier New" w:hAnsi="Courier New"/>
                <w:sz w:val="14"/>
                <w:szCs w:val="14"/>
                <w:color w:val="auto"/>
                <w:w w:val="99"/>
              </w:rPr>
              <w:t>1.45%</w:t>
            </w:r>
          </w:p>
        </w:tc>
      </w:tr>
      <w:tr>
        <w:trPr>
          <w:trHeight w:val="166"/>
        </w:trPr>
        <w:tc>
          <w:tcPr>
            <w:tcW w:w="198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165</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1,215</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3,024</w:t>
            </w:r>
          </w:p>
        </w:tc>
        <w:tc>
          <w:tcPr>
            <w:tcW w:w="16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4,404</w:t>
            </w:r>
          </w:p>
        </w:tc>
        <w:tc>
          <w:tcPr>
            <w:tcW w:w="960" w:type="dxa"/>
            <w:vAlign w:val="bottom"/>
          </w:tcPr>
          <w:p>
            <w:pPr>
              <w:ind w:left="520"/>
              <w:spacing w:after="0"/>
              <w:rPr>
                <w:sz w:val="20"/>
                <w:szCs w:val="20"/>
                <w:color w:val="auto"/>
              </w:rPr>
            </w:pPr>
            <w:r>
              <w:rPr>
                <w:rFonts w:ascii="Courier New" w:cs="Courier New" w:eastAsia="Courier New" w:hAnsi="Courier New"/>
                <w:sz w:val="14"/>
                <w:szCs w:val="14"/>
                <w:color w:val="auto"/>
              </w:rPr>
              <w:t>1.54</w:t>
            </w:r>
          </w:p>
        </w:tc>
      </w:tr>
      <w:tr>
        <w:trPr>
          <w:trHeight w:val="166"/>
        </w:trPr>
        <w:tc>
          <w:tcPr>
            <w:tcW w:w="198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156</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1,205</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2,916</w:t>
            </w:r>
          </w:p>
        </w:tc>
        <w:tc>
          <w:tcPr>
            <w:tcW w:w="16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4,277</w:t>
            </w:r>
          </w:p>
        </w:tc>
        <w:tc>
          <w:tcPr>
            <w:tcW w:w="960" w:type="dxa"/>
            <w:vAlign w:val="bottom"/>
          </w:tcPr>
          <w:p>
            <w:pPr>
              <w:ind w:left="520"/>
              <w:spacing w:after="0"/>
              <w:rPr>
                <w:sz w:val="20"/>
                <w:szCs w:val="20"/>
                <w:color w:val="auto"/>
              </w:rPr>
            </w:pPr>
            <w:r>
              <w:rPr>
                <w:rFonts w:ascii="Courier New" w:cs="Courier New" w:eastAsia="Courier New" w:hAnsi="Courier New"/>
                <w:sz w:val="14"/>
                <w:szCs w:val="14"/>
                <w:color w:val="auto"/>
              </w:rPr>
              <w:t>1.70</w:t>
            </w:r>
          </w:p>
        </w:tc>
      </w:tr>
      <w:tr>
        <w:trPr>
          <w:trHeight w:val="331"/>
        </w:trPr>
        <w:tc>
          <w:tcPr>
            <w:tcW w:w="1980" w:type="dxa"/>
            <w:vAlign w:val="bottom"/>
          </w:tcPr>
          <w:p>
            <w:pPr>
              <w:spacing w:after="0"/>
              <w:rPr>
                <w:sz w:val="20"/>
                <w:szCs w:val="20"/>
                <w:color w:val="auto"/>
              </w:rPr>
            </w:pPr>
            <w:r>
              <w:rPr>
                <w:rFonts w:ascii="Courier New" w:cs="Courier New" w:eastAsia="Courier New" w:hAnsi="Courier New"/>
                <w:sz w:val="14"/>
                <w:szCs w:val="14"/>
                <w:color w:val="auto"/>
              </w:rPr>
              <w:t>Brazil</w:t>
            </w: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1,029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424</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1,856</w:t>
            </w:r>
          </w:p>
        </w:tc>
        <w:tc>
          <w:tcPr>
            <w:tcW w:w="16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3,309</w:t>
            </w:r>
          </w:p>
        </w:tc>
        <w:tc>
          <w:tcPr>
            <w:tcW w:w="960" w:type="dxa"/>
            <w:vAlign w:val="bottom"/>
          </w:tcPr>
          <w:p>
            <w:pPr>
              <w:ind w:left="520"/>
              <w:spacing w:after="0"/>
              <w:rPr>
                <w:sz w:val="20"/>
                <w:szCs w:val="20"/>
                <w:color w:val="auto"/>
              </w:rPr>
            </w:pPr>
            <w:r>
              <w:rPr>
                <w:rFonts w:ascii="Courier New" w:cs="Courier New" w:eastAsia="Courier New" w:hAnsi="Courier New"/>
                <w:sz w:val="14"/>
                <w:szCs w:val="14"/>
                <w:color w:val="auto"/>
                <w:w w:val="99"/>
              </w:rPr>
              <w:t>1.09%</w:t>
            </w:r>
          </w:p>
        </w:tc>
      </w:tr>
      <w:tr>
        <w:trPr>
          <w:trHeight w:val="166"/>
        </w:trPr>
        <w:tc>
          <w:tcPr>
            <w:tcW w:w="198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1994</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1,088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262</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1,877</w:t>
            </w:r>
          </w:p>
        </w:tc>
        <w:tc>
          <w:tcPr>
            <w:tcW w:w="16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3,227</w:t>
            </w:r>
          </w:p>
        </w:tc>
        <w:tc>
          <w:tcPr>
            <w:tcW w:w="960" w:type="dxa"/>
            <w:vAlign w:val="bottom"/>
          </w:tcPr>
          <w:p>
            <w:pPr>
              <w:ind w:left="520"/>
              <w:spacing w:after="0"/>
              <w:rPr>
                <w:sz w:val="20"/>
                <w:szCs w:val="20"/>
                <w:color w:val="auto"/>
              </w:rPr>
            </w:pPr>
            <w:r>
              <w:rPr>
                <w:rFonts w:ascii="Courier New" w:cs="Courier New" w:eastAsia="Courier New" w:hAnsi="Courier New"/>
                <w:sz w:val="14"/>
                <w:szCs w:val="14"/>
                <w:color w:val="auto"/>
              </w:rPr>
              <w:t>1.13</w:t>
            </w:r>
          </w:p>
        </w:tc>
      </w:tr>
      <w:tr>
        <w:trPr>
          <w:trHeight w:val="166"/>
        </w:trPr>
        <w:tc>
          <w:tcPr>
            <w:tcW w:w="1980" w:type="dxa"/>
            <w:vAlign w:val="bottom"/>
          </w:tcPr>
          <w:p>
            <w:pPr>
              <w:spacing w:after="0"/>
              <w:rPr>
                <w:sz w:val="14"/>
                <w:szCs w:val="14"/>
                <w:color w:val="auto"/>
              </w:rPr>
            </w:pPr>
          </w:p>
        </w:tc>
        <w:tc>
          <w:tcPr>
            <w:tcW w:w="14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1,801</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259</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1,068</w:t>
            </w:r>
          </w:p>
        </w:tc>
        <w:tc>
          <w:tcPr>
            <w:tcW w:w="16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3,128</w:t>
            </w:r>
          </w:p>
        </w:tc>
        <w:tc>
          <w:tcPr>
            <w:tcW w:w="960" w:type="dxa"/>
            <w:vAlign w:val="bottom"/>
          </w:tcPr>
          <w:p>
            <w:pPr>
              <w:ind w:left="520"/>
              <w:spacing w:after="0"/>
              <w:rPr>
                <w:sz w:val="20"/>
                <w:szCs w:val="20"/>
                <w:color w:val="auto"/>
              </w:rPr>
            </w:pPr>
            <w:r>
              <w:rPr>
                <w:rFonts w:ascii="Courier New" w:cs="Courier New" w:eastAsia="Courier New" w:hAnsi="Courier New"/>
                <w:sz w:val="14"/>
                <w:szCs w:val="14"/>
                <w:color w:val="auto"/>
              </w:rPr>
              <w:t>1.24</w:t>
            </w:r>
          </w:p>
        </w:tc>
      </w:tr>
    </w:tbl>
    <w:p>
      <w:pPr>
        <w:spacing w:after="0" w:line="335" w:lineRule="exact"/>
        <w:rPr>
          <w:sz w:val="20"/>
          <w:szCs w:val="20"/>
          <w:color w:val="auto"/>
        </w:rPr>
      </w:pPr>
    </w:p>
    <w:p>
      <w:pPr>
        <w:ind w:right="3519" w:firstLine="8"/>
        <w:spacing w:after="0" w:line="251" w:lineRule="auto"/>
        <w:tabs>
          <w:tab w:leader="none" w:pos="344"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Outstandings (including loans and accrued interest, interest-bearing deposits with banks, securities, acceptances and other monetary assets, except equity investments) represent those of both the public and private sectors and are presented on a risk basis, i.e., net of written guarantees and tangible liquid collateral when held outside the foreign country. At December 31, 1995 and 1994, outstandings to Korea were $2,809 million and $2,164 million, respectively, which were in excess of .75% of total assets. At December 31, 1994, outstandings to Hong Kong and Mexico were $2,603 million and $2,259 million, respectively, which were in excess of .75% of total assets.</w:t>
      </w:r>
    </w:p>
    <w:p>
      <w:pPr>
        <w:spacing w:after="0" w:line="163" w:lineRule="exact"/>
        <w:rPr>
          <w:rFonts w:ascii="Courier New" w:cs="Courier New" w:eastAsia="Courier New" w:hAnsi="Courier New"/>
          <w:sz w:val="14"/>
          <w:szCs w:val="14"/>
          <w:color w:val="auto"/>
        </w:rPr>
      </w:pPr>
    </w:p>
    <w:p>
      <w:pPr>
        <w:ind w:right="3339" w:firstLine="8"/>
        <w:spacing w:after="0" w:line="251" w:lineRule="auto"/>
        <w:tabs>
          <w:tab w:leader="none" w:pos="344"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Outstandings exclude equity received in debt-for-equity conversions, which is recorded initially at fair market value and generally accounted for under the cost method. Commitments (outstanding letters of credit, standby letters of credit, guarantees and unused legal commitments) are excluded. At December 31, 1995, off-balance sheet commitments, after adjusting for transfers of risk, amounted to $2,422 million for Japan, $1,690 million for the United Kingdom, $991 million for Germany, and $55 million for Brazil.</w:t>
      </w:r>
    </w:p>
    <w:p>
      <w:pPr>
        <w:sectPr>
          <w:pgSz w:w="11900" w:h="16885" w:orient="portrait"/>
          <w:cols w:equalWidth="0" w:num="1">
            <w:col w:w="10239"/>
          </w:cols>
          <w:pgMar w:left="220" w:top="285" w:right="1440" w:bottom="0" w:gutter="0" w:footer="0" w:header="0"/>
        </w:sectPr>
      </w:pPr>
    </w:p>
    <w:bookmarkStart w:id="44" w:name="page45"/>
    <w:bookmarkEnd w:id="44"/>
    <w:p>
      <w:pPr>
        <w:ind w:right="3779" w:firstLine="8"/>
        <w:spacing w:after="0" w:line="252" w:lineRule="auto"/>
        <w:tabs>
          <w:tab w:leader="none" w:pos="344"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outstandings to Japan during 1995, 1994 and 1993 (based on quarter-end amounts) were approximately $5.2 billion, $6.5 billion and $5.8 billion, respectively.</w:t>
      </w:r>
    </w:p>
    <w:p>
      <w:pPr>
        <w:spacing w:after="0" w:line="162" w:lineRule="exact"/>
        <w:rPr>
          <w:rFonts w:ascii="Courier New" w:cs="Courier New" w:eastAsia="Courier New" w:hAnsi="Courier New"/>
          <w:sz w:val="14"/>
          <w:szCs w:val="14"/>
          <w:color w:val="auto"/>
        </w:rPr>
      </w:pPr>
    </w:p>
    <w:p>
      <w:pPr>
        <w:ind w:right="3679" w:firstLine="8"/>
        <w:spacing w:after="0" w:line="252" w:lineRule="auto"/>
        <w:tabs>
          <w:tab w:leader="none" w:pos="344"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outstandings to Germany during 1995, 1994 and 1993 (based on quarter-end amounts) were approximately $4.2 billion, $2.8 billion and $1.7 billion, respectively.</w:t>
      </w:r>
    </w:p>
    <w:p>
      <w:pPr>
        <w:spacing w:after="0" w:line="16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307" w:right="1440" w:bottom="1440" w:gutter="0" w:footer="0" w:header="0"/>
        </w:sectPr>
      </w:pPr>
    </w:p>
    <w:bookmarkStart w:id="45" w:name="page46"/>
    <w:bookmarkEnd w:id="45"/>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majority of outstandings to Japan, Germany and Brazil are short-term in nature, which mitigates the credit risk as transactions settle quickly. These outstandings generally represent interbank placements (in the case of Japan) and trading assets (in the case of Germany and Brazil). Due to the short-term nature of interbank placements and trading assets, the Corporation's balances with Japan, Germany and Brazil tend to fluctuate greatly and the amount of outstandings at year-end tends to be a function of timing, rather than representing a consistent trend.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HELD FOR ACCELERATED DISPOSITION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In the fourth quarter of 1995, the Corporation transferred $421 million of residential mortgage loans into the Assets Held for Accelerated Disposition portfolio. This was done as part of a decision to accelerate the disposition of residential mortgage loans originally extended several years earlier under a reduced documentation mortgage program that was discontinued.</w:t>
      </w:r>
    </w:p>
    <w:p>
      <w:pPr>
        <w:spacing w:after="0" w:line="165"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In December 1994, the Corporation segregated real estate loans and real estate owned and designated such assets as Assets Held for Accelerated Disposition. In conjunction with this transfer, the Corporation reevaluated its carrying values for these assets to facilitate their rapid disposition and recorded a charge of $148 million to the allowance for credit losses. As a result of these actions, these assets were excluded from the December 31, 1995 and 1994 nonperforming assets category.</w:t>
      </w:r>
    </w:p>
    <w:p>
      <w:pPr>
        <w:spacing w:after="0" w:line="164" w:lineRule="exact"/>
        <w:rPr>
          <w:sz w:val="20"/>
          <w:szCs w:val="20"/>
          <w:color w:val="auto"/>
        </w:rPr>
      </w:pPr>
    </w:p>
    <w:p>
      <w:pPr>
        <w:ind w:right="4279" w:firstLine="258"/>
        <w:spacing w:after="0" w:line="255" w:lineRule="auto"/>
        <w:rPr>
          <w:sz w:val="20"/>
          <w:szCs w:val="20"/>
          <w:color w:val="auto"/>
        </w:rPr>
      </w:pPr>
      <w:r>
        <w:rPr>
          <w:rFonts w:ascii="Courier New" w:cs="Courier New" w:eastAsia="Courier New" w:hAnsi="Courier New"/>
          <w:sz w:val="14"/>
          <w:szCs w:val="14"/>
          <w:color w:val="auto"/>
        </w:rPr>
        <w:t>The following table presents the reconciliation of Assets Held for Accelerated Disposition for 1995 and 1994.</w:t>
      </w:r>
    </w:p>
    <w:p>
      <w:pPr>
        <w:spacing w:after="0" w:line="200" w:lineRule="exact"/>
        <w:rPr>
          <w:sz w:val="20"/>
          <w:szCs w:val="20"/>
          <w:color w:val="auto"/>
        </w:rPr>
      </w:pPr>
    </w:p>
    <w:p>
      <w:pPr>
        <w:spacing w:after="0" w:line="291" w:lineRule="exact"/>
        <w:rPr>
          <w:sz w:val="20"/>
          <w:szCs w:val="20"/>
          <w:color w:val="auto"/>
        </w:rPr>
      </w:pPr>
    </w:p>
    <w:p>
      <w:pPr>
        <w:ind w:left="5520"/>
        <w:spacing w:after="0"/>
        <w:rPr>
          <w:sz w:val="20"/>
          <w:szCs w:val="20"/>
          <w:color w:val="auto"/>
        </w:rPr>
      </w:pPr>
      <w:r>
        <w:rPr>
          <w:rFonts w:ascii="Courier New" w:cs="Courier New" w:eastAsia="Courier New" w:hAnsi="Courier New"/>
          <w:sz w:val="14"/>
          <w:szCs w:val="14"/>
          <w:color w:val="auto"/>
        </w:rPr>
        <w:t>Carrying Value</w:t>
      </w:r>
    </w:p>
    <w:p>
      <w:pPr>
        <w:spacing w:after="0" w:line="7" w:lineRule="exact"/>
        <w:rPr>
          <w:sz w:val="20"/>
          <w:szCs w:val="20"/>
          <w:color w:val="auto"/>
        </w:rPr>
      </w:pPr>
    </w:p>
    <w:p>
      <w:pPr>
        <w:spacing w:after="0"/>
        <w:tabs>
          <w:tab w:leader="none" w:pos="5320" w:val="left"/>
          <w:tab w:leader="none" w:pos="6540" w:val="left"/>
        </w:tabs>
        <w:rPr>
          <w:sz w:val="20"/>
          <w:szCs w:val="20"/>
          <w:color w:val="auto"/>
        </w:rPr>
      </w:pPr>
      <w:r>
        <w:rPr>
          <w:rFonts w:ascii="Courier New" w:cs="Courier New" w:eastAsia="Courier New" w:hAnsi="Courier New"/>
          <w:sz w:val="14"/>
          <w:szCs w:val="14"/>
          <w:color w:val="auto"/>
        </w:rPr>
        <w:t>Year Ended December 31, (in millions)</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Balance</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at Beginning of Year</w:t>
            </w:r>
          </w:p>
        </w:tc>
        <w:tc>
          <w:tcPr>
            <w:tcW w:w="2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$ 526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3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Additions</w:t>
            </w:r>
          </w:p>
        </w:tc>
        <w:tc>
          <w:tcPr>
            <w:tcW w:w="23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421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526</w:t>
            </w:r>
          </w:p>
        </w:tc>
      </w:tr>
      <w:tr>
        <w:trPr>
          <w:trHeight w:val="166"/>
        </w:trPr>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Sales</w:t>
            </w:r>
          </w:p>
        </w:tc>
        <w:tc>
          <w:tcPr>
            <w:tcW w:w="3180" w:type="dxa"/>
            <w:vAlign w:val="bottom"/>
          </w:tcPr>
          <w:p>
            <w:pPr>
              <w:spacing w:after="0"/>
              <w:rPr>
                <w:sz w:val="14"/>
                <w:szCs w:val="14"/>
                <w:color w:val="auto"/>
              </w:rPr>
            </w:pPr>
          </w:p>
        </w:tc>
        <w:tc>
          <w:tcPr>
            <w:tcW w:w="2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240" w:val="left"/>
          <w:tab w:leader="none" w:pos="6540" w:val="left"/>
        </w:tabs>
        <w:rPr>
          <w:sz w:val="20"/>
          <w:szCs w:val="20"/>
          <w:color w:val="auto"/>
        </w:rPr>
      </w:pPr>
      <w:r>
        <w:rPr>
          <w:rFonts w:ascii="Courier New" w:cs="Courier New" w:eastAsia="Courier New" w:hAnsi="Courier New"/>
          <w:sz w:val="14"/>
          <w:szCs w:val="14"/>
          <w:color w:val="auto"/>
        </w:rPr>
        <w:t>Balance at End of Year(a)</w:t>
      </w:r>
      <w:r>
        <w:rPr>
          <w:sz w:val="20"/>
          <w:szCs w:val="20"/>
          <w:color w:val="auto"/>
        </w:rPr>
        <w:tab/>
      </w:r>
      <w:r>
        <w:rPr>
          <w:rFonts w:ascii="Courier New" w:cs="Courier New" w:eastAsia="Courier New" w:hAnsi="Courier New"/>
          <w:sz w:val="14"/>
          <w:szCs w:val="14"/>
          <w:color w:val="auto"/>
        </w:rPr>
        <w:t>$ 412</w:t>
      </w:r>
      <w:r>
        <w:rPr>
          <w:sz w:val="20"/>
          <w:szCs w:val="20"/>
          <w:color w:val="auto"/>
        </w:rPr>
        <w:tab/>
      </w:r>
      <w:r>
        <w:rPr>
          <w:rFonts w:ascii="Courier New" w:cs="Courier New" w:eastAsia="Courier New" w:hAnsi="Courier New"/>
          <w:sz w:val="14"/>
          <w:szCs w:val="14"/>
          <w:color w:val="auto"/>
        </w:rPr>
        <w:t>$526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859" w:firstLine="8"/>
        <w:spacing w:after="0" w:line="255" w:lineRule="auto"/>
        <w:tabs>
          <w:tab w:leader="none" w:pos="34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$412 million and $87 million of loans that were performing at December 31, 1995 and 1994,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 AND FOREIGN EXCHANGE FINANCIAL INSTRUMENTS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 the normal course of its business, the Corporation utilizes various derivative and foreign exchange financial instruments to meet the financial needs of its customers, to generate revenues through its trading activities, and to manage its exposure to fluctuations in interest and currency rates.</w:t>
      </w:r>
    </w:p>
    <w:p>
      <w:pPr>
        <w:spacing w:after="0" w:line="162"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Derivative and foreign exchange instruments represent contracts with counterparties where payments are made to or from the counterparty based upon specific interest rates, currency levels, other market rates, or on terms predetermined by the contract. These instruments can provide a cost-effective alternative to assuming and mitigating risk associated with traditional on-balance sheet instruments.</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Derivative and foreign exchange transactions involve, to varying degrees, credit risk and market risk. The effective management of credit and market risk is vital to the success of the Corporation's trading and ALM activities. Because of the changing market environment, the monitoring and managing of these risks is a continual process. For a further discussion of market risk, see the Market Risk Management section on page 40.</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Corporation believes the true measure of credit risk exposure is the replacement cost of the derivative or foreign exchange product (i.e., the cost to replace the contract at current market rates should the counterparty default prior to the settlement date). This is also referred to as repayment risk or the mark-to-market exposure amount. The notional principal of derivative and foreign exchange instruments is the amount on which interest and other payments in a transaction are based. For derivative transactions, the notional principal typically does not change hands; it is simply a quantity that is used to calculate payments. While notional principal is the most commonly used volume measure in the derivative and foreign exchange markets, it is not a measure of credit or market risk. The notional principal of the Corporation's derivative and foreign exchange products greatly exceeds the possible credit and market loss that could arise from such transactions. As a result, the Corporation does not consider the notional principal to be indicative of its credit or market risk exposure.</w:t>
      </w:r>
    </w:p>
    <w:p>
      <w:pPr>
        <w:spacing w:after="0" w:line="328"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Mark-to-market exposure is a measure, at a point in time, of the value of a derivative or foreign exchange contract in the open market. When the mark-to-market is positive, it indicates the counterparty owes the Corporation and, therefore, creates a repayment risk for the Corporation. When the mark-to-market is negative, the Corporation owes the counterparty. In this situation, the Corporation does not have repayment risk.</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When the Corporation has more than one transaction outstanding with a counterparty, and there exists a legally enforceable master netting agreement with the counterparty, the "net" mark-to-market exposure represents the netting of the positive and negative exposures with the same counterparty. If there is a net negative number, then the Corporation's exposure to the counterparty is</w:t>
      </w:r>
    </w:p>
    <w:p>
      <w:pPr>
        <w:sectPr>
          <w:pgSz w:w="11900" w:h="16885" w:orient="portrait"/>
          <w:cols w:equalWidth="0" w:num="1">
            <w:col w:w="10239"/>
          </w:cols>
          <w:pgMar w:left="220" w:top="285" w:right="1440" w:bottom="0" w:gutter="0" w:footer="0" w:header="0"/>
        </w:sectPr>
      </w:pPr>
    </w:p>
    <w:bookmarkStart w:id="46" w:name="page47"/>
    <w:bookmarkEnd w:id="46"/>
    <w:p>
      <w:pPr>
        <w:ind w:right="3519"/>
        <w:spacing w:after="0" w:line="252" w:lineRule="auto"/>
        <w:rPr>
          <w:sz w:val="20"/>
          <w:szCs w:val="20"/>
          <w:color w:val="auto"/>
        </w:rPr>
      </w:pPr>
      <w:r>
        <w:rPr>
          <w:rFonts w:ascii="Courier New" w:cs="Courier New" w:eastAsia="Courier New" w:hAnsi="Courier New"/>
          <w:sz w:val="14"/>
          <w:szCs w:val="14"/>
          <w:color w:val="auto"/>
        </w:rPr>
        <w:t>considered to be zero. Net mark-to-market is, in the Corporation's view, the best measure of credit risk when there is a legally enforceable master netting agreement between the Corporation and the counterparty.</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Many of the Corporation's contracts are short-term, which mitigates the credit risk as transactions settle quickly. The following table provides the remaining maturities of derivative and foreign exchange contracts outstanding at December 31, 1995. Percentages are based upon remaining contract life of mark-to-market exposure amounts.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141" w:right="1440" w:bottom="1440" w:gutter="0" w:footer="0" w:header="0"/>
        </w:sectPr>
      </w:pPr>
    </w:p>
    <w:bookmarkStart w:id="47" w:name="page48"/>
    <w:bookmarkEnd w:id="47"/>
    <w:p>
      <w:pPr>
        <w:spacing w:after="0" w:line="4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3460"/>
        <w:spacing w:after="0"/>
        <w:tabs>
          <w:tab w:leader="none" w:pos="4900" w:val="left"/>
        </w:tabs>
        <w:rPr>
          <w:sz w:val="20"/>
          <w:szCs w:val="20"/>
          <w:color w:val="auto"/>
        </w:rPr>
      </w:pPr>
      <w:r>
        <w:rPr>
          <w:rFonts w:ascii="Courier New" w:cs="Courier New" w:eastAsia="Courier New" w:hAnsi="Courier New"/>
          <w:sz w:val="14"/>
          <w:szCs w:val="14"/>
          <w:color w:val="auto"/>
        </w:rPr>
        <w:t>Interest</w:t>
      </w:r>
      <w:r>
        <w:rPr>
          <w:sz w:val="20"/>
          <w:szCs w:val="20"/>
          <w:color w:val="auto"/>
        </w:rPr>
        <w:tab/>
      </w:r>
      <w:r>
        <w:rPr>
          <w:rFonts w:ascii="Courier New" w:cs="Courier New" w:eastAsia="Courier New" w:hAnsi="Courier New"/>
          <w:sz w:val="14"/>
          <w:szCs w:val="14"/>
          <w:color w:val="auto"/>
        </w:rPr>
        <w:t>Foreign</w:t>
      </w:r>
    </w:p>
    <w:p>
      <w:pPr>
        <w:spacing w:after="0" w:line="7" w:lineRule="exact"/>
        <w:rPr>
          <w:sz w:val="20"/>
          <w:szCs w:val="20"/>
          <w:color w:val="auto"/>
        </w:rPr>
      </w:pPr>
    </w:p>
    <w:p>
      <w:pPr>
        <w:ind w:left="3800"/>
        <w:spacing w:after="0"/>
        <w:tabs>
          <w:tab w:leader="none" w:pos="4820" w:val="left"/>
        </w:tabs>
        <w:rPr>
          <w:sz w:val="20"/>
          <w:szCs w:val="20"/>
          <w:color w:val="auto"/>
        </w:rPr>
      </w:pPr>
      <w:r>
        <w:rPr>
          <w:rFonts w:ascii="Courier New" w:cs="Courier New" w:eastAsia="Courier New" w:hAnsi="Courier New"/>
          <w:sz w:val="14"/>
          <w:szCs w:val="14"/>
          <w:color w:val="auto"/>
        </w:rPr>
        <w:t>Rate</w:t>
      </w:r>
      <w:r>
        <w:rPr>
          <w:sz w:val="20"/>
          <w:szCs w:val="20"/>
          <w:color w:val="auto"/>
        </w:rPr>
        <w:tab/>
      </w:r>
      <w:r>
        <w:rPr>
          <w:rFonts w:ascii="Courier New" w:cs="Courier New" w:eastAsia="Courier New" w:hAnsi="Courier New"/>
          <w:sz w:val="14"/>
          <w:szCs w:val="14"/>
          <w:color w:val="auto"/>
        </w:rPr>
        <w:t>Exchange</w:t>
      </w:r>
    </w:p>
    <w:p>
      <w:pPr>
        <w:spacing w:after="0" w:line="7" w:lineRule="exact"/>
        <w:rPr>
          <w:sz w:val="20"/>
          <w:szCs w:val="20"/>
          <w:color w:val="auto"/>
        </w:rPr>
      </w:pPr>
    </w:p>
    <w:p>
      <w:pPr>
        <w:ind w:left="3360"/>
        <w:spacing w:after="0"/>
        <w:tabs>
          <w:tab w:leader="none" w:pos="4720" w:val="left"/>
          <w:tab w:leader="none" w:pos="6440" w:val="left"/>
        </w:tabs>
        <w:rPr>
          <w:sz w:val="20"/>
          <w:szCs w:val="20"/>
          <w:color w:val="auto"/>
        </w:rPr>
      </w:pPr>
      <w:r>
        <w:rPr>
          <w:rFonts w:ascii="Courier New" w:cs="Courier New" w:eastAsia="Courier New" w:hAnsi="Courier New"/>
          <w:sz w:val="14"/>
          <w:szCs w:val="14"/>
          <w:color w:val="auto"/>
        </w:rPr>
        <w:t>Contracts</w:t>
      </w:r>
      <w:r>
        <w:rPr>
          <w:sz w:val="20"/>
          <w:szCs w:val="20"/>
          <w:color w:val="auto"/>
        </w:rPr>
        <w:tab/>
      </w:r>
      <w:r>
        <w:rPr>
          <w:rFonts w:ascii="Courier New" w:cs="Courier New" w:eastAsia="Courier New" w:hAnsi="Courier New"/>
          <w:sz w:val="14"/>
          <w:szCs w:val="14"/>
          <w:color w:val="auto"/>
        </w:rPr>
        <w:t>Contracts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160" w:val="left"/>
        </w:tabs>
        <w:rPr>
          <w:sz w:val="20"/>
          <w:szCs w:val="20"/>
          <w:color w:val="auto"/>
        </w:rPr>
      </w:pPr>
      <w:r>
        <w:rPr>
          <w:rFonts w:ascii="Courier New" w:cs="Courier New" w:eastAsia="Courier New" w:hAnsi="Courier New"/>
          <w:sz w:val="14"/>
          <w:szCs w:val="14"/>
          <w:color w:val="auto"/>
        </w:rPr>
        <w:t>At December 31,</w:t>
      </w:r>
      <w:r>
        <w:rPr>
          <w:sz w:val="20"/>
          <w:szCs w:val="20"/>
          <w:color w:val="auto"/>
        </w:rPr>
        <w:tab/>
      </w:r>
      <w:r>
        <w:rPr>
          <w:rFonts w:ascii="Courier New" w:cs="Courier New" w:eastAsia="Courier New" w:hAnsi="Courier New"/>
          <w:sz w:val="14"/>
          <w:szCs w:val="14"/>
          <w:color w:val="auto"/>
        </w:rPr>
        <w:t>1995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Less</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than 3 months</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55%</w:t>
            </w:r>
          </w:p>
        </w:tc>
        <w:tc>
          <w:tcPr>
            <w:tcW w:w="820" w:type="dxa"/>
            <w:vAlign w:val="bottom"/>
          </w:tcPr>
          <w:p>
            <w:pPr>
              <w:ind w:left="560"/>
              <w:spacing w:after="0"/>
              <w:rPr>
                <w:sz w:val="20"/>
                <w:szCs w:val="20"/>
                <w:color w:val="auto"/>
              </w:rPr>
            </w:pPr>
            <w:r>
              <w:rPr>
                <w:rFonts w:ascii="Courier New" w:cs="Courier New" w:eastAsia="Courier New" w:hAnsi="Courier New"/>
                <w:sz w:val="14"/>
                <w:szCs w:val="14"/>
                <w:color w:val="auto"/>
                <w:w w:val="95"/>
              </w:rPr>
              <w:t>29%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6</w:t>
            </w:r>
          </w:p>
        </w:tc>
        <w:tc>
          <w:tcPr>
            <w:tcW w:w="2160" w:type="dxa"/>
            <w:vAlign w:val="bottom"/>
          </w:tcPr>
          <w:p>
            <w:pPr>
              <w:ind w:left="60"/>
              <w:spacing w:after="0"/>
              <w:rPr>
                <w:sz w:val="20"/>
                <w:szCs w:val="20"/>
                <w:color w:val="auto"/>
              </w:rPr>
            </w:pPr>
            <w:r>
              <w:rPr>
                <w:rFonts w:ascii="Courier New" w:cs="Courier New" w:eastAsia="Courier New" w:hAnsi="Courier New"/>
                <w:sz w:val="14"/>
                <w:szCs w:val="14"/>
                <w:color w:val="auto"/>
              </w:rPr>
              <w:t>months</w:t>
            </w:r>
          </w:p>
        </w:tc>
        <w:tc>
          <w:tcPr>
            <w:tcW w:w="1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w:t>
            </w:r>
          </w:p>
        </w:tc>
        <w:tc>
          <w:tcPr>
            <w:tcW w:w="820" w:type="dxa"/>
            <w:vAlign w:val="bottom"/>
          </w:tcPr>
          <w:p>
            <w:pPr>
              <w:ind w:left="560"/>
              <w:spacing w:after="0"/>
              <w:rPr>
                <w:sz w:val="20"/>
                <w:szCs w:val="20"/>
                <w:color w:val="auto"/>
              </w:rPr>
            </w:pPr>
            <w:r>
              <w:rPr>
                <w:rFonts w:ascii="Courier New" w:cs="Courier New" w:eastAsia="Courier New" w:hAnsi="Courier New"/>
                <w:sz w:val="14"/>
                <w:szCs w:val="14"/>
                <w:color w:val="auto"/>
              </w:rPr>
              <w:t>15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6</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23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12 months</w:t>
            </w:r>
          </w:p>
        </w:tc>
        <w:tc>
          <w:tcPr>
            <w:tcW w:w="1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13</w:t>
            </w:r>
          </w:p>
        </w:tc>
        <w:tc>
          <w:tcPr>
            <w:tcW w:w="820" w:type="dxa"/>
            <w:vAlign w:val="bottom"/>
          </w:tcPr>
          <w:p>
            <w:pPr>
              <w:ind w:left="560"/>
              <w:spacing w:after="0"/>
              <w:rPr>
                <w:sz w:val="20"/>
                <w:szCs w:val="20"/>
                <w:color w:val="auto"/>
              </w:rPr>
            </w:pPr>
            <w:r>
              <w:rPr>
                <w:rFonts w:ascii="Courier New" w:cs="Courier New" w:eastAsia="Courier New" w:hAnsi="Courier New"/>
                <w:sz w:val="14"/>
                <w:szCs w:val="14"/>
                <w:color w:val="auto"/>
              </w:rPr>
              <w:t>10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216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1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45</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w:t>
            </w:r>
          </w:p>
        </w:tc>
        <w:tc>
          <w:tcPr>
            <w:tcW w:w="820" w:type="dxa"/>
            <w:vAlign w:val="bottom"/>
          </w:tcPr>
          <w:p>
            <w:pPr>
              <w:ind w:left="560"/>
              <w:spacing w:after="0"/>
              <w:rPr>
                <w:sz w:val="20"/>
                <w:szCs w:val="20"/>
                <w:color w:val="auto"/>
              </w:rPr>
            </w:pPr>
            <w:r>
              <w:rPr>
                <w:rFonts w:ascii="Courier New" w:cs="Courier New" w:eastAsia="Courier New" w:hAnsi="Courier New"/>
                <w:sz w:val="14"/>
                <w:szCs w:val="14"/>
                <w:color w:val="auto"/>
              </w:rPr>
              <w:t>29</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Over</w:t>
            </w:r>
          </w:p>
        </w:tc>
        <w:tc>
          <w:tcPr>
            <w:tcW w:w="16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2160" w:type="dxa"/>
            <w:vAlign w:val="bottom"/>
          </w:tcPr>
          <w:p>
            <w:pPr>
              <w:ind w:left="60"/>
              <w:spacing w:after="0"/>
              <w:rPr>
                <w:sz w:val="20"/>
                <w:szCs w:val="20"/>
                <w:color w:val="auto"/>
              </w:rPr>
            </w:pPr>
            <w:r>
              <w:rPr>
                <w:rFonts w:ascii="Courier New" w:cs="Courier New" w:eastAsia="Courier New" w:hAnsi="Courier New"/>
                <w:sz w:val="14"/>
                <w:szCs w:val="14"/>
                <w:color w:val="auto"/>
              </w:rPr>
              <w:t>years</w:t>
            </w:r>
          </w:p>
        </w:tc>
        <w:tc>
          <w:tcPr>
            <w:tcW w:w="1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28</w:t>
            </w:r>
          </w:p>
        </w:tc>
        <w:tc>
          <w:tcPr>
            <w:tcW w:w="13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560"/>
              <w:spacing w:after="0"/>
              <w:rPr>
                <w:sz w:val="20"/>
                <w:szCs w:val="20"/>
                <w:color w:val="auto"/>
              </w:rPr>
            </w:pPr>
            <w:r>
              <w:rPr>
                <w:rFonts w:ascii="Courier New" w:cs="Courier New" w:eastAsia="Courier New" w:hAnsi="Courier New"/>
                <w:sz w:val="14"/>
                <w:szCs w:val="14"/>
                <w:color w:val="auto"/>
              </w:rPr>
              <w:t>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780" w:val="left"/>
          <w:tab w:leader="none" w:pos="5160" w:val="left"/>
          <w:tab w:leader="none" w:pos="654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100%</w:t>
      </w:r>
      <w:r>
        <w:rPr>
          <w:sz w:val="20"/>
          <w:szCs w:val="20"/>
          <w:color w:val="auto"/>
        </w:rPr>
        <w:tab/>
      </w:r>
      <w:r>
        <w:rPr>
          <w:rFonts w:ascii="Courier New" w:cs="Courier New" w:eastAsia="Courier New" w:hAnsi="Courier New"/>
          <w:sz w:val="14"/>
          <w:szCs w:val="14"/>
          <w:color w:val="auto"/>
        </w:rPr>
        <w:t>100%</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Corporation routinely enters into derivative and foreign exchange transactions with regulated financial institutions, which the Corporation believes have relatively low credit risk. At December 31, 1995, approximately 81% of the mark-to-market exposure of such transactions were with commercial bank and financial institution counterparties most of whom are dealers in these products. Non-financial institutions accounted for only approximately 19% of the Corporation's derivative and foreign exchange mark-to-market exposure.</w:t>
      </w:r>
    </w:p>
    <w:p>
      <w:pPr>
        <w:spacing w:after="0" w:line="164"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The Corporation does not deal, to any significant extent, in derivatives, which dealers of derivatives (such as other banks and financial institutions) consider to be leveraged. As a result, the mark-to-market exposure as well as the notional amount of such derivatives were insignificant at December 31, 1995.</w:t>
      </w:r>
    </w:p>
    <w:p>
      <w:pPr>
        <w:spacing w:after="0" w:line="162"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The following table summarizes the aggregate notional amounts of interest rate and foreign exchange contracts as well as the credit exposure related to these instruments (after taking into account the net effects of master netting agreements) for the dates indicated below.</w:t>
      </w:r>
    </w:p>
    <w:p>
      <w:pPr>
        <w:spacing w:after="0" w:line="200" w:lineRule="exact"/>
        <w:rPr>
          <w:sz w:val="20"/>
          <w:szCs w:val="20"/>
          <w:color w:val="auto"/>
        </w:rPr>
      </w:pPr>
    </w:p>
    <w:p>
      <w:pPr>
        <w:spacing w:after="0" w:line="293" w:lineRule="exact"/>
        <w:rPr>
          <w:sz w:val="20"/>
          <w:szCs w:val="20"/>
          <w:color w:val="auto"/>
        </w:rPr>
      </w:pPr>
    </w:p>
    <w:p>
      <w:pPr>
        <w:ind w:left="4140"/>
        <w:spacing w:after="0"/>
        <w:tabs>
          <w:tab w:leader="none" w:pos="6100" w:val="left"/>
        </w:tabs>
        <w:rPr>
          <w:sz w:val="20"/>
          <w:szCs w:val="20"/>
          <w:color w:val="auto"/>
        </w:rPr>
      </w:pPr>
      <w:r>
        <w:rPr>
          <w:rFonts w:ascii="Courier New" w:cs="Courier New" w:eastAsia="Courier New" w:hAnsi="Courier New"/>
          <w:sz w:val="14"/>
          <w:szCs w:val="14"/>
          <w:color w:val="auto"/>
        </w:rPr>
        <w:t>Notional Amounts(a)</w:t>
      </w:r>
      <w:r>
        <w:rPr>
          <w:sz w:val="20"/>
          <w:szCs w:val="20"/>
          <w:color w:val="auto"/>
        </w:rPr>
        <w:tab/>
      </w:r>
      <w:r>
        <w:rPr>
          <w:rFonts w:ascii="Courier New" w:cs="Courier New" w:eastAsia="Courier New" w:hAnsi="Courier New"/>
          <w:sz w:val="14"/>
          <w:szCs w:val="14"/>
          <w:color w:val="auto"/>
        </w:rPr>
        <w:t>Credit Exposure</w:t>
      </w:r>
    </w:p>
    <w:p>
      <w:pPr>
        <w:spacing w:after="0" w:line="7" w:lineRule="exact"/>
        <w:rPr>
          <w:sz w:val="20"/>
          <w:szCs w:val="20"/>
          <w:color w:val="auto"/>
        </w:rPr>
      </w:pPr>
    </w:p>
    <w:p>
      <w:pPr>
        <w:spacing w:after="0"/>
        <w:tabs>
          <w:tab w:leader="none" w:pos="4200" w:val="left"/>
          <w:tab w:leader="none" w:pos="5240" w:val="left"/>
          <w:tab w:leader="none" w:pos="6200" w:val="left"/>
          <w:tab w:leader="none" w:pos="6960" w:val="left"/>
        </w:tabs>
        <w:rPr>
          <w:sz w:val="20"/>
          <w:szCs w:val="20"/>
          <w:color w:val="auto"/>
        </w:rPr>
      </w:pPr>
      <w:r>
        <w:rPr>
          <w:rFonts w:ascii="Courier New" w:cs="Courier New" w:eastAsia="Courier New" w:hAnsi="Courier New"/>
          <w:sz w:val="14"/>
          <w:szCs w:val="14"/>
          <w:color w:val="auto"/>
        </w:rPr>
        <w:t>December 31, (in billions)</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Interest Rate Contracts</w:t>
            </w:r>
          </w:p>
        </w:tc>
        <w:tc>
          <w:tcPr>
            <w:tcW w:w="18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$3,190.4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$2,996.3</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6"/>
        </w:trPr>
        <w:tc>
          <w:tcPr>
            <w:tcW w:w="3880" w:type="dxa"/>
            <w:vAlign w:val="bottom"/>
            <w:gridSpan w:val="2"/>
          </w:tcPr>
          <w:p>
            <w:pPr>
              <w:spacing w:after="0"/>
              <w:rPr>
                <w:sz w:val="20"/>
                <w:szCs w:val="20"/>
                <w:color w:val="auto"/>
              </w:rPr>
            </w:pPr>
            <w:r>
              <w:rPr>
                <w:rFonts w:ascii="Courier New" w:cs="Courier New" w:eastAsia="Courier New" w:hAnsi="Courier New"/>
                <w:sz w:val="14"/>
                <w:szCs w:val="14"/>
                <w:color w:val="auto"/>
              </w:rPr>
              <w:t>Foreign Exchange Contracts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1,606.2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1,549.2</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14.6</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Stock Index Options and</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Commodity Contracts</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5080" w:val="left"/>
          <w:tab w:leader="none" w:pos="6100" w:val="left"/>
          <w:tab w:leader="none" w:pos="688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$4,834.3</w:t>
      </w:r>
      <w:r>
        <w:rPr>
          <w:sz w:val="20"/>
          <w:szCs w:val="20"/>
          <w:color w:val="auto"/>
        </w:rPr>
        <w:tab/>
      </w:r>
      <w:r>
        <w:rPr>
          <w:rFonts w:ascii="Courier New" w:cs="Courier New" w:eastAsia="Courier New" w:hAnsi="Courier New"/>
          <w:sz w:val="14"/>
          <w:szCs w:val="14"/>
          <w:color w:val="auto"/>
        </w:rPr>
        <w:t>$4,566.1</w:t>
      </w:r>
      <w:r>
        <w:rPr>
          <w:sz w:val="20"/>
          <w:szCs w:val="20"/>
          <w:color w:val="auto"/>
        </w:rPr>
        <w:tab/>
      </w:r>
      <w:r>
        <w:rPr>
          <w:rFonts w:ascii="Courier New" w:cs="Courier New" w:eastAsia="Courier New" w:hAnsi="Courier New"/>
          <w:sz w:val="14"/>
          <w:szCs w:val="14"/>
          <w:color w:val="auto"/>
        </w:rPr>
        <w:t>$26.2</w:t>
      </w:r>
      <w:r>
        <w:rPr>
          <w:sz w:val="20"/>
          <w:szCs w:val="20"/>
          <w:color w:val="auto"/>
        </w:rPr>
        <w:tab/>
      </w:r>
      <w:r>
        <w:rPr>
          <w:rFonts w:ascii="Courier New" w:cs="Courier New" w:eastAsia="Courier New" w:hAnsi="Courier New"/>
          <w:sz w:val="14"/>
          <w:szCs w:val="14"/>
          <w:color w:val="auto"/>
        </w:rPr>
        <w:t>$26.3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firstLine="8"/>
        <w:spacing w:after="0" w:line="251" w:lineRule="auto"/>
        <w:tabs>
          <w:tab w:leader="none" w:pos="344"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notional amounts of exchange-traded interest rate contracts, foreign exchange contracts, and stock index options and commodity contracts were $417.7 billion, $10.6 billion and $5.1 billion, respectively, at December 31, 1995. The credit risk exposure for these contracts was minimal since exchange-traded contracts principally settle daily in cash.</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CREDIT LOSSES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allowance for credit losses is available to absorb potential credit losses from the entire loan portfolio, as well as derivative and foreign exchange transactions. The Corporation deems its allowance for credit losses at December 31, 1995 to be adequate. Although the Corporation considers that it has sufficient reserves to absorb losses that may currently exist in the portfolio, but are not yet identifiable, the precise loss content is subject to continuing review based on quality indicators, industry and geographic concentrations, changes in business conditions, and other external factors such as competition, legal and regulatory requirements. The Corporation will continue to reassess the adequacy of the allowance for credit losses.</w:t>
      </w:r>
    </w:p>
    <w:p>
      <w:pPr>
        <w:spacing w:after="0" w:line="16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[GRAPH NUMBER 15]</w:t>
      </w:r>
    </w:p>
    <w:p>
      <w:pPr>
        <w:spacing w:after="0" w:line="173" w:lineRule="exact"/>
        <w:rPr>
          <w:sz w:val="20"/>
          <w:szCs w:val="20"/>
          <w:color w:val="auto"/>
        </w:rPr>
      </w:pPr>
    </w:p>
    <w:p>
      <w:pPr>
        <w:ind w:right="3339" w:firstLine="258"/>
        <w:spacing w:after="0" w:line="253" w:lineRule="auto"/>
        <w:rPr>
          <w:sz w:val="20"/>
          <w:szCs w:val="20"/>
          <w:color w:val="auto"/>
        </w:rPr>
      </w:pPr>
      <w:r>
        <w:rPr>
          <w:rFonts w:ascii="Courier New" w:cs="Courier New" w:eastAsia="Courier New" w:hAnsi="Courier New"/>
          <w:sz w:val="14"/>
          <w:szCs w:val="14"/>
          <w:color w:val="auto"/>
        </w:rPr>
        <w:t>During 1995, 1994 and 1993, the Corporation's actual credit losses arising from derivative and foreign exchange transactions were immaterial. Additionally, at December 31, 1995 and 1994, nonperforming derivatives contracts were immaterial.</w:t>
      </w:r>
    </w:p>
    <w:p>
      <w:pPr>
        <w:spacing w:after="0" w:line="327"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The following tables reflect the activity in the Corporation's allowance for credit losses for the years ended December 31, 1995 and 1994, as well as the allowance coverage ratios.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Allowance at January 1</w:t>
            </w:r>
          </w:p>
        </w:tc>
        <w:tc>
          <w:tcPr>
            <w:tcW w:w="2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$ 3,894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$ 4,445</w:t>
            </w: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Provision for Losses</w:t>
            </w:r>
          </w:p>
        </w:tc>
        <w:tc>
          <w:tcPr>
            <w:tcW w:w="2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758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1,050</w:t>
            </w: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Charge-Offs</w:t>
            </w:r>
          </w:p>
        </w:tc>
        <w:tc>
          <w:tcPr>
            <w:tcW w:w="2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(1,970)</w:t>
            </w: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Recoveries</w:t>
            </w:r>
          </w:p>
        </w:tc>
        <w:tc>
          <w:tcPr>
            <w:tcW w:w="2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(840)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(1,464)</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Charge for Assets Transferred to Held for</w:t>
            </w: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ectPr>
          <w:pgSz w:w="11900" w:h="16880" w:orient="portrait"/>
          <w:cols w:equalWidth="0" w:num="1">
            <w:col w:w="10239"/>
          </w:cols>
          <w:pgMar w:left="220" w:top="285" w:right="1440"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3520" w:type="dxa"/>
            <w:vAlign w:val="bottom"/>
          </w:tcPr>
          <w:p>
            <w:pPr>
              <w:ind w:left="220"/>
              <w:spacing w:after="0"/>
              <w:rPr>
                <w:sz w:val="20"/>
                <w:szCs w:val="20"/>
                <w:color w:val="auto"/>
              </w:rPr>
            </w:pPr>
            <w:r>
              <w:rPr>
                <w:rFonts w:ascii="Courier New" w:cs="Courier New" w:eastAsia="Courier New" w:hAnsi="Courier New"/>
                <w:sz w:val="14"/>
                <w:szCs w:val="14"/>
                <w:color w:val="auto"/>
              </w:rPr>
              <w:t>Accelerated Disposition</w:t>
            </w:r>
          </w:p>
        </w:tc>
        <w:tc>
          <w:tcPr>
            <w:tcW w:w="2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(148)</w:t>
            </w:r>
          </w:p>
        </w:tc>
      </w:tr>
      <w:tr>
        <w:trPr>
          <w:trHeight w:val="166"/>
        </w:trPr>
        <w:tc>
          <w:tcPr>
            <w:tcW w:w="140" w:type="dxa"/>
            <w:vAlign w:val="bottom"/>
          </w:tcPr>
          <w:p>
            <w:pPr>
              <w:spacing w:after="0"/>
              <w:rPr>
                <w:sz w:val="14"/>
                <w:szCs w:val="14"/>
                <w:color w:val="auto"/>
              </w:rPr>
            </w:pPr>
          </w:p>
        </w:tc>
        <w:tc>
          <w:tcPr>
            <w:tcW w:w="3520" w:type="dxa"/>
            <w:vAlign w:val="bottom"/>
          </w:tcPr>
          <w:p>
            <w:pPr>
              <w:ind w:left="40"/>
              <w:spacing w:after="0"/>
              <w:rPr>
                <w:sz w:val="20"/>
                <w:szCs w:val="20"/>
                <w:color w:val="auto"/>
              </w:rPr>
            </w:pPr>
            <w:r>
              <w:rPr>
                <w:rFonts w:ascii="Courier New" w:cs="Courier New" w:eastAsia="Courier New" w:hAnsi="Courier New"/>
                <w:sz w:val="14"/>
                <w:szCs w:val="14"/>
                <w:color w:val="auto"/>
              </w:rPr>
              <w:t>Other</w:t>
            </w:r>
          </w:p>
        </w:tc>
        <w:tc>
          <w:tcPr>
            <w:tcW w:w="2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(28)(a)</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gridSpan w:val="2"/>
          </w:tcPr>
          <w:p>
            <w:pPr>
              <w:spacing w:after="0"/>
              <w:rPr>
                <w:sz w:val="20"/>
                <w:szCs w:val="20"/>
                <w:color w:val="auto"/>
              </w:rPr>
            </w:pPr>
            <w:r>
              <w:rPr>
                <w:rFonts w:ascii="Courier New" w:cs="Courier New" w:eastAsia="Courier New" w:hAnsi="Courier New"/>
                <w:sz w:val="14"/>
                <w:szCs w:val="14"/>
                <w:color w:val="auto"/>
              </w:rPr>
              <w:t>Total Allowance at December 31</w:t>
            </w:r>
          </w:p>
        </w:tc>
        <w:tc>
          <w:tcPr>
            <w:tcW w:w="23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$ 3,784</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$ 3,894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8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3679" w:firstLine="8"/>
        <w:spacing w:after="0" w:line="255" w:lineRule="auto"/>
        <w:tabs>
          <w:tab w:leader="none" w:pos="344"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$28 million related to sale of Chemical's banking operations in southern and central New Jersey.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COVERAGE RATIOS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Allowance for Credit Losses to:</w:t>
            </w:r>
          </w:p>
        </w:tc>
        <w:tc>
          <w:tcPr>
            <w:tcW w:w="2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Loans at Period-End</w:t>
            </w:r>
          </w:p>
        </w:tc>
        <w:tc>
          <w:tcPr>
            <w:tcW w:w="2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2.74%</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Average Loans</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w:t>
            </w: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Nonperforming Loans</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253.45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245.06</w:t>
            </w:r>
          </w:p>
        </w:tc>
      </w:tr>
      <w:tr>
        <w:trPr>
          <w:trHeight w:val="497"/>
        </w:trPr>
        <w:tc>
          <w:tcPr>
            <w:tcW w:w="3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bl>
    <w:p>
      <w:pPr>
        <w:sectPr>
          <w:pgSz w:w="11900" w:h="16838" w:orient="portrait"/>
          <w:cols w:equalWidth="0" w:num="1">
            <w:col w:w="10239"/>
          </w:cols>
          <w:pgMar w:left="220" w:top="141" w:right="1440" w:bottom="1440" w:gutter="0" w:footer="0" w:header="0"/>
        </w:sectPr>
      </w:pPr>
    </w:p>
    <w:bookmarkStart w:id="49" w:name="page50"/>
    <w:bookmarkEnd w:id="49"/>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MARKET RISK MANAGEMENT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Market risk can be defined as the risk of loss resulting from changes in the prices of financial instruments in the markets in which the Corporation participates, such as changes in the value of foreign exchange or fixed income securities. The market risk management function is responsible for the measurement, monitoring and control of market risk, and the communication of risk limits throughout the Corporation in connection with its trading activities and asset/liability management activities.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 ACTIVITIES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Corporation uses its trading assets and liabilities to meet the financial needs of its customers and to generate revenues through its trading activities. The Corporation seeks to manage the market risks associated with its trading activities through geographic and product diversification. Trading activities are undertaken in more than 20 countries, with the majority of the transactions in the developed countries. The Corporation trades a wide range of products, including foreign exchange, derivatives, commodities and domestic and international securities, including emerging market debt instruments. A more complete description of the classes of debt and equity instruments and risk management instruments used in the Corporation's trading activities, as well as the credit risk and market risk factors involved in such activities, are disclosed in Notes Three and Eighteen of the Notes to Consolidated Financial Statements.</w:t>
      </w:r>
    </w:p>
    <w:p>
      <w:pPr>
        <w:spacing w:after="0" w:line="163"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The Corporation has four fundamental trading activities which generate revenue. The Corporation is primarily engaged in the relatively stable businesses of market-making, sales and arbitrage, while placing less emphasis on the potentially less-stable business of positioning.</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Market-making: The Corporation trades with the intention of making a profit based on the spread between bid and ask prices. Market-making, compared with other trading activities, is considered to be a relatively stable business by the Corporation because revenue is related principally to market volumes, rather than to anticipating correctly material changes in the prices of various financial instruments. The Corporation considers market-making to be a key trading activity in its over-the-counter trading businesses.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Sales: The Corporation provides products for its clients at competitive prices. The Corporation considers sales to be a relatively stable business because revenue is related principally to the volume of products sold to the Corporation's worldwide client base.</w:t>
      </w:r>
    </w:p>
    <w:p>
      <w:pPr>
        <w:spacing w:after="0" w:line="162"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Arbitrage: The Corporation enters into a risk position and offsets that risk in different, but closely related, markets or instruments. Because of the nature of trading markets, where there are numerous instruments that relate to one another, the Corporation believes it can effectively utilize this strategy. The Corporation considers arbitrage to be a key fundamental of its trading business.</w:t>
      </w:r>
    </w:p>
    <w:p>
      <w:pPr>
        <w:spacing w:after="0" w:line="165"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Positioning: The Corporation takes certain positions in a market in anticipation of changes that may occur within such market. This strategy has the lowest stability of all four trading activities and the Corporation's emphasis in this area is less than in the other trading activities.</w:t>
      </w:r>
    </w:p>
    <w:p>
      <w:pPr>
        <w:spacing w:after="0" w:line="162"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Management believes that a risk management process, that encourages risk-taking within defined limits, is integral to creating shareholder value and competitive advantage through effective employment of risk capital. To that end, the Corporation has defined several fundamental risk management principles, including:</w:t>
      </w:r>
    </w:p>
    <w:p>
      <w:pPr>
        <w:spacing w:after="0" w:line="328" w:lineRule="exact"/>
        <w:rPr>
          <w:sz w:val="20"/>
          <w:szCs w:val="20"/>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Formal definition of risk management governance;</w:t>
      </w:r>
    </w:p>
    <w:p>
      <w:pPr>
        <w:spacing w:after="0" w:line="172" w:lineRule="exact"/>
        <w:rPr>
          <w:rFonts w:ascii="Courier New" w:cs="Courier New" w:eastAsia="Courier New" w:hAnsi="Courier New"/>
          <w:sz w:val="14"/>
          <w:szCs w:val="14"/>
          <w:color w:val="auto"/>
        </w:rPr>
      </w:pPr>
    </w:p>
    <w:p>
      <w:pPr>
        <w:ind w:right="3259" w:firstLine="8"/>
        <w:spacing w:after="0" w:line="255" w:lineRule="auto"/>
        <w:tabs>
          <w:tab w:leader="none" w:pos="172"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Measurement of risk in accordance with "value-at-risk" methodologies, as well as non-statistical measures; and</w:t>
      </w:r>
    </w:p>
    <w:p>
      <w:pPr>
        <w:spacing w:after="0" w:line="159"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Continual evaluation of risk appetite, communicated through risk limits.</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risk management governance structure at the Corporation begins with the broad oversight responsibilities of the Board of Directors, which approves general risk management policies and reviews aggregate levels of risk, risk capital and returns on risk. A subcommittee of the Board, the Risk Policy Committee, has been delegated the responsibility for the review of the Corporation's risk management policies and control framework and the evaluation of its returns on risk.</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Corporation's risk management governance structure then extends into the business areas in order to move the focus from oversight to active day-to-day management of risk. The Office of the Chairman's Risk Committee, made up of senior business-line and finance executives of the Corporation, provides direction for the market risk profile of the Corporation, as well as a forum for discussion of those market risk issues that may require increased corporate awareness. Finally, the risk management governance structure extends to the Market Risk Committee, made up of senior business-line managers and managers independent of the business lines, who have direct accountability for all corporate-wide market risk. The Market Risk Committee reviews and approves market risk measurement methodologies, risk limits and risk capital assessments.</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Market risk is measured and monitored on a daily basis through a value-at-risk ("VAR") methodology. VAR is defined as the potential overnight dollar loss from adverse market movements, with 97.5% confidence based on historical prices and market rates. The quantification of market risk through a VAR methodology requires a number of key assumptions including confidence level for losses, number of days of price history, the holding period, the measurement</w:t>
      </w:r>
    </w:p>
    <w:p>
      <w:pPr>
        <w:sectPr>
          <w:pgSz w:w="11900" w:h="16885" w:orient="portrait"/>
          <w:cols w:equalWidth="0" w:num="1">
            <w:col w:w="10239"/>
          </w:cols>
          <w:pgMar w:left="220" w:top="285" w:right="1440" w:bottom="0" w:gutter="0" w:footer="0" w:header="0"/>
        </w:sectPr>
      </w:pPr>
    </w:p>
    <w:bookmarkStart w:id="50" w:name="page51"/>
    <w:bookmarkEnd w:id="50"/>
    <w:p>
      <w:pPr>
        <w:ind w:right="3419"/>
        <w:spacing w:after="0" w:line="252" w:lineRule="auto"/>
        <w:rPr>
          <w:sz w:val="20"/>
          <w:szCs w:val="20"/>
          <w:color w:val="auto"/>
        </w:rPr>
      </w:pPr>
      <w:r>
        <w:rPr>
          <w:rFonts w:ascii="Courier New" w:cs="Courier New" w:eastAsia="Courier New" w:hAnsi="Courier New"/>
          <w:sz w:val="14"/>
          <w:szCs w:val="14"/>
          <w:color w:val="auto"/>
        </w:rPr>
        <w:t>of inter-business correlation, and the treatment of risks outside the VAR methodology, including event risk and liquidity risk. The approach utilized for these other methodological issues varies among institutions.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141"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22</w:t>
      </w:r>
    </w:p>
    <w:p>
      <w:pPr>
        <w:spacing w:after="0" w:line="173"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Based on actual 1995 trading results, which capture historical correlation among business units, 95% of the variation in the Corporation's daily trading results fell within a $31 million band centered on the daily average amount for the year.</w:t>
      </w:r>
    </w:p>
    <w:p>
      <w:pPr>
        <w:spacing w:after="0" w:line="162"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VAR is not an absolute measure of market risk under all conditions for all products. In addition to VAR calculations, the Corporation performs alternative scenario analyses to estimate the economic impact of sudden market movements on selected portions of the trading portfolio. The results of these analyses, along with the professional judgments of experienced business managers, are used to supplement the VAR methodology and capture additional market-related risks, including concentration, liquidity, event, and historical volatility and correlation reliance risks.</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 addition to VAR limits, the Corporation's overall risk management process incorporates two other types of risk limits: non-statistical limits, and stop-loss advisories. Non-statistical measures include net open positions, basis point values, position concentrations and position turnover. Stop-loss advisories are also used to advise senior management when losses of a certain threshold are sustained from a business activity. The use of non-statistical measures and stop-loss advisories to complement VAR limits reduces the likelihood that potential trading losses will reach the daily VAR limit.</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Corporation manages the market risk associated with its trading activities on an aggregate basis at the business unit level. Criteria for risk limits include, among other factors, relevant market analysis, market liquidity, prior track record, business strategy, and management experience and depth. Risk limits are reviewed regularly to ensure consistency with the historical and anticipated financial performance of a business, including returns achieved on risk.</w:t>
      </w:r>
    </w:p>
    <w:p>
      <w:pPr>
        <w:spacing w:after="0" w:line="16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[GRAPH NUMBER 16]</w:t>
      </w:r>
    </w:p>
    <w:p>
      <w:pPr>
        <w:spacing w:after="0" w:line="17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preceding chart contains a histogram of the Corporation's daily market risk-related revenue for 1995. Market risk-related revenue is defined as the daily change in value in marked-to-market trading portfolios plus any trading-related net interest income or other revenue. Net interest income related to funding and investment activity is excluded. The histogram covers the Corporation's major trading units, which constitute approximately 98% of its trading activity.</w:t>
      </w:r>
    </w:p>
    <w:p>
      <w:pPr>
        <w:spacing w:after="0" w:line="330"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For the twelve months ended December 31, 1995, the Corporation posted positive daily market risk-related revenue for 232 out of 260 business trading days for international and domestic units. For 234 of the 260 days, the Corporation's daily market risk-related revenue or losses occurred within the negative $5 million to positive $15 million range, which is representative of the Corporation's emphasis on market-making and sales activities. The two worst losses shown on the histogram were due to unusual volatility in emerging market countries in the first quarter of 1995. The loss in the $30-$35 million range was also sustained in the first quarter of 1995 and resulted from losses in both European interest rate and emerging market activities.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ASSET/LIABILITY MANAGEMENT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objective of the Corporation's ALM process is to manage and control the sensitivity of the Corporation's income to changes in market interest rates. The process operates under the authority and direction of the Asset and Liability Policy Committee, comprised of the Office of the Chairman and senior business and finance executives. The Committee seeks to ensure that the risk to earnings from adverse movements in interest rates are kept within specified limits deemed acceptable by the Corporation.</w:t>
      </w:r>
    </w:p>
    <w:p>
      <w:pPr>
        <w:spacing w:after="0" w:line="164" w:lineRule="exact"/>
        <w:rPr>
          <w:sz w:val="20"/>
          <w:szCs w:val="20"/>
          <w:color w:val="auto"/>
        </w:rPr>
      </w:pPr>
    </w:p>
    <w:p>
      <w:pPr>
        <w:jc w:val="both"/>
        <w:ind w:right="3419" w:firstLine="258"/>
        <w:spacing w:after="0" w:line="250" w:lineRule="auto"/>
        <w:rPr>
          <w:sz w:val="20"/>
          <w:szCs w:val="20"/>
          <w:color w:val="auto"/>
        </w:rPr>
      </w:pPr>
      <w:r>
        <w:rPr>
          <w:rFonts w:ascii="Courier New" w:cs="Courier New" w:eastAsia="Courier New" w:hAnsi="Courier New"/>
          <w:sz w:val="14"/>
          <w:szCs w:val="14"/>
          <w:color w:val="auto"/>
        </w:rPr>
        <w:t>The Corporation's net interest income is affected by changes in the level of market interest rates based upon differences in timing between the contractual maturity or the repricing (the "repricing") of its assets and liabilities.</w:t>
      </w:r>
    </w:p>
    <w:p>
      <w:pPr>
        <w:spacing w:after="0" w:line="1"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Interest rate sensitivity arises in the ordinary course of the Corporation's banking business as the repricing characteristics of its loans do not necessarily match those of its deposits and other borrowings. This sensitivity can be managed by altering the repricing of the Corporation's assets or liabilities, and with the use of derivative instruments.</w:t>
      </w:r>
    </w:p>
    <w:p>
      <w:pPr>
        <w:spacing w:after="0" w:line="165"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Corporation, as part of its ALM process, employs a variety of cash and derivative instruments in managing its exposure to fluctuations in market interest rates. The Corporation uses derivative instruments to adjust the interest rate repricing characteristics of specific on-balance sheet assets and liabilities, or groups of assets and liabilities with similar repricing characteristics. Derivative instruments include interest rate swaps, futures,</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285" w:right="1440" w:bottom="1440"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400"/>
        <w:spacing w:after="0" w:line="252" w:lineRule="auto"/>
        <w:rPr>
          <w:sz w:val="20"/>
          <w:szCs w:val="20"/>
          <w:color w:val="auto"/>
        </w:rPr>
      </w:pPr>
      <w:r>
        <w:rPr>
          <w:rFonts w:ascii="Courier New" w:cs="Courier New" w:eastAsia="Courier New" w:hAnsi="Courier New"/>
          <w:sz w:val="14"/>
          <w:szCs w:val="14"/>
          <w:color w:val="auto"/>
        </w:rPr>
        <w:t>forward rate agreements and options (See Note One of the Notes to Consolidated Financial Statements for a discussion of the Corporation's accounting policy relative to derivative instruments used for asset/liability management).</w:t>
      </w:r>
    </w:p>
    <w:p>
      <w:pPr>
        <w:spacing w:after="0" w:line="163" w:lineRule="exact"/>
        <w:rPr>
          <w:sz w:val="20"/>
          <w:szCs w:val="20"/>
          <w:color w:val="auto"/>
        </w:rPr>
      </w:pPr>
    </w:p>
    <w:p>
      <w:pPr>
        <w:jc w:val="both"/>
        <w:ind w:right="4400"/>
        <w:spacing w:after="0" w:line="252" w:lineRule="auto"/>
        <w:rPr>
          <w:sz w:val="20"/>
          <w:szCs w:val="20"/>
          <w:color w:val="auto"/>
        </w:rPr>
      </w:pPr>
      <w:r>
        <w:rPr>
          <w:rFonts w:ascii="Courier New" w:cs="Courier New" w:eastAsia="Courier New" w:hAnsi="Courier New"/>
          <w:sz w:val="14"/>
          <w:szCs w:val="14"/>
          <w:color w:val="auto"/>
        </w:rPr>
        <w:t>Risk Management and Control: A key element of the Corporation's ALM process is that it allows the assumption of interest sensitivity at a decentralized level by a limited number of authorized units with close contacts to the markets.</w:t>
      </w:r>
    </w:p>
    <w:p>
      <w:pPr>
        <w:spacing w:after="0" w:line="163" w:lineRule="exact"/>
        <w:rPr>
          <w:sz w:val="20"/>
          <w:szCs w:val="20"/>
          <w:color w:val="auto"/>
        </w:rPr>
      </w:pPr>
    </w:p>
    <w:p>
      <w:pPr>
        <w:ind w:right="4300" w:firstLine="258"/>
        <w:spacing w:after="0" w:line="252" w:lineRule="auto"/>
        <w:rPr>
          <w:sz w:val="20"/>
          <w:szCs w:val="20"/>
          <w:color w:val="auto"/>
        </w:rPr>
      </w:pPr>
      <w:r>
        <w:rPr>
          <w:rFonts w:ascii="Courier New" w:cs="Courier New" w:eastAsia="Courier New" w:hAnsi="Courier New"/>
          <w:sz w:val="14"/>
          <w:szCs w:val="14"/>
          <w:color w:val="auto"/>
        </w:rPr>
        <w:t>The Asset and Liability Policy Committee has ultimate responsibility for the Corporation's consolidated interest rate exposure. In managing exposure, the Corporation uses quantifications of net gap exposure, earnings at risk and net interest income simulation.</w:t>
      </w:r>
    </w:p>
    <w:p>
      <w:pPr>
        <w:spacing w:after="0" w:line="162" w:lineRule="exact"/>
        <w:rPr>
          <w:sz w:val="20"/>
          <w:szCs w:val="20"/>
          <w:color w:val="auto"/>
        </w:rPr>
      </w:pPr>
    </w:p>
    <w:p>
      <w:pPr>
        <w:ind w:right="4220"/>
        <w:spacing w:after="0" w:line="251" w:lineRule="auto"/>
        <w:rPr>
          <w:sz w:val="20"/>
          <w:szCs w:val="20"/>
          <w:color w:val="auto"/>
        </w:rPr>
      </w:pPr>
      <w:r>
        <w:rPr>
          <w:rFonts w:ascii="Courier New" w:cs="Courier New" w:eastAsia="Courier New" w:hAnsi="Courier New"/>
          <w:sz w:val="14"/>
          <w:szCs w:val="14"/>
          <w:color w:val="auto"/>
        </w:rPr>
        <w:t>Measuring Interest Rate Sensitivity: Management uses a variety of techniques to measure its interest rate sensitivity. One such tool is aggregate net gap analysis, an example of which is presented below. Assets and liabilities are placed in gap intervals based on their repricing dates. Assets and liabilities for which no specific repricing dates exist are placed in gap intervals based on management's judgment concerning their most likely repricing behaviors. Derivatives used in interest rate sensitivity management are also included in the applicable gap intervals.</w:t>
      </w:r>
    </w:p>
    <w:p>
      <w:pPr>
        <w:spacing w:after="0" w:line="164" w:lineRule="exact"/>
        <w:rPr>
          <w:sz w:val="20"/>
          <w:szCs w:val="20"/>
          <w:color w:val="auto"/>
        </w:rPr>
      </w:pPr>
    </w:p>
    <w:p>
      <w:pPr>
        <w:ind w:right="4220" w:firstLine="258"/>
        <w:spacing w:after="0" w:line="251" w:lineRule="auto"/>
        <w:rPr>
          <w:sz w:val="20"/>
          <w:szCs w:val="20"/>
          <w:color w:val="auto"/>
        </w:rPr>
      </w:pPr>
      <w:r>
        <w:rPr>
          <w:rFonts w:ascii="Courier New" w:cs="Courier New" w:eastAsia="Courier New" w:hAnsi="Courier New"/>
          <w:sz w:val="14"/>
          <w:szCs w:val="14"/>
          <w:color w:val="auto"/>
        </w:rPr>
        <w:t>A net gap for each time period is calculated by subtracting the liabilities repricing in that interval from the assets repricing. A negative gap - more liabilities repricing than assets - will benefit net interest income in a declining interest rate environment and will detract from net interest income in a rising interest rate environment. Conversely, a positive gap - more assets repricing than liabilities - will benefit net interest income if rates are rising and will detract from net interest income in a falling rate environment.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SENSITIVITY TABLE</w:t>
      </w:r>
    </w:p>
    <w:p>
      <w:pPr>
        <w:spacing w:after="0" w:line="200" w:lineRule="exact"/>
        <w:rPr>
          <w:sz w:val="20"/>
          <w:szCs w:val="20"/>
          <w:color w:val="auto"/>
        </w:rPr>
      </w:pPr>
    </w:p>
    <w:p>
      <w:pPr>
        <w:spacing w:after="0" w:line="304" w:lineRule="exact"/>
        <w:rPr>
          <w:sz w:val="20"/>
          <w:szCs w:val="20"/>
          <w:color w:val="auto"/>
        </w:rPr>
      </w:pPr>
    </w:p>
    <w:p>
      <w:pPr>
        <w:ind w:left="9480"/>
        <w:spacing w:after="0"/>
        <w:rPr>
          <w:sz w:val="20"/>
          <w:szCs w:val="20"/>
          <w:color w:val="auto"/>
        </w:rPr>
      </w:pPr>
      <w:r>
        <w:rPr>
          <w:rFonts w:ascii="Courier New" w:cs="Courier New" w:eastAsia="Courier New" w:hAnsi="Courier New"/>
          <w:sz w:val="14"/>
          <w:szCs w:val="14"/>
          <w:color w:val="auto"/>
        </w:rPr>
        <w:t>Over</w:t>
      </w:r>
    </w:p>
    <w:p>
      <w:pPr>
        <w:spacing w:after="0" w:line="7" w:lineRule="exact"/>
        <w:rPr>
          <w:sz w:val="20"/>
          <w:szCs w:val="20"/>
          <w:color w:val="auto"/>
        </w:rPr>
      </w:pPr>
    </w:p>
    <w:p>
      <w:pPr>
        <w:spacing w:after="0"/>
        <w:tabs>
          <w:tab w:leader="none" w:pos="4120" w:val="left"/>
          <w:tab w:leader="none" w:pos="5320" w:val="left"/>
          <w:tab w:leader="none" w:pos="6440" w:val="left"/>
          <w:tab w:leader="none" w:pos="7820" w:val="left"/>
          <w:tab w:leader="none" w:pos="9200" w:val="left"/>
          <w:tab w:leader="none" w:pos="10500" w:val="left"/>
        </w:tabs>
        <w:rPr>
          <w:sz w:val="20"/>
          <w:szCs w:val="20"/>
          <w:color w:val="auto"/>
        </w:rPr>
      </w:pPr>
      <w:r>
        <w:rPr>
          <w:rFonts w:ascii="Courier New" w:cs="Courier New" w:eastAsia="Courier New" w:hAnsi="Courier New"/>
          <w:sz w:val="14"/>
          <w:szCs w:val="14"/>
          <w:color w:val="auto"/>
        </w:rPr>
        <w:t>At December 31, 1995 (in millions)</w:t>
      </w:r>
      <w:r>
        <w:rPr>
          <w:sz w:val="20"/>
          <w:szCs w:val="20"/>
          <w:color w:val="auto"/>
        </w:rPr>
        <w:tab/>
      </w:r>
      <w:r>
        <w:rPr>
          <w:rFonts w:ascii="Courier New" w:cs="Courier New" w:eastAsia="Courier New" w:hAnsi="Courier New"/>
          <w:sz w:val="14"/>
          <w:szCs w:val="14"/>
          <w:color w:val="auto"/>
        </w:rPr>
        <w:t>1-3 Months</w:t>
      </w:r>
      <w:r>
        <w:rPr>
          <w:sz w:val="20"/>
          <w:szCs w:val="20"/>
          <w:color w:val="auto"/>
        </w:rPr>
        <w:tab/>
      </w:r>
      <w:r>
        <w:rPr>
          <w:rFonts w:ascii="Courier New" w:cs="Courier New" w:eastAsia="Courier New" w:hAnsi="Courier New"/>
          <w:sz w:val="14"/>
          <w:szCs w:val="14"/>
          <w:color w:val="auto"/>
        </w:rPr>
        <w:t>4-6 Months</w:t>
        <w:tab/>
        <w:t>7-12 Months</w:t>
      </w:r>
      <w:r>
        <w:rPr>
          <w:sz w:val="20"/>
          <w:szCs w:val="20"/>
          <w:color w:val="auto"/>
        </w:rPr>
        <w:tab/>
      </w:r>
      <w:r>
        <w:rPr>
          <w:rFonts w:ascii="Courier New" w:cs="Courier New" w:eastAsia="Courier New" w:hAnsi="Courier New"/>
          <w:sz w:val="14"/>
          <w:szCs w:val="14"/>
          <w:color w:val="auto"/>
        </w:rPr>
        <w:t>1-5 Years</w:t>
      </w:r>
      <w:r>
        <w:rPr>
          <w:sz w:val="20"/>
          <w:szCs w:val="20"/>
          <w:color w:val="auto"/>
        </w:rPr>
        <w:tab/>
      </w:r>
      <w:r>
        <w:rPr>
          <w:rFonts w:ascii="Courier New" w:cs="Courier New" w:eastAsia="Courier New" w:hAnsi="Courier New"/>
          <w:sz w:val="14"/>
          <w:szCs w:val="14"/>
          <w:color w:val="auto"/>
        </w:rPr>
        <w:t>5 Years</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Deposits With Banks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7,064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840</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277</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8,468</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Federal Funds Sold and Securities Purchased</w:t>
            </w:r>
          </w:p>
        </w:tc>
        <w:tc>
          <w:tcPr>
            <w:tcW w:w="1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060" w:type="dxa"/>
            <w:vAlign w:val="bottom"/>
          </w:tcPr>
          <w:p>
            <w:pPr>
              <w:ind w:left="360"/>
              <w:spacing w:after="0"/>
              <w:rPr>
                <w:sz w:val="20"/>
                <w:szCs w:val="20"/>
                <w:color w:val="auto"/>
              </w:rPr>
            </w:pPr>
            <w:r>
              <w:rPr>
                <w:rFonts w:ascii="Courier New" w:cs="Courier New" w:eastAsia="Courier New" w:hAnsi="Courier New"/>
                <w:sz w:val="14"/>
                <w:szCs w:val="14"/>
                <w:color w:val="auto"/>
              </w:rPr>
              <w:t>Under Resale Agreements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17,461</w:t>
            </w:r>
          </w:p>
        </w:tc>
        <w:tc>
          <w:tcPr>
            <w:tcW w:w="40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17,461</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Trading Assets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52,037</w:t>
            </w:r>
          </w:p>
        </w:tc>
        <w:tc>
          <w:tcPr>
            <w:tcW w:w="40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52,037</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Securities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4,105</w:t>
            </w:r>
          </w:p>
        </w:tc>
        <w:tc>
          <w:tcPr>
            <w:tcW w:w="40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1,929</w:t>
            </w:r>
          </w:p>
        </w:tc>
        <w:tc>
          <w:tcPr>
            <w:tcW w:w="4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2,276</w:t>
            </w:r>
          </w:p>
        </w:tc>
        <w:tc>
          <w:tcPr>
            <w:tcW w:w="3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16,536</w:t>
            </w:r>
          </w:p>
        </w:tc>
        <w:tc>
          <w:tcPr>
            <w:tcW w:w="3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16,923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41,769</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Loans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78,781</w:t>
            </w:r>
          </w:p>
        </w:tc>
        <w:tc>
          <w:tcPr>
            <w:tcW w:w="40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12,941</w:t>
            </w:r>
          </w:p>
        </w:tc>
        <w:tc>
          <w:tcPr>
            <w:tcW w:w="4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9,222</w:t>
            </w:r>
          </w:p>
        </w:tc>
        <w:tc>
          <w:tcPr>
            <w:tcW w:w="3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35,924</w:t>
            </w:r>
          </w:p>
        </w:tc>
        <w:tc>
          <w:tcPr>
            <w:tcW w:w="3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13,339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150,207</w:t>
            </w:r>
          </w:p>
        </w:tc>
      </w:tr>
      <w:tr>
        <w:trPr>
          <w:trHeight w:val="166"/>
        </w:trPr>
        <w:tc>
          <w:tcPr>
            <w:tcW w:w="4060" w:type="dxa"/>
            <w:vAlign w:val="bottom"/>
          </w:tcPr>
          <w:p>
            <w:pPr>
              <w:ind w:left="180"/>
              <w:spacing w:after="0"/>
              <w:rPr>
                <w:sz w:val="20"/>
                <w:szCs w:val="20"/>
                <w:color w:val="auto"/>
              </w:rPr>
            </w:pPr>
            <w:r>
              <w:rPr>
                <w:rFonts w:ascii="Courier New" w:cs="Courier New" w:eastAsia="Courier New" w:hAnsi="Courier New"/>
                <w:sz w:val="14"/>
                <w:szCs w:val="14"/>
                <w:color w:val="auto"/>
              </w:rPr>
              <w:t>Noninterest Earning Assets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13,675</w:t>
            </w:r>
          </w:p>
        </w:tc>
        <w:tc>
          <w:tcPr>
            <w:tcW w:w="40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436</w:t>
            </w:r>
          </w:p>
        </w:tc>
        <w:tc>
          <w:tcPr>
            <w:tcW w:w="4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903</w:t>
            </w:r>
          </w:p>
        </w:tc>
        <w:tc>
          <w:tcPr>
            <w:tcW w:w="38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3,708</w:t>
            </w:r>
          </w:p>
        </w:tc>
        <w:tc>
          <w:tcPr>
            <w:tcW w:w="38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34,047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$ 173,123</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$ 16,146</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$ 12,589</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$ 56,445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$ 45,686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$303,989</w:t>
            </w:r>
          </w:p>
        </w:tc>
      </w:tr>
    </w:tbl>
    <w:p>
      <w:pPr>
        <w:spacing w:after="0" w:line="4" w:lineRule="exact"/>
        <w:rPr>
          <w:sz w:val="20"/>
          <w:szCs w:val="20"/>
          <w:color w:val="auto"/>
        </w:rPr>
      </w:pPr>
    </w:p>
    <w:p>
      <w:pPr>
        <w:ind w:left="180" w:hanging="172"/>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Stockholders' Equity</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$ 104,090</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$ 11,208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$ 13,002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$ 21,003</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$ 22,231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$171,534</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Short-Term and Other Borrowings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49,043</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1,763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51,199</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4,026</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713</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3,128</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4,946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12,825</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34,366</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8</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13,143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47,595</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20,836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20,836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200" w:val="left"/>
          <w:tab w:leader="none" w:pos="5500" w:val="left"/>
          <w:tab w:leader="none" w:pos="6700" w:val="left"/>
          <w:tab w:leader="none" w:pos="7920" w:val="left"/>
          <w:tab w:leader="none" w:pos="9120" w:val="left"/>
          <w:tab w:leader="none" w:pos="10240" w:val="left"/>
        </w:tabs>
        <w:rPr>
          <w:sz w:val="20"/>
          <w:szCs w:val="20"/>
          <w:color w:val="auto"/>
        </w:rPr>
      </w:pPr>
      <w:r>
        <w:rPr>
          <w:rFonts w:ascii="Courier New" w:cs="Courier New" w:eastAsia="Courier New" w:hAnsi="Courier New"/>
          <w:sz w:val="14"/>
          <w:szCs w:val="14"/>
          <w:color w:val="auto"/>
        </w:rPr>
        <w:t>Total Liabilities and Stockholders' Equity</w:t>
      </w:r>
      <w:r>
        <w:rPr>
          <w:sz w:val="20"/>
          <w:szCs w:val="20"/>
          <w:color w:val="auto"/>
        </w:rPr>
        <w:tab/>
      </w:r>
      <w:r>
        <w:rPr>
          <w:rFonts w:ascii="Courier New" w:cs="Courier New" w:eastAsia="Courier New" w:hAnsi="Courier New"/>
          <w:sz w:val="14"/>
          <w:szCs w:val="14"/>
          <w:color w:val="auto"/>
        </w:rPr>
        <w:t>$ 191,525</w:t>
      </w:r>
      <w:r>
        <w:rPr>
          <w:sz w:val="20"/>
          <w:szCs w:val="20"/>
          <w:color w:val="auto"/>
        </w:rPr>
        <w:tab/>
      </w:r>
      <w:r>
        <w:rPr>
          <w:rFonts w:ascii="Courier New" w:cs="Courier New" w:eastAsia="Courier New" w:hAnsi="Courier New"/>
          <w:sz w:val="14"/>
          <w:szCs w:val="14"/>
          <w:color w:val="auto"/>
        </w:rPr>
        <w:t>$ 13,692</w:t>
      </w:r>
      <w:r>
        <w:rPr>
          <w:sz w:val="20"/>
          <w:szCs w:val="20"/>
          <w:color w:val="auto"/>
        </w:rPr>
        <w:tab/>
      </w:r>
      <w:r>
        <w:rPr>
          <w:rFonts w:ascii="Courier New" w:cs="Courier New" w:eastAsia="Courier New" w:hAnsi="Courier New"/>
          <w:sz w:val="14"/>
          <w:szCs w:val="14"/>
          <w:color w:val="auto"/>
        </w:rPr>
        <w:t>$ 13,389</w:t>
      </w:r>
      <w:r>
        <w:rPr>
          <w:sz w:val="20"/>
          <w:szCs w:val="20"/>
          <w:color w:val="auto"/>
        </w:rPr>
        <w:tab/>
      </w:r>
      <w:r>
        <w:rPr>
          <w:rFonts w:ascii="Courier New" w:cs="Courier New" w:eastAsia="Courier New" w:hAnsi="Courier New"/>
          <w:sz w:val="14"/>
          <w:szCs w:val="14"/>
          <w:color w:val="auto"/>
        </w:rPr>
        <w:t>$ 24,206</w:t>
      </w:r>
      <w:r>
        <w:rPr>
          <w:sz w:val="20"/>
          <w:szCs w:val="20"/>
          <w:color w:val="auto"/>
        </w:rPr>
        <w:tab/>
      </w:r>
      <w:r>
        <w:rPr>
          <w:rFonts w:ascii="Courier New" w:cs="Courier New" w:eastAsia="Courier New" w:hAnsi="Courier New"/>
          <w:sz w:val="14"/>
          <w:szCs w:val="14"/>
          <w:color w:val="auto"/>
        </w:rPr>
        <w:t>$ 61,177</w:t>
      </w:r>
      <w:r>
        <w:rPr>
          <w:sz w:val="20"/>
          <w:szCs w:val="20"/>
          <w:color w:val="auto"/>
        </w:rPr>
        <w:tab/>
      </w:r>
      <w:r>
        <w:rPr>
          <w:rFonts w:ascii="Courier New" w:cs="Courier New" w:eastAsia="Courier New" w:hAnsi="Courier New"/>
          <w:sz w:val="14"/>
          <w:szCs w:val="14"/>
          <w:color w:val="auto"/>
        </w:rPr>
        <w:t>$303,989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380" w:val="left"/>
          <w:tab w:leader="none" w:pos="5760" w:val="left"/>
          <w:tab w:leader="none" w:pos="7060" w:val="left"/>
          <w:tab w:leader="none" w:pos="8080" w:val="left"/>
          <w:tab w:leader="none" w:pos="9200" w:val="left"/>
          <w:tab w:leader="none" w:pos="10760" w:val="left"/>
        </w:tabs>
        <w:rPr>
          <w:sz w:val="20"/>
          <w:szCs w:val="20"/>
          <w:color w:val="auto"/>
        </w:rPr>
      </w:pPr>
      <w:r>
        <w:rPr>
          <w:rFonts w:ascii="Courier New" w:cs="Courier New" w:eastAsia="Courier New" w:hAnsi="Courier New"/>
          <w:sz w:val="14"/>
          <w:szCs w:val="14"/>
          <w:color w:val="auto"/>
        </w:rPr>
        <w:t>Balance Sheet</w:t>
      </w:r>
      <w:r>
        <w:rPr>
          <w:sz w:val="20"/>
          <w:szCs w:val="20"/>
          <w:color w:val="auto"/>
        </w:rPr>
        <w:tab/>
      </w:r>
      <w:r>
        <w:rPr>
          <w:rFonts w:ascii="Courier New" w:cs="Courier New" w:eastAsia="Courier New" w:hAnsi="Courier New"/>
          <w:sz w:val="14"/>
          <w:szCs w:val="14"/>
          <w:color w:val="auto"/>
        </w:rPr>
        <w:t>(18,402)</w:t>
      </w:r>
      <w:r>
        <w:rPr>
          <w:sz w:val="20"/>
          <w:szCs w:val="20"/>
          <w:color w:val="auto"/>
        </w:rPr>
        <w:tab/>
      </w:r>
      <w:r>
        <w:rPr>
          <w:rFonts w:ascii="Courier New" w:cs="Courier New" w:eastAsia="Courier New" w:hAnsi="Courier New"/>
          <w:sz w:val="14"/>
          <w:szCs w:val="14"/>
          <w:color w:val="auto"/>
        </w:rPr>
        <w:t>2,454</w:t>
      </w:r>
      <w:r>
        <w:rPr>
          <w:sz w:val="20"/>
          <w:szCs w:val="20"/>
          <w:color w:val="auto"/>
        </w:rPr>
        <w:tab/>
      </w:r>
      <w:r>
        <w:rPr>
          <w:rFonts w:ascii="Courier New" w:cs="Courier New" w:eastAsia="Courier New" w:hAnsi="Courier New"/>
          <w:sz w:val="14"/>
          <w:szCs w:val="14"/>
          <w:color w:val="auto"/>
        </w:rPr>
        <w:t>(800)</w:t>
      </w:r>
      <w:r>
        <w:rPr>
          <w:sz w:val="20"/>
          <w:szCs w:val="20"/>
          <w:color w:val="auto"/>
        </w:rPr>
        <w:tab/>
      </w:r>
      <w:r>
        <w:rPr>
          <w:rFonts w:ascii="Courier New" w:cs="Courier New" w:eastAsia="Courier New" w:hAnsi="Courier New"/>
          <w:sz w:val="14"/>
          <w:szCs w:val="14"/>
          <w:color w:val="auto"/>
        </w:rPr>
        <w:t>32,239</w:t>
      </w:r>
      <w:r>
        <w:rPr>
          <w:sz w:val="20"/>
          <w:szCs w:val="20"/>
          <w:color w:val="auto"/>
        </w:rPr>
        <w:tab/>
      </w:r>
      <w:r>
        <w:rPr>
          <w:rFonts w:ascii="Courier New" w:cs="Courier New" w:eastAsia="Courier New" w:hAnsi="Courier New"/>
          <w:sz w:val="14"/>
          <w:szCs w:val="14"/>
          <w:color w:val="auto"/>
        </w:rPr>
        <w:t>(15,491)</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 Instruments Affecting</w:t>
      </w:r>
    </w:p>
    <w:p>
      <w:pPr>
        <w:spacing w:after="0" w:line="7" w:lineRule="exact"/>
        <w:rPr>
          <w:sz w:val="20"/>
          <w:szCs w:val="20"/>
          <w:color w:val="auto"/>
        </w:rPr>
      </w:pPr>
    </w:p>
    <w:p>
      <w:pPr>
        <w:ind w:left="180"/>
        <w:spacing w:after="0"/>
        <w:tabs>
          <w:tab w:leader="none" w:pos="4640" w:val="left"/>
          <w:tab w:leader="none" w:pos="5840" w:val="left"/>
          <w:tab w:leader="none" w:pos="6880" w:val="left"/>
          <w:tab w:leader="none" w:pos="8080" w:val="left"/>
          <w:tab w:leader="none" w:pos="9380" w:val="left"/>
          <w:tab w:leader="none" w:pos="10760" w:val="left"/>
        </w:tabs>
        <w:rPr>
          <w:sz w:val="20"/>
          <w:szCs w:val="20"/>
          <w:color w:val="auto"/>
        </w:rPr>
      </w:pPr>
      <w:r>
        <w:rPr>
          <w:rFonts w:ascii="Courier New" w:cs="Courier New" w:eastAsia="Courier New" w:hAnsi="Courier New"/>
          <w:sz w:val="14"/>
          <w:szCs w:val="14"/>
          <w:color w:val="auto"/>
        </w:rPr>
        <w:t>Interest-Rate Sensitivity(a)</w:t>
      </w:r>
      <w:r>
        <w:rPr>
          <w:sz w:val="20"/>
          <w:szCs w:val="20"/>
          <w:color w:val="auto"/>
        </w:rPr>
        <w:tab/>
      </w:r>
      <w:r>
        <w:rPr>
          <w:rFonts w:ascii="Courier New" w:cs="Courier New" w:eastAsia="Courier New" w:hAnsi="Courier New"/>
          <w:sz w:val="14"/>
          <w:szCs w:val="14"/>
          <w:color w:val="auto"/>
        </w:rPr>
        <w:t>(787)</w:t>
      </w:r>
      <w:r>
        <w:rPr>
          <w:sz w:val="20"/>
          <w:szCs w:val="20"/>
          <w:color w:val="auto"/>
        </w:rPr>
        <w:tab/>
      </w:r>
      <w:r>
        <w:rPr>
          <w:rFonts w:ascii="Courier New" w:cs="Courier New" w:eastAsia="Courier New" w:hAnsi="Courier New"/>
          <w:sz w:val="14"/>
          <w:szCs w:val="14"/>
          <w:color w:val="auto"/>
        </w:rPr>
        <w:t>(799)</w:t>
      </w:r>
      <w:r>
        <w:rPr>
          <w:sz w:val="20"/>
          <w:szCs w:val="20"/>
          <w:color w:val="auto"/>
        </w:rPr>
        <w:tab/>
      </w:r>
      <w:r>
        <w:rPr>
          <w:rFonts w:ascii="Courier New" w:cs="Courier New" w:eastAsia="Courier New" w:hAnsi="Courier New"/>
          <w:sz w:val="14"/>
          <w:szCs w:val="14"/>
          <w:color w:val="auto"/>
        </w:rPr>
        <w:t>(3,137)</w:t>
      </w:r>
      <w:r>
        <w:rPr>
          <w:sz w:val="20"/>
          <w:szCs w:val="20"/>
          <w:color w:val="auto"/>
        </w:rPr>
        <w:tab/>
      </w:r>
      <w:r>
        <w:rPr>
          <w:rFonts w:ascii="Courier New" w:cs="Courier New" w:eastAsia="Courier New" w:hAnsi="Courier New"/>
          <w:sz w:val="14"/>
          <w:szCs w:val="14"/>
          <w:color w:val="auto"/>
        </w:rPr>
        <w:t>(1,945)</w:t>
      </w:r>
      <w:r>
        <w:rPr>
          <w:sz w:val="20"/>
          <w:szCs w:val="20"/>
          <w:color w:val="auto"/>
        </w:rPr>
        <w:tab/>
      </w:r>
      <w:r>
        <w:rPr>
          <w:rFonts w:ascii="Courier New" w:cs="Courier New" w:eastAsia="Courier New" w:hAnsi="Courier New"/>
          <w:sz w:val="14"/>
          <w:szCs w:val="14"/>
          <w:color w:val="auto"/>
        </w:rPr>
        <w:t>6,668</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380" w:val="left"/>
          <w:tab w:leader="none" w:pos="5760" w:val="left"/>
          <w:tab w:leader="none" w:pos="6880" w:val="left"/>
          <w:tab w:leader="none" w:pos="8080" w:val="left"/>
          <w:tab w:leader="none" w:pos="9300" w:val="left"/>
          <w:tab w:leader="none" w:pos="10760" w:val="left"/>
        </w:tabs>
        <w:rPr>
          <w:sz w:val="20"/>
          <w:szCs w:val="20"/>
          <w:color w:val="auto"/>
        </w:rPr>
      </w:pPr>
      <w:r>
        <w:rPr>
          <w:rFonts w:ascii="Courier New" w:cs="Courier New" w:eastAsia="Courier New" w:hAnsi="Courier New"/>
          <w:sz w:val="14"/>
          <w:szCs w:val="14"/>
          <w:color w:val="auto"/>
        </w:rPr>
        <w:t>Interest-Rate-Sensitivity Gap</w:t>
      </w:r>
      <w:r>
        <w:rPr>
          <w:sz w:val="20"/>
          <w:szCs w:val="20"/>
          <w:color w:val="auto"/>
        </w:rPr>
        <w:tab/>
      </w:r>
      <w:r>
        <w:rPr>
          <w:rFonts w:ascii="Courier New" w:cs="Courier New" w:eastAsia="Courier New" w:hAnsi="Courier New"/>
          <w:sz w:val="14"/>
          <w:szCs w:val="14"/>
          <w:color w:val="auto"/>
        </w:rPr>
        <w:t>(19,189)</w:t>
      </w:r>
      <w:r>
        <w:rPr>
          <w:sz w:val="20"/>
          <w:szCs w:val="20"/>
          <w:color w:val="auto"/>
        </w:rPr>
        <w:tab/>
      </w:r>
      <w:r>
        <w:rPr>
          <w:rFonts w:ascii="Courier New" w:cs="Courier New" w:eastAsia="Courier New" w:hAnsi="Courier New"/>
          <w:sz w:val="14"/>
          <w:szCs w:val="14"/>
          <w:color w:val="auto"/>
        </w:rPr>
        <w:t>1,655</w:t>
      </w:r>
      <w:r>
        <w:rPr>
          <w:sz w:val="20"/>
          <w:szCs w:val="20"/>
          <w:color w:val="auto"/>
        </w:rPr>
        <w:tab/>
      </w:r>
      <w:r>
        <w:rPr>
          <w:rFonts w:ascii="Courier New" w:cs="Courier New" w:eastAsia="Courier New" w:hAnsi="Courier New"/>
          <w:sz w:val="14"/>
          <w:szCs w:val="14"/>
          <w:color w:val="auto"/>
        </w:rPr>
        <w:t>(3,937)</w:t>
      </w:r>
      <w:r>
        <w:rPr>
          <w:sz w:val="20"/>
          <w:szCs w:val="20"/>
          <w:color w:val="auto"/>
        </w:rPr>
        <w:tab/>
      </w:r>
      <w:r>
        <w:rPr>
          <w:rFonts w:ascii="Courier New" w:cs="Courier New" w:eastAsia="Courier New" w:hAnsi="Courier New"/>
          <w:sz w:val="14"/>
          <w:szCs w:val="14"/>
          <w:color w:val="auto"/>
        </w:rPr>
        <w:t>30,294</w:t>
      </w:r>
      <w:r>
        <w:rPr>
          <w:sz w:val="20"/>
          <w:szCs w:val="20"/>
          <w:color w:val="auto"/>
        </w:rPr>
        <w:tab/>
      </w:r>
      <w:r>
        <w:rPr>
          <w:rFonts w:ascii="Courier New" w:cs="Courier New" w:eastAsia="Courier New" w:hAnsi="Courier New"/>
          <w:sz w:val="14"/>
          <w:szCs w:val="14"/>
          <w:color w:val="auto"/>
        </w:rPr>
        <w:t>(8,823)</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200" w:val="left"/>
          <w:tab w:leader="none" w:pos="5500" w:val="left"/>
          <w:tab w:leader="none" w:pos="6700" w:val="left"/>
          <w:tab w:leader="none" w:pos="7920" w:val="left"/>
          <w:tab w:leader="none" w:pos="8180" w:val="left"/>
          <w:tab w:leader="none" w:pos="9120" w:val="left"/>
          <w:tab w:leader="none" w:pos="9640" w:val="left"/>
          <w:tab w:leader="none" w:pos="10240" w:val="left"/>
          <w:tab w:leader="none" w:pos="10760" w:val="left"/>
        </w:tabs>
        <w:rPr>
          <w:sz w:val="20"/>
          <w:szCs w:val="20"/>
          <w:color w:val="auto"/>
        </w:rPr>
      </w:pPr>
      <w:r>
        <w:rPr>
          <w:rFonts w:ascii="Courier New" w:cs="Courier New" w:eastAsia="Courier New" w:hAnsi="Courier New"/>
          <w:sz w:val="14"/>
          <w:szCs w:val="14"/>
          <w:color w:val="auto"/>
        </w:rPr>
        <w:t>Cumulative Interest-Rate Sensitivity Gap</w:t>
      </w:r>
      <w:r>
        <w:rPr>
          <w:sz w:val="20"/>
          <w:szCs w:val="20"/>
          <w:color w:val="auto"/>
        </w:rPr>
        <w:tab/>
      </w:r>
      <w:r>
        <w:rPr>
          <w:rFonts w:ascii="Courier New" w:cs="Courier New" w:eastAsia="Courier New" w:hAnsi="Courier New"/>
          <w:sz w:val="14"/>
          <w:szCs w:val="14"/>
          <w:color w:val="auto"/>
        </w:rPr>
        <w:t>$ (19,189)</w:t>
      </w:r>
      <w:r>
        <w:rPr>
          <w:sz w:val="20"/>
          <w:szCs w:val="20"/>
          <w:color w:val="auto"/>
        </w:rPr>
        <w:tab/>
      </w:r>
      <w:r>
        <w:rPr>
          <w:rFonts w:ascii="Courier New" w:cs="Courier New" w:eastAsia="Courier New" w:hAnsi="Courier New"/>
          <w:sz w:val="14"/>
          <w:szCs w:val="14"/>
          <w:color w:val="auto"/>
        </w:rPr>
        <w:t>$(17,534)</w:t>
      </w:r>
      <w:r>
        <w:rPr>
          <w:sz w:val="20"/>
          <w:szCs w:val="20"/>
          <w:color w:val="auto"/>
        </w:rPr>
        <w:tab/>
      </w:r>
      <w:r>
        <w:rPr>
          <w:rFonts w:ascii="Courier New" w:cs="Courier New" w:eastAsia="Courier New" w:hAnsi="Courier New"/>
          <w:sz w:val="14"/>
          <w:szCs w:val="14"/>
          <w:color w:val="auto"/>
        </w:rPr>
        <w:t>$(21,471)</w:t>
      </w:r>
      <w:r>
        <w:rPr>
          <w:sz w:val="20"/>
          <w:szCs w:val="20"/>
          <w:color w:val="auto"/>
        </w:rPr>
        <w:tab/>
      </w:r>
      <w:r>
        <w:rPr>
          <w:rFonts w:ascii="Courier New" w:cs="Courier New" w:eastAsia="Courier New" w:hAnsi="Courier New"/>
          <w:sz w:val="14"/>
          <w:szCs w:val="14"/>
          <w:color w:val="auto"/>
        </w:rPr>
        <w:t>$</w:t>
        <w:tab/>
        <w:t>8,823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820" w:val="left"/>
          <w:tab w:leader="none" w:pos="6020" w:val="left"/>
          <w:tab w:leader="none" w:pos="7220" w:val="left"/>
          <w:tab w:leader="none" w:pos="8520" w:val="left"/>
          <w:tab w:leader="none" w:pos="9640" w:val="left"/>
          <w:tab w:leader="none" w:pos="10760" w:val="left"/>
        </w:tabs>
        <w:rPr>
          <w:sz w:val="20"/>
          <w:szCs w:val="20"/>
          <w:color w:val="auto"/>
        </w:rPr>
      </w:pPr>
      <w:r>
        <w:rPr>
          <w:rFonts w:ascii="Courier New" w:cs="Courier New" w:eastAsia="Courier New" w:hAnsi="Courier New"/>
          <w:sz w:val="14"/>
          <w:szCs w:val="14"/>
          <w:color w:val="auto"/>
        </w:rPr>
        <w:t>% of Total Assets</w:t>
      </w:r>
      <w:r>
        <w:rPr>
          <w:sz w:val="20"/>
          <w:szCs w:val="20"/>
          <w:color w:val="auto"/>
        </w:rPr>
        <w:tab/>
      </w: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220" w:firstLine="8"/>
        <w:spacing w:after="0" w:line="252" w:lineRule="auto"/>
        <w:tabs>
          <w:tab w:leader="none" w:pos="344"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net repricing effect of derivative positions, which include interest rate swaps, futures, forward rate agreements and options, that are used as part of the Corporation's overall asset/liability management activities.</w:t>
      </w:r>
    </w:p>
    <w:p>
      <w:pPr>
        <w:spacing w:after="0" w:line="163" w:lineRule="exact"/>
        <w:rPr>
          <w:sz w:val="20"/>
          <w:szCs w:val="20"/>
          <w:color w:val="auto"/>
        </w:rPr>
      </w:pPr>
    </w:p>
    <w:p>
      <w:pPr>
        <w:ind w:right="4300" w:firstLine="258"/>
        <w:spacing w:after="0" w:line="251" w:lineRule="auto"/>
        <w:rPr>
          <w:sz w:val="20"/>
          <w:szCs w:val="20"/>
          <w:color w:val="auto"/>
        </w:rPr>
      </w:pPr>
      <w:r>
        <w:rPr>
          <w:rFonts w:ascii="Courier New" w:cs="Courier New" w:eastAsia="Courier New" w:hAnsi="Courier New"/>
          <w:sz w:val="14"/>
          <w:szCs w:val="14"/>
          <w:color w:val="auto"/>
        </w:rPr>
        <w:t>At December 31, 1995, the Corporation had $21,471 million more liabilities than assets repricing within one year (including net repricing effect of derivative positions), amounting to 7% of total assets. The consolidated gaps include exposure to U.S. dollar interest rates as well as exposure to non-U.S. dollar rates in currency markets in which the Corporation does business. Since U.S. interest rates and non-U.S. interest rates may not move in tandem, the overall cumulative gaps may tend to overstate the exposures of the Corporation.</w:t>
      </w:r>
    </w:p>
    <w:p>
      <w:pPr>
        <w:spacing w:after="0" w:line="164" w:lineRule="exact"/>
        <w:rPr>
          <w:sz w:val="20"/>
          <w:szCs w:val="20"/>
          <w:color w:val="auto"/>
        </w:rPr>
      </w:pPr>
    </w:p>
    <w:p>
      <w:pPr>
        <w:ind w:right="4400" w:firstLine="258"/>
        <w:spacing w:after="0" w:line="251" w:lineRule="auto"/>
        <w:rPr>
          <w:sz w:val="20"/>
          <w:szCs w:val="20"/>
          <w:color w:val="auto"/>
        </w:rPr>
      </w:pPr>
      <w:r>
        <w:rPr>
          <w:rFonts w:ascii="Courier New" w:cs="Courier New" w:eastAsia="Courier New" w:hAnsi="Courier New"/>
          <w:sz w:val="14"/>
          <w:szCs w:val="14"/>
          <w:color w:val="auto"/>
        </w:rPr>
        <w:t>Gap analysis is the simplest representation of the Corporation's interest rate sensitivity. However, it cannot reveal the impact of factors such as administered rates (e.g., the prime lending rate), pricing strategies on consumer and business deposits, changes in balance sheet mix, or the effect of various options embedded in balance sheet instruments. Accordingly, the Asset and Liability Policy Committee conducts simulations of net interest income</w:t>
      </w:r>
    </w:p>
    <w:p>
      <w:pPr>
        <w:sectPr>
          <w:pgSz w:w="11900" w:h="16838" w:orient="portrait"/>
          <w:cols w:equalWidth="0" w:num="1">
            <w:col w:w="11120"/>
          </w:cols>
          <w:pgMar w:left="220" w:top="285" w:right="559" w:bottom="94"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1120"/>
          </w:cols>
          <w:pgMar w:left="220" w:top="285" w:right="559" w:bottom="94"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24</w:t>
      </w:r>
    </w:p>
    <w:p>
      <w:pPr>
        <w:spacing w:after="0" w:line="7" w:lineRule="exact"/>
        <w:rPr>
          <w:sz w:val="20"/>
          <w:szCs w:val="20"/>
          <w:color w:val="auto"/>
        </w:rPr>
      </w:pPr>
    </w:p>
    <w:p>
      <w:pPr>
        <w:jc w:val="right"/>
        <w:ind w:right="3440"/>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jc w:val="right"/>
        <w:ind w:right="3440"/>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20"/>
        <w:spacing w:after="0" w:line="252" w:lineRule="auto"/>
        <w:rPr>
          <w:sz w:val="20"/>
          <w:szCs w:val="20"/>
          <w:color w:val="auto"/>
        </w:rPr>
      </w:pPr>
      <w:r>
        <w:rPr>
          <w:rFonts w:ascii="Courier New" w:cs="Courier New" w:eastAsia="Courier New" w:hAnsi="Courier New"/>
          <w:sz w:val="14"/>
          <w:szCs w:val="14"/>
          <w:color w:val="auto"/>
        </w:rPr>
        <w:t>under a variety of market interest rate scenarios. These simulations which consider forecasted balance sheet changes, such as asset sales/securitizations, and forecasted changes in interest rate spreads provide the Committee with an estimate of earnings at risk for given changes in interest rates.</w:t>
      </w:r>
    </w:p>
    <w:p>
      <w:pPr>
        <w:spacing w:after="0" w:line="162" w:lineRule="exact"/>
        <w:rPr>
          <w:sz w:val="20"/>
          <w:szCs w:val="20"/>
          <w:color w:val="auto"/>
        </w:rPr>
      </w:pPr>
    </w:p>
    <w:p>
      <w:pPr>
        <w:ind w:right="3440" w:firstLine="258"/>
        <w:spacing w:after="0" w:line="251" w:lineRule="auto"/>
        <w:rPr>
          <w:sz w:val="20"/>
          <w:szCs w:val="20"/>
          <w:color w:val="auto"/>
        </w:rPr>
      </w:pPr>
      <w:r>
        <w:rPr>
          <w:rFonts w:ascii="Courier New" w:cs="Courier New" w:eastAsia="Courier New" w:hAnsi="Courier New"/>
          <w:sz w:val="14"/>
          <w:szCs w:val="14"/>
          <w:color w:val="auto"/>
        </w:rPr>
        <w:t>At December 31, 1995, based on these simulations, earnings at risk to an immediate 100 basis point rise in market interest rates was estimated to be less than three percent of projected 1996 after-tax net income (excluding the merger-related restructuring charge). An immediate 100 basis point rise in interest rates is a hypothetical rate scenario, used to calibrate risk, and does not necessarily represent management's current view of future market developments.</w:t>
      </w:r>
    </w:p>
    <w:p>
      <w:pPr>
        <w:spacing w:after="0" w:line="330" w:lineRule="exact"/>
        <w:rPr>
          <w:sz w:val="20"/>
          <w:szCs w:val="20"/>
          <w:color w:val="auto"/>
        </w:rPr>
      </w:pPr>
    </w:p>
    <w:p>
      <w:pPr>
        <w:ind w:right="3440" w:firstLine="258"/>
        <w:spacing w:after="0" w:line="251" w:lineRule="auto"/>
        <w:rPr>
          <w:sz w:val="20"/>
          <w:szCs w:val="20"/>
          <w:color w:val="auto"/>
        </w:rPr>
      </w:pPr>
      <w:r>
        <w:rPr>
          <w:rFonts w:ascii="Courier New" w:cs="Courier New" w:eastAsia="Courier New" w:hAnsi="Courier New"/>
          <w:sz w:val="14"/>
          <w:szCs w:val="14"/>
          <w:color w:val="auto"/>
        </w:rPr>
        <w:t>All the measurements of risk described above are made based upon the Corporation's business mix and interest rate exposures at the particular point in time. The exposures change continuously as a result of the Corporation's ongoing business and its risk management initiatives. While management believes these measures provide a meaningful representation of the Corporation's interest rate sensitivity, they do not necessarily take into account all business developments that have an effect on net income, such as changes in credit quality or the size and composition of the balance sheet.</w:t>
      </w:r>
    </w:p>
    <w:p>
      <w:pPr>
        <w:spacing w:after="0" w:line="164" w:lineRule="exact"/>
        <w:rPr>
          <w:sz w:val="20"/>
          <w:szCs w:val="20"/>
          <w:color w:val="auto"/>
        </w:rPr>
      </w:pPr>
    </w:p>
    <w:p>
      <w:pPr>
        <w:ind w:right="3440"/>
        <w:spacing w:after="0" w:line="251" w:lineRule="auto"/>
        <w:rPr>
          <w:sz w:val="20"/>
          <w:szCs w:val="20"/>
          <w:color w:val="auto"/>
        </w:rPr>
      </w:pPr>
      <w:r>
        <w:rPr>
          <w:rFonts w:ascii="Courier New" w:cs="Courier New" w:eastAsia="Courier New" w:hAnsi="Courier New"/>
          <w:sz w:val="14"/>
          <w:szCs w:val="14"/>
          <w:color w:val="auto"/>
        </w:rPr>
        <w:t>Interest rate swaps: Interest rate swaps are one of the various financial instruments used in the Corporation's ALM activities. Although the Corporation believes the results of its ALM activities should be evaluated on an integrated basis, taking into consideration all on-balance sheet and related derivative instruments and not a specific group of financial instruments, the interest rate swap maturity table, which follows, provides an indication of the Corporation's interest rate swap activity.</w:t>
      </w:r>
    </w:p>
    <w:p>
      <w:pPr>
        <w:spacing w:after="0" w:line="164" w:lineRule="exact"/>
        <w:rPr>
          <w:sz w:val="20"/>
          <w:szCs w:val="20"/>
          <w:color w:val="auto"/>
        </w:rPr>
      </w:pPr>
    </w:p>
    <w:p>
      <w:pPr>
        <w:ind w:right="3440" w:firstLine="258"/>
        <w:spacing w:after="0" w:line="251" w:lineRule="auto"/>
        <w:rPr>
          <w:sz w:val="20"/>
          <w:szCs w:val="20"/>
          <w:color w:val="auto"/>
        </w:rPr>
      </w:pPr>
      <w:r>
        <w:rPr>
          <w:rFonts w:ascii="Courier New" w:cs="Courier New" w:eastAsia="Courier New" w:hAnsi="Courier New"/>
          <w:sz w:val="14"/>
          <w:szCs w:val="14"/>
          <w:color w:val="auto"/>
        </w:rPr>
        <w:t>The following table summarizes the outstanding ALM interest rate swap notional amounts at December 31, 1995, by yearly intervals. The decrease in notional amounts from one period to the next period represents maturities of the underlying contracts. The weighted-average interest rates to be received and paid on such swaps are presented for each yearly interval. Variable rates presented are generally based on the short-term interest rates for relevant currencies such as the London Interbank Offered Rate (LIBOR). Basis swaps are interest rate swaps based on two floating rate indices (e.g., LIBOR and prime).</w:t>
      </w:r>
    </w:p>
    <w:p>
      <w:pPr>
        <w:spacing w:after="0" w:line="164" w:lineRule="exact"/>
        <w:rPr>
          <w:sz w:val="20"/>
          <w:szCs w:val="20"/>
          <w:color w:val="auto"/>
        </w:rPr>
      </w:pPr>
    </w:p>
    <w:p>
      <w:pPr>
        <w:ind w:right="3440" w:firstLine="258"/>
        <w:spacing w:after="0" w:line="251" w:lineRule="auto"/>
        <w:rPr>
          <w:sz w:val="20"/>
          <w:szCs w:val="20"/>
          <w:color w:val="auto"/>
        </w:rPr>
      </w:pPr>
      <w:r>
        <w:rPr>
          <w:rFonts w:ascii="Courier New" w:cs="Courier New" w:eastAsia="Courier New" w:hAnsi="Courier New"/>
          <w:sz w:val="14"/>
          <w:szCs w:val="14"/>
          <w:color w:val="auto"/>
        </w:rPr>
        <w:t>The table was prepared under the assumption that variable interest rates remain constant at December 31, 1995 levels and, accordingly, the actual interest rates to be received or paid will be different to the extent that such variable rates fluctuate from December 31, 1995 levels. However, the Corporation expects the impact of any interest rate changes to be largely mitigated by corresponding changes in the interest rates and values associated with the linked assets and liabilities.</w:t>
      </w:r>
    </w:p>
    <w:p>
      <w:pPr>
        <w:spacing w:after="0" w:line="164" w:lineRule="exact"/>
        <w:rPr>
          <w:sz w:val="20"/>
          <w:szCs w:val="20"/>
          <w:color w:val="auto"/>
        </w:rPr>
      </w:pPr>
    </w:p>
    <w:p>
      <w:pPr>
        <w:ind w:right="3440"/>
        <w:spacing w:after="0" w:line="255" w:lineRule="auto"/>
        <w:rPr>
          <w:sz w:val="20"/>
          <w:szCs w:val="20"/>
          <w:color w:val="auto"/>
        </w:rPr>
      </w:pPr>
      <w:r>
        <w:rPr>
          <w:rFonts w:ascii="Courier New" w:cs="Courier New" w:eastAsia="Courier New" w:hAnsi="Courier New"/>
          <w:sz w:val="14"/>
          <w:szCs w:val="14"/>
          <w:color w:val="auto"/>
        </w:rPr>
        <w:t>OUTSTANDING INTEREST RATE SWAPS NOTIONAL AMOUNTS AND RECEIVE/PAY RATES BY YEARLY INTERVALS</w:t>
      </w:r>
    </w:p>
    <w:p>
      <w:pPr>
        <w:spacing w:after="0" w:line="200" w:lineRule="exact"/>
        <w:rPr>
          <w:sz w:val="20"/>
          <w:szCs w:val="20"/>
          <w:color w:val="auto"/>
        </w:rPr>
      </w:pPr>
    </w:p>
    <w:p>
      <w:pPr>
        <w:spacing w:after="0" w:line="291" w:lineRule="exact"/>
        <w:rPr>
          <w:sz w:val="20"/>
          <w:szCs w:val="20"/>
          <w:color w:val="auto"/>
        </w:rPr>
      </w:pPr>
    </w:p>
    <w:p>
      <w:pPr>
        <w:spacing w:after="0"/>
        <w:tabs>
          <w:tab w:leader="none" w:pos="4640" w:val="left"/>
          <w:tab w:leader="none" w:pos="5680" w:val="left"/>
          <w:tab w:leader="none" w:pos="6700" w:val="left"/>
          <w:tab w:leader="none" w:pos="7740" w:val="left"/>
          <w:tab w:leader="none" w:pos="8780" w:val="left"/>
          <w:tab w:leader="none" w:pos="9300" w:val="left"/>
        </w:tabs>
        <w:rPr>
          <w:sz w:val="20"/>
          <w:szCs w:val="20"/>
          <w:color w:val="auto"/>
        </w:rPr>
      </w:pPr>
      <w:r>
        <w:rPr>
          <w:rFonts w:ascii="Courier New" w:cs="Courier New" w:eastAsia="Courier New" w:hAnsi="Courier New"/>
          <w:sz w:val="14"/>
          <w:szCs w:val="14"/>
          <w:color w:val="auto"/>
        </w:rPr>
        <w:t>For the Year Beginning January 1, (in millions)</w:t>
      </w:r>
      <w:r>
        <w:rPr>
          <w:sz w:val="20"/>
          <w:szCs w:val="20"/>
          <w:color w:val="auto"/>
        </w:rPr>
        <w:tab/>
      </w:r>
      <w:r>
        <w:rPr>
          <w:rFonts w:ascii="Courier New" w:cs="Courier New" w:eastAsia="Courier New" w:hAnsi="Courier New"/>
          <w:sz w:val="14"/>
          <w:szCs w:val="14"/>
          <w:color w:val="auto"/>
        </w:rPr>
        <w:t>1996</w:t>
      </w:r>
      <w:r>
        <w:rPr>
          <w:sz w:val="20"/>
          <w:szCs w:val="20"/>
          <w:color w:val="auto"/>
        </w:rPr>
        <w:tab/>
      </w:r>
      <w:r>
        <w:rPr>
          <w:rFonts w:ascii="Courier New" w:cs="Courier New" w:eastAsia="Courier New" w:hAnsi="Courier New"/>
          <w:sz w:val="14"/>
          <w:szCs w:val="14"/>
          <w:color w:val="auto"/>
        </w:rPr>
        <w:t>1997</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2000</w:t>
        <w:tab/>
        <w:t>Thereafter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RECEIVE FIXED SWAPS:</w:t>
            </w: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Notional amount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35,998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22,574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w w:val="99"/>
              </w:rPr>
              <w:t>14,558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12,384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10,857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8,254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Weighted-average:</w:t>
            </w: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Receive rate</w:t>
            </w:r>
          </w:p>
        </w:tc>
        <w:tc>
          <w:tcPr>
            <w:tcW w:w="14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6.77%</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7.03%</w:t>
            </w:r>
          </w:p>
        </w:tc>
        <w:tc>
          <w:tcPr>
            <w:tcW w:w="2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7.28%</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7.36%</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7.25%</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7.16%</w:t>
            </w: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Pay rate</w:t>
            </w:r>
          </w:p>
        </w:tc>
        <w:tc>
          <w:tcPr>
            <w:tcW w:w="14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5.48</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5.73</w:t>
            </w:r>
          </w:p>
        </w:tc>
        <w:tc>
          <w:tcPr>
            <w:tcW w:w="26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5.93</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5.95</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5.93</w:t>
            </w:r>
          </w:p>
        </w:tc>
        <w:tc>
          <w:tcPr>
            <w:tcW w:w="3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5.97</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PAY FIXED SWAPS:</w:t>
            </w: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Notional amount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28,307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15,763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9,550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7,192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5,030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3,106</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Weighted-average:</w:t>
            </w: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Receive rate</w:t>
            </w:r>
          </w:p>
        </w:tc>
        <w:tc>
          <w:tcPr>
            <w:tcW w:w="14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5.59%</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5.59%</w:t>
            </w:r>
          </w:p>
        </w:tc>
        <w:tc>
          <w:tcPr>
            <w:tcW w:w="2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5.71%</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5.76%</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5.70%</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5.65%</w:t>
            </w: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Pay rate</w:t>
            </w:r>
          </w:p>
        </w:tc>
        <w:tc>
          <w:tcPr>
            <w:tcW w:w="14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7.11</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7.32</w:t>
            </w:r>
          </w:p>
        </w:tc>
        <w:tc>
          <w:tcPr>
            <w:tcW w:w="26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7.43</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7.51</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7.46</w:t>
            </w:r>
          </w:p>
        </w:tc>
        <w:tc>
          <w:tcPr>
            <w:tcW w:w="3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7.53</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BASIS SWAPS:</w:t>
            </w: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Notional amount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5,437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3,910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2,984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612</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Weighted-average:</w:t>
            </w:r>
          </w:p>
        </w:tc>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Receive rate</w:t>
            </w:r>
          </w:p>
        </w:tc>
        <w:tc>
          <w:tcPr>
            <w:tcW w:w="142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6.35%</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5.82%</w:t>
            </w:r>
          </w:p>
        </w:tc>
        <w:tc>
          <w:tcPr>
            <w:tcW w:w="26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5.89%</w:t>
            </w:r>
          </w:p>
        </w:tc>
        <w:tc>
          <w:tcPr>
            <w:tcW w:w="26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5.91%</w:t>
            </w:r>
          </w:p>
        </w:tc>
        <w:tc>
          <w:tcPr>
            <w:tcW w:w="26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5.94%</w:t>
            </w:r>
          </w:p>
        </w:tc>
        <w:tc>
          <w:tcPr>
            <w:tcW w:w="3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5.94%</w:t>
            </w: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Pay rate</w:t>
            </w:r>
          </w:p>
        </w:tc>
        <w:tc>
          <w:tcPr>
            <w:tcW w:w="14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6.18</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5.45</w:t>
            </w:r>
          </w:p>
        </w:tc>
        <w:tc>
          <w:tcPr>
            <w:tcW w:w="260" w:type="dxa"/>
            <w:vAlign w:val="bottom"/>
          </w:tcPr>
          <w:p>
            <w:pPr>
              <w:spacing w:after="0"/>
              <w:rPr>
                <w:sz w:val="14"/>
                <w:szCs w:val="14"/>
                <w:color w:val="auto"/>
              </w:rPr>
            </w:pPr>
          </w:p>
        </w:tc>
        <w:tc>
          <w:tcPr>
            <w:tcW w:w="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5.82</w:t>
            </w:r>
          </w:p>
        </w:tc>
        <w:tc>
          <w:tcPr>
            <w:tcW w:w="2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5.89</w:t>
            </w:r>
          </w:p>
        </w:tc>
        <w:tc>
          <w:tcPr>
            <w:tcW w:w="26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5.93</w:t>
            </w:r>
          </w:p>
        </w:tc>
        <w:tc>
          <w:tcPr>
            <w:tcW w:w="3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380" w:val="left"/>
          <w:tab w:leader="none" w:pos="5420" w:val="left"/>
          <w:tab w:leader="none" w:pos="6440" w:val="left"/>
          <w:tab w:leader="none" w:pos="7480" w:val="left"/>
          <w:tab w:leader="none" w:pos="8520" w:val="left"/>
          <w:tab w:leader="none" w:pos="9640" w:val="left"/>
        </w:tabs>
        <w:rPr>
          <w:sz w:val="20"/>
          <w:szCs w:val="20"/>
          <w:color w:val="auto"/>
        </w:rPr>
      </w:pPr>
      <w:r>
        <w:rPr>
          <w:rFonts w:ascii="Courier New" w:cs="Courier New" w:eastAsia="Courier New" w:hAnsi="Courier New"/>
          <w:sz w:val="14"/>
          <w:szCs w:val="14"/>
          <w:color w:val="auto"/>
        </w:rPr>
        <w:t>Total Notional Amounts(a)</w:t>
      </w:r>
      <w:r>
        <w:rPr>
          <w:sz w:val="20"/>
          <w:szCs w:val="20"/>
          <w:color w:val="auto"/>
        </w:rPr>
        <w:tab/>
      </w:r>
      <w:r>
        <w:rPr>
          <w:rFonts w:ascii="Courier New" w:cs="Courier New" w:eastAsia="Courier New" w:hAnsi="Courier New"/>
          <w:sz w:val="14"/>
          <w:szCs w:val="14"/>
          <w:color w:val="auto"/>
        </w:rPr>
        <w:t>$69,742</w:t>
      </w:r>
      <w:r>
        <w:rPr>
          <w:sz w:val="20"/>
          <w:szCs w:val="20"/>
          <w:color w:val="auto"/>
        </w:rPr>
        <w:tab/>
      </w:r>
      <w:r>
        <w:rPr>
          <w:rFonts w:ascii="Courier New" w:cs="Courier New" w:eastAsia="Courier New" w:hAnsi="Courier New"/>
          <w:sz w:val="14"/>
          <w:szCs w:val="14"/>
          <w:color w:val="auto"/>
        </w:rPr>
        <w:t>$42,247</w:t>
      </w:r>
      <w:r>
        <w:rPr>
          <w:sz w:val="20"/>
          <w:szCs w:val="20"/>
          <w:color w:val="auto"/>
        </w:rPr>
        <w:tab/>
      </w:r>
      <w:r>
        <w:rPr>
          <w:rFonts w:ascii="Courier New" w:cs="Courier New" w:eastAsia="Courier New" w:hAnsi="Courier New"/>
          <w:sz w:val="14"/>
          <w:szCs w:val="14"/>
          <w:color w:val="auto"/>
        </w:rPr>
        <w:t>$27,092</w:t>
      </w:r>
      <w:r>
        <w:rPr>
          <w:sz w:val="20"/>
          <w:szCs w:val="20"/>
          <w:color w:val="auto"/>
        </w:rPr>
        <w:tab/>
      </w:r>
      <w:r>
        <w:rPr>
          <w:rFonts w:ascii="Courier New" w:cs="Courier New" w:eastAsia="Courier New" w:hAnsi="Courier New"/>
          <w:sz w:val="14"/>
          <w:szCs w:val="14"/>
          <w:color w:val="auto"/>
        </w:rPr>
        <w:t>$21,641</w:t>
      </w:r>
      <w:r>
        <w:rPr>
          <w:sz w:val="20"/>
          <w:szCs w:val="20"/>
          <w:color w:val="auto"/>
        </w:rPr>
        <w:tab/>
      </w:r>
      <w:r>
        <w:rPr>
          <w:rFonts w:ascii="Courier New" w:cs="Courier New" w:eastAsia="Courier New" w:hAnsi="Courier New"/>
          <w:sz w:val="14"/>
          <w:szCs w:val="14"/>
          <w:color w:val="auto"/>
        </w:rPr>
        <w:t>$16,654</w:t>
      </w:r>
      <w:r>
        <w:rPr>
          <w:sz w:val="20"/>
          <w:szCs w:val="20"/>
          <w:color w:val="auto"/>
        </w:rPr>
        <w:tab/>
      </w:r>
      <w:r>
        <w:rPr>
          <w:rFonts w:ascii="Courier New" w:cs="Courier New" w:eastAsia="Courier New" w:hAnsi="Courier New"/>
          <w:sz w:val="14"/>
          <w:szCs w:val="14"/>
          <w:color w:val="auto"/>
        </w:rPr>
        <w:t>$1,972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520" w:firstLine="8"/>
        <w:spacing w:after="0" w:line="251" w:lineRule="auto"/>
        <w:tabs>
          <w:tab w:leader="none" w:pos="344"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1995, approximately $17 billion of notional amounts are interest rate swaps that, as part of the Corporation's asset/liability management, are used in place of cash market instruments. Of this amount, $10 billion is expected to mature in 1996, $4 billion in 1997 with the remaining $3 billion in 1998 and thereafter. (See Note One of the Notes to Consolidated Financial Statements).</w:t>
      </w:r>
    </w:p>
    <w:p>
      <w:pPr>
        <w:sectPr>
          <w:pgSz w:w="11900" w:h="16838" w:orient="portrait"/>
          <w:cols w:equalWidth="0" w:num="1">
            <w:col w:w="10340"/>
          </w:cols>
          <w:pgMar w:left="220" w:top="285" w:right="1339" w:bottom="1440" w:gutter="0" w:footer="0" w:header="0"/>
        </w:sectPr>
      </w:pPr>
    </w:p>
    <w:p>
      <w:pPr>
        <w:spacing w:after="0" w:line="16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340"/>
          </w:cols>
          <w:pgMar w:left="220" w:top="285" w:right="1339" w:bottom="1440"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The following table summarizes the Corporation's assets and liabilities at December 31, 1995 with the notional amount of related derivatives used for ALM purposes.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 Contracts and Related Balance Sheet Positions</w:t>
      </w:r>
    </w:p>
    <w:p>
      <w:pPr>
        <w:spacing w:after="0" w:line="200" w:lineRule="exact"/>
        <w:rPr>
          <w:sz w:val="20"/>
          <w:szCs w:val="20"/>
          <w:color w:val="auto"/>
        </w:rPr>
      </w:pPr>
    </w:p>
    <w:p>
      <w:pPr>
        <w:spacing w:after="0" w:line="304" w:lineRule="exact"/>
        <w:rPr>
          <w:sz w:val="20"/>
          <w:szCs w:val="20"/>
          <w:color w:val="auto"/>
        </w:rPr>
      </w:pPr>
    </w:p>
    <w:p>
      <w:pPr>
        <w:ind w:left="5180"/>
        <w:spacing w:after="0"/>
        <w:rPr>
          <w:sz w:val="20"/>
          <w:szCs w:val="20"/>
          <w:color w:val="auto"/>
        </w:rPr>
      </w:pPr>
      <w:r>
        <w:rPr>
          <w:rFonts w:ascii="Courier New" w:cs="Courier New" w:eastAsia="Courier New" w:hAnsi="Courier New"/>
          <w:sz w:val="14"/>
          <w:szCs w:val="14"/>
          <w:color w:val="auto"/>
        </w:rPr>
        <w:t>Notional Amount(a)</w:t>
      </w:r>
    </w:p>
    <w:p>
      <w:pPr>
        <w:spacing w:after="0" w:line="7"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tabs>
          <w:tab w:leader="none" w:pos="4980" w:val="left"/>
          <w:tab w:leader="none" w:pos="6100" w:val="left"/>
        </w:tabs>
        <w:rPr>
          <w:sz w:val="20"/>
          <w:szCs w:val="20"/>
          <w:color w:val="auto"/>
        </w:rPr>
      </w:pPr>
      <w:r>
        <w:rPr>
          <w:rFonts w:ascii="Courier New" w:cs="Courier New" w:eastAsia="Courier New" w:hAnsi="Courier New"/>
          <w:sz w:val="14"/>
          <w:szCs w:val="14"/>
          <w:color w:val="auto"/>
        </w:rPr>
        <w:t>Balance</w:t>
      </w:r>
      <w:r>
        <w:rPr>
          <w:sz w:val="20"/>
          <w:szCs w:val="20"/>
          <w:color w:val="auto"/>
        </w:rPr>
        <w:tab/>
      </w:r>
      <w:r>
        <w:rPr>
          <w:rFonts w:ascii="Courier New" w:cs="Courier New" w:eastAsia="Courier New" w:hAnsi="Courier New"/>
          <w:sz w:val="14"/>
          <w:szCs w:val="14"/>
          <w:color w:val="auto"/>
        </w:rPr>
        <w:t>Interest</w:t>
      </w:r>
      <w:r>
        <w:rPr>
          <w:sz w:val="20"/>
          <w:szCs w:val="20"/>
          <w:color w:val="auto"/>
        </w:rPr>
        <w:tab/>
      </w:r>
      <w:r>
        <w:rPr>
          <w:rFonts w:ascii="Courier New" w:cs="Courier New" w:eastAsia="Courier New" w:hAnsi="Courier New"/>
          <w:sz w:val="14"/>
          <w:szCs w:val="14"/>
          <w:color w:val="auto"/>
        </w:rPr>
        <w:t>Other ALM</w:t>
      </w:r>
    </w:p>
    <w:p>
      <w:pPr>
        <w:spacing w:after="0" w:line="7" w:lineRule="exact"/>
        <w:rPr>
          <w:sz w:val="20"/>
          <w:szCs w:val="20"/>
          <w:color w:val="auto"/>
        </w:rPr>
      </w:pPr>
    </w:p>
    <w:p>
      <w:pPr>
        <w:spacing w:after="0"/>
        <w:tabs>
          <w:tab w:leader="none" w:pos="3440" w:val="left"/>
          <w:tab w:leader="none" w:pos="4820" w:val="left"/>
          <w:tab w:leader="none" w:pos="5840" w:val="left"/>
        </w:tabs>
        <w:rPr>
          <w:sz w:val="20"/>
          <w:szCs w:val="20"/>
          <w:color w:val="auto"/>
        </w:rPr>
      </w:pPr>
      <w:r>
        <w:rPr>
          <w:rFonts w:ascii="Courier New" w:cs="Courier New" w:eastAsia="Courier New" w:hAnsi="Courier New"/>
          <w:sz w:val="14"/>
          <w:szCs w:val="14"/>
          <w:color w:val="auto"/>
        </w:rPr>
        <w:t>December 31, (in millions)</w:t>
      </w:r>
      <w:r>
        <w:rPr>
          <w:sz w:val="20"/>
          <w:szCs w:val="20"/>
          <w:color w:val="auto"/>
        </w:rPr>
        <w:tab/>
      </w:r>
      <w:r>
        <w:rPr>
          <w:rFonts w:ascii="Courier New" w:cs="Courier New" w:eastAsia="Courier New" w:hAnsi="Courier New"/>
          <w:sz w:val="14"/>
          <w:szCs w:val="14"/>
          <w:color w:val="auto"/>
        </w:rPr>
        <w:t>Sheet Amount</w:t>
      </w:r>
      <w:r>
        <w:rPr>
          <w:sz w:val="20"/>
          <w:szCs w:val="20"/>
          <w:color w:val="auto"/>
        </w:rPr>
        <w:tab/>
      </w:r>
      <w:r>
        <w:rPr>
          <w:rFonts w:ascii="Courier New" w:cs="Courier New" w:eastAsia="Courier New" w:hAnsi="Courier New"/>
          <w:sz w:val="14"/>
          <w:szCs w:val="14"/>
          <w:color w:val="auto"/>
        </w:rPr>
        <w:t>Rate Swaps</w:t>
        <w:tab/>
        <w:t>Contracts(b)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Deposits with Banks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8,468</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400</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Securities - Available-for-Sale</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37,141</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660</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150,207</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23,597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47,571</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14,843</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4,393</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171,534</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20,043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20,544</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12,825</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5,110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599" w:firstLine="8"/>
        <w:spacing w:after="0" w:line="252" w:lineRule="auto"/>
        <w:tabs>
          <w:tab w:leader="none" w:pos="344"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1995, notional amounts of approximately $17 billion for interest rate swaps and $3 billion for other ALM contracts, both of which are used in place of cash instruments (See Note One of the Notes to Consolidated Financial Statements), have been excluded from the above table.</w:t>
      </w:r>
    </w:p>
    <w:p>
      <w:pPr>
        <w:spacing w:after="0" w:line="1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futures, forward rate agreements and options.</w:t>
      </w:r>
    </w:p>
    <w:p>
      <w:pPr>
        <w:spacing w:after="0" w:line="173"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favorable impact on net interest income from the Corporation's ALM derivative activities, whereby derivative instruments are used to alter the yield on certain of the Corporation's assets and liabilities, was $153 million for 1995, compared with $459 million for 1994. The Corporation also has derivatives that affect noninterest revenue (such as derivatives linked to mortgage servicing rights).</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preceding table includes various derivative contracts used by the Corporation to reduce risks associated with its mortgage servicing and loans held for sale. The value of the Corporation's mortgage servicing rights is affected by the level of prepayments made by mortgage holders, which in turn is affected by changes in interest rates. Interest rate swaps, futures and purchased option contracts are used to mitigate such risk. The Corporation also originates certain mortgage and consumer loans for sale or securitization to third-party investors. To reduce the risk of changes in value between the time that such loans are originated and the date of sale, the Corporation enters into futures, forward, and purchased option contracts.</w:t>
      </w:r>
    </w:p>
    <w:p>
      <w:pPr>
        <w:spacing w:after="0" w:line="163"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Derivative notional amounts of approximately $5.2 billion related to mortgage servicing assets and approximately $9.1 billion related to mortgage and consumer loans held for sale were outstanding at December 31, 1995. The weighted average maturity of contracts linked to mortgage servicing assets is approximately four years. Contracts related to loans held for sale generally mature within one year.</w:t>
      </w:r>
    </w:p>
    <w:p>
      <w:pPr>
        <w:spacing w:after="0" w:line="327"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Foreign currency exposures primarily represent the net investment in overseas entities and are managed through the use of foreign exchange forward contracts matching outstanding foreign currency positions on a currency by currency basis. These contracts, which are not included in the preceding table, hedge the impact of foreign exchange rate changes on the Corporation's net investment in its overseas entities.</w:t>
      </w:r>
    </w:p>
    <w:p>
      <w:pPr>
        <w:spacing w:after="0" w:line="164"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The following table reflects the deferred gains/losses and unrecognized</w:t>
      </w:r>
    </w:p>
    <w:p>
      <w:pPr>
        <w:spacing w:after="0" w:line="7" w:lineRule="exact"/>
        <w:rPr>
          <w:sz w:val="20"/>
          <w:szCs w:val="20"/>
          <w:color w:val="auto"/>
        </w:rPr>
      </w:pPr>
    </w:p>
    <w:p>
      <w:pPr>
        <w:jc w:val="center"/>
        <w:ind w:right="3599"/>
        <w:spacing w:after="0"/>
        <w:rPr>
          <w:sz w:val="20"/>
          <w:szCs w:val="20"/>
          <w:color w:val="auto"/>
        </w:rPr>
      </w:pPr>
      <w:r>
        <w:rPr>
          <w:rFonts w:ascii="Courier New" w:cs="Courier New" w:eastAsia="Courier New" w:hAnsi="Courier New"/>
          <w:sz w:val="14"/>
          <w:szCs w:val="14"/>
          <w:color w:val="auto"/>
        </w:rPr>
        <w:t>gains/losses of the Corporation's ALM derivative contracts for 1995 and 1994.</w:t>
      </w:r>
    </w:p>
    <w:p>
      <w:pPr>
        <w:spacing w:after="0" w:line="200" w:lineRule="exact"/>
        <w:rPr>
          <w:sz w:val="20"/>
          <w:szCs w:val="20"/>
          <w:color w:val="auto"/>
        </w:rPr>
      </w:pPr>
    </w:p>
    <w:p>
      <w:pPr>
        <w:spacing w:after="0" w:line="304" w:lineRule="exact"/>
        <w:rPr>
          <w:sz w:val="20"/>
          <w:szCs w:val="20"/>
          <w:color w:val="auto"/>
        </w:rPr>
      </w:pPr>
    </w:p>
    <w:p>
      <w:pPr>
        <w:spacing w:after="0"/>
        <w:tabs>
          <w:tab w:leader="none" w:pos="3780" w:val="left"/>
          <w:tab w:leader="none" w:pos="5240" w:val="left"/>
          <w:tab w:leader="none" w:pos="6280" w:val="left"/>
        </w:tabs>
        <w:rPr>
          <w:sz w:val="20"/>
          <w:szCs w:val="20"/>
          <w:color w:val="auto"/>
        </w:rPr>
      </w:pPr>
      <w:r>
        <w:rPr>
          <w:rFonts w:ascii="Courier New" w:cs="Courier New" w:eastAsia="Courier New" w:hAnsi="Courier New"/>
          <w:sz w:val="14"/>
          <w:szCs w:val="14"/>
          <w:color w:val="auto"/>
        </w:rPr>
        <w:t>December 31, (in millions)</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Change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ALM Derivative</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Contracts:</w:t>
            </w: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Deferred</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Gains (Losses)</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(98)</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(25)</w:t>
            </w:r>
          </w:p>
        </w:tc>
      </w:tr>
      <w:tr>
        <w:trPr>
          <w:trHeight w:val="166"/>
        </w:trPr>
        <w:tc>
          <w:tcPr>
            <w:tcW w:w="480" w:type="dxa"/>
            <w:vAlign w:val="bottom"/>
          </w:tcPr>
          <w:p>
            <w:pPr>
              <w:ind w:left="180"/>
              <w:spacing w:after="0"/>
              <w:rPr>
                <w:sz w:val="20"/>
                <w:szCs w:val="20"/>
                <w:color w:val="auto"/>
              </w:rPr>
            </w:pPr>
            <w:r>
              <w:rPr>
                <w:rFonts w:ascii="Courier New" w:cs="Courier New" w:eastAsia="Courier New" w:hAnsi="Courier New"/>
                <w:sz w:val="14"/>
                <w:szCs w:val="14"/>
                <w:color w:val="auto"/>
              </w:rPr>
              <w:t>Net</w:t>
            </w:r>
          </w:p>
        </w:tc>
        <w:tc>
          <w:tcPr>
            <w:tcW w:w="28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Unrecognized Gains (Losses)</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184(a)</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tabs>
          <w:tab w:leader="none" w:pos="3700" w:val="left"/>
          <w:tab w:leader="none" w:pos="3960" w:val="left"/>
          <w:tab w:leader="none" w:pos="4980" w:val="left"/>
          <w:tab w:leader="none" w:pos="6200" w:val="left"/>
        </w:tabs>
        <w:rPr>
          <w:sz w:val="20"/>
          <w:szCs w:val="20"/>
          <w:color w:val="auto"/>
        </w:rPr>
      </w:pPr>
      <w:r>
        <w:rPr>
          <w:rFonts w:ascii="Courier New" w:cs="Courier New" w:eastAsia="Courier New" w:hAnsi="Courier New"/>
          <w:sz w:val="14"/>
          <w:szCs w:val="14"/>
          <w:color w:val="auto"/>
        </w:rPr>
        <w:t>Net ALM Derivative Gains (Losses)</w:t>
      </w:r>
      <w:r>
        <w:rPr>
          <w:sz w:val="20"/>
          <w:szCs w:val="20"/>
          <w:color w:val="auto"/>
        </w:rPr>
        <w:tab/>
      </w:r>
      <w:r>
        <w:rPr>
          <w:rFonts w:ascii="Courier New" w:cs="Courier New" w:eastAsia="Courier New" w:hAnsi="Courier New"/>
          <w:sz w:val="14"/>
          <w:szCs w:val="14"/>
          <w:color w:val="auto"/>
        </w:rPr>
        <w:t>$</w:t>
        <w:tab/>
        <w:t>86</w:t>
      </w:r>
      <w:r>
        <w:rPr>
          <w:sz w:val="20"/>
          <w:szCs w:val="20"/>
          <w:color w:val="auto"/>
        </w:rPr>
        <w:tab/>
      </w:r>
      <w:r>
        <w:rPr>
          <w:rFonts w:ascii="Courier New" w:cs="Courier New" w:eastAsia="Courier New" w:hAnsi="Courier New"/>
          <w:sz w:val="14"/>
          <w:szCs w:val="14"/>
          <w:color w:val="auto"/>
        </w:rPr>
        <w:t>$(1,529)</w:t>
      </w:r>
      <w:r>
        <w:rPr>
          <w:sz w:val="20"/>
          <w:szCs w:val="20"/>
          <w:color w:val="auto"/>
        </w:rPr>
        <w:tab/>
      </w:r>
      <w:r>
        <w:rPr>
          <w:rFonts w:ascii="Courier New" w:cs="Courier New" w:eastAsia="Courier New" w:hAnsi="Courier New"/>
          <w:sz w:val="14"/>
          <w:szCs w:val="14"/>
          <w:color w:val="auto"/>
        </w:rPr>
        <w:t>$ 1,615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519" w:firstLine="8"/>
        <w:spacing w:after="0" w:line="252" w:lineRule="auto"/>
        <w:tabs>
          <w:tab w:leader="none" w:pos="344"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includes $69 million in net unrecognized gains from mortgage servicing rights, and $99 million in net unrecognized losses from daily margin settlements on open futures contracts. For additional information, see Note Twenty One of the Notes to Consolidated Financial Statements.</w:t>
      </w:r>
    </w:p>
    <w:p>
      <w:pPr>
        <w:spacing w:after="0" w:line="162"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Net deferred gains/losses relate to futures, forward contracts and swaps used in connection with available-for-sale securities, loans, deposits and debt. The unrecognized gains/losses relating to ALM activities are primarily the result of interest rate swap, option, forward and futures contracts.</w:t>
      </w:r>
    </w:p>
    <w:p>
      <w:pPr>
        <w:spacing w:after="0" w:line="162" w:lineRule="exact"/>
        <w:rPr>
          <w:sz w:val="20"/>
          <w:szCs w:val="20"/>
          <w:color w:val="auto"/>
        </w:rPr>
      </w:pPr>
    </w:p>
    <w:p>
      <w:pPr>
        <w:ind w:right="3419" w:firstLine="258"/>
        <w:spacing w:after="0" w:line="252" w:lineRule="auto"/>
        <w:rPr>
          <w:sz w:val="20"/>
          <w:szCs w:val="20"/>
          <w:color w:val="auto"/>
        </w:rPr>
      </w:pPr>
      <w:r>
        <w:rPr>
          <w:rFonts w:ascii="Courier New" w:cs="Courier New" w:eastAsia="Courier New" w:hAnsi="Courier New"/>
          <w:sz w:val="14"/>
          <w:szCs w:val="14"/>
          <w:color w:val="auto"/>
        </w:rPr>
        <w:t>The net deferred losses at December 31, 1995 are expected to be amortized as yield adjustments in interest income or interest expense over the periods reflected in the following table.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of Net Deferred Gains (Losses) on Closed ALM Contracts</w:t>
      </w:r>
    </w:p>
    <w:p>
      <w:pPr>
        <w:sectPr>
          <w:pgSz w:w="11900" w:h="16838" w:orient="portrait"/>
          <w:cols w:equalWidth="0" w:num="1">
            <w:col w:w="10239"/>
          </w:cols>
          <w:pgMar w:left="220" w:top="285" w:right="1440" w:bottom="0" w:gutter="0" w:footer="0" w:header="0"/>
        </w:sectPr>
      </w:pPr>
    </w:p>
    <w:bookmarkStart w:id="55" w:name="page56"/>
    <w:bookmarkEnd w:id="55"/>
    <w:p>
      <w:pPr>
        <w:spacing w:after="0"/>
        <w:rPr>
          <w:sz w:val="20"/>
          <w:szCs w:val="20"/>
          <w:color w:val="auto"/>
        </w:rPr>
      </w:pPr>
      <w:r>
        <w:rPr>
          <w:rFonts w:ascii="Courier New" w:cs="Courier New" w:eastAsia="Courier New" w:hAnsi="Courier New"/>
          <w:sz w:val="14"/>
          <w:szCs w:val="14"/>
          <w:color w:val="auto"/>
        </w:rPr>
        <w:t>Year Ended December 31, (in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3440" w:type="dxa"/>
            <w:vAlign w:val="bottom"/>
          </w:tcPr>
          <w:p>
            <w:pPr>
              <w:spacing w:after="0"/>
              <w:rPr>
                <w:sz w:val="14"/>
                <w:szCs w:val="14"/>
                <w:color w:val="auto"/>
              </w:rPr>
            </w:pPr>
          </w:p>
        </w:tc>
        <w:tc>
          <w:tcPr>
            <w:tcW w:w="30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$ 32</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3440" w:type="dxa"/>
            <w:vAlign w:val="bottom"/>
          </w:tcPr>
          <w:p>
            <w:pPr>
              <w:spacing w:after="0"/>
              <w:rPr>
                <w:sz w:val="14"/>
                <w:szCs w:val="14"/>
                <w:color w:val="auto"/>
              </w:rPr>
            </w:pPr>
          </w:p>
        </w:tc>
        <w:tc>
          <w:tcPr>
            <w:tcW w:w="30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3440" w:type="dxa"/>
            <w:vAlign w:val="bottom"/>
          </w:tcPr>
          <w:p>
            <w:pPr>
              <w:spacing w:after="0"/>
              <w:rPr>
                <w:sz w:val="14"/>
                <w:szCs w:val="14"/>
                <w:color w:val="auto"/>
              </w:rPr>
            </w:pPr>
          </w:p>
        </w:tc>
        <w:tc>
          <w:tcPr>
            <w:tcW w:w="306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3440" w:type="dxa"/>
            <w:vAlign w:val="bottom"/>
          </w:tcPr>
          <w:p>
            <w:pPr>
              <w:spacing w:after="0"/>
              <w:rPr>
                <w:sz w:val="14"/>
                <w:szCs w:val="14"/>
                <w:color w:val="auto"/>
              </w:rPr>
            </w:pPr>
          </w:p>
        </w:tc>
        <w:tc>
          <w:tcPr>
            <w:tcW w:w="306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and After</w:t>
            </w:r>
          </w:p>
        </w:tc>
        <w:tc>
          <w:tcPr>
            <w:tcW w:w="306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44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The Consolidated Balance Sheet includes unamortized premiums on open ALM option contracts which will be amortized as a reduction to net interest income over the periods indicated in the following table.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OF PREMIUMS ON OPEN ALM OPTIONS CONTRACTS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3480" w:type="dxa"/>
            <w:vAlign w:val="bottom"/>
          </w:tcPr>
          <w:p>
            <w:pPr>
              <w:spacing w:after="0"/>
              <w:rPr>
                <w:sz w:val="14"/>
                <w:szCs w:val="14"/>
                <w:color w:val="auto"/>
              </w:rPr>
            </w:pPr>
          </w:p>
        </w:tc>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$ 32</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3480" w:type="dxa"/>
            <w:vAlign w:val="bottom"/>
          </w:tcPr>
          <w:p>
            <w:pPr>
              <w:spacing w:after="0"/>
              <w:rPr>
                <w:sz w:val="14"/>
                <w:szCs w:val="14"/>
                <w:color w:val="auto"/>
              </w:rPr>
            </w:pPr>
          </w:p>
        </w:tc>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3480" w:type="dxa"/>
            <w:vAlign w:val="bottom"/>
          </w:tcPr>
          <w:p>
            <w:pPr>
              <w:spacing w:after="0"/>
              <w:rPr>
                <w:sz w:val="14"/>
                <w:szCs w:val="14"/>
                <w:color w:val="auto"/>
              </w:rPr>
            </w:pPr>
          </w:p>
        </w:tc>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3480" w:type="dxa"/>
            <w:vAlign w:val="bottom"/>
          </w:tcPr>
          <w:p>
            <w:pPr>
              <w:spacing w:after="0"/>
              <w:rPr>
                <w:sz w:val="14"/>
                <w:szCs w:val="14"/>
                <w:color w:val="auto"/>
              </w:rPr>
            </w:pPr>
          </w:p>
        </w:tc>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and After</w:t>
            </w:r>
          </w:p>
        </w:tc>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3400" w:type="dxa"/>
            <w:vAlign w:val="bottom"/>
          </w:tcPr>
          <w:p>
            <w:pPr>
              <w:jc w:val="right"/>
              <w:spacing w:after="0"/>
              <w:rPr>
                <w:sz w:val="20"/>
                <w:szCs w:val="20"/>
                <w:color w:val="auto"/>
              </w:rPr>
            </w:pPr>
            <w:r>
              <w:rPr>
                <w:rFonts w:ascii="Courier New" w:cs="Courier New" w:eastAsia="Courier New" w:hAnsi="Courier New"/>
                <w:sz w:val="14"/>
                <w:szCs w:val="14"/>
                <w:color w:val="auto"/>
              </w:rPr>
              <w:t>$155</w:t>
            </w:r>
          </w:p>
        </w:tc>
      </w:tr>
    </w:tbl>
    <w:p>
      <w:pPr>
        <w:spacing w:after="0" w:line="4" w:lineRule="exact"/>
        <w:rPr>
          <w:sz w:val="20"/>
          <w:szCs w:val="20"/>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473"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26</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ind w:left="180" w:hanging="172"/>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OPERATING RISK MANAGEMENT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Corporation, like all large financial institutions, is exposed to many types of operating risk, including the risk of fraud by employees or outsiders, unauthorized transactions by employees, and errors relating to computer and telecommunications systems. The Corporation maintains a system of controls that is designed to keep operating risk at appropriate levels in view of the financial strength of the Corporation, the characteristics of the businesses and markets in which the Corporation operates, competitive circumstances and regulatory considerations. However, from time to time in the past, the Corporation has suffered losses from operating risk and there can be no assurance that the Corporation will not suffer such losses in the future.</w:t>
      </w:r>
    </w:p>
    <w:p>
      <w:pPr>
        <w:spacing w:after="0" w:line="163" w:lineRule="exact"/>
        <w:rPr>
          <w:sz w:val="20"/>
          <w:szCs w:val="20"/>
          <w:color w:val="auto"/>
        </w:rPr>
      </w:pPr>
    </w:p>
    <w:p>
      <w:pPr>
        <w:ind w:right="6699" w:firstLine="8"/>
        <w:spacing w:after="0" w:line="501" w:lineRule="auto"/>
        <w:tabs>
          <w:tab w:leader="none" w:pos="172"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CAPITAL AND LIQUIDITY RISK MANAGEMENT CAPITAL</w:t>
      </w:r>
    </w:p>
    <w:p>
      <w:pPr>
        <w:ind w:right="3339"/>
        <w:spacing w:after="0" w:line="251" w:lineRule="auto"/>
        <w:rPr>
          <w:sz w:val="20"/>
          <w:szCs w:val="20"/>
          <w:color w:val="auto"/>
        </w:rPr>
      </w:pPr>
      <w:r>
        <w:rPr>
          <w:rFonts w:ascii="Courier New" w:cs="Courier New" w:eastAsia="Courier New" w:hAnsi="Courier New"/>
          <w:sz w:val="14"/>
          <w:szCs w:val="14"/>
          <w:color w:val="auto"/>
        </w:rPr>
        <w:t>The Corporation's level of capital at December 31, 1995 remained strong, with capital ratios well in excess of regulatory guidelines. The Corporation's Tier 1 and Total Capital ratios were 8.22% and 12.27%, respectively, at December 31, 1995. These ratios, as well as the leverage ratio discussed below, exclude the assets and off-balance sheet financial instruments of the Corporation's securities subsidiaries as well as the Corporation's investment in such subsidiaries. In addition, the provisions of SFAS 115 do not apply to the calculation of these ratios.</w:t>
      </w:r>
    </w:p>
    <w:p>
      <w:pPr>
        <w:spacing w:after="0" w:line="164"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Total capitalization (the sum of Tier 1 Capital and Tier 2 Capital as discussed below) increased by $2.0 billion during 1995 to $28.3 billion at December 31, 1995. The Corporation manages its capital to execute its strategic business plans and support its growth and investments, including acquisition strategies in its core businesses.</w:t>
      </w:r>
    </w:p>
    <w:p>
      <w:pPr>
        <w:spacing w:after="0" w:line="165"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During 1995, the Corporation repurchased approximately 26.3 million shares of its outstanding common stock in the open market. These repurchases were largely undertaken to meet the anticipated needs of the Corporation's employee stock option and incentive plans. During 1995, approximately 18.0 million shares were issued (of which 14.5 million were from treasury) under various employee stock option and incentive plans, and 7.6 million shares were issued (from treasury) in connection with the conversion of the Corporation's 10% convertible preferred stock. Additionally, 6.9 million shares were issued in connection with the acquisition of the U.S. Trust securities processing businesses.</w:t>
      </w:r>
    </w:p>
    <w:p>
      <w:pPr>
        <w:spacing w:after="0" w:line="164"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Corporation raised the cash dividend on its common stock to $.56 per share, an increase from $.50 per share, commencing with the dividend payable on April 30, 1996. Management's current expectation is that the dividend policy of the Corporation will generally be to pay a common stock dividend equal to approximately 25-35% of the Corporation's net income (excluding restructuring charges) less preferred dividends. Future dividend policies will be determined by the Board of Directors in light of the earnings and financial condition of the Corporation and its subsidiaries and other factors, including applicable governmental regulations and policies.</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The Corporation's total stockholders' equity at the 1995 year-end was $20.8 billion, compared with $18.9 billion at December 31, 1994. The $1.9 billion increase primarily reflected the retention of earnings (net income of $3.0 billion less total common and preferred stock dividends of $1.0 billion) generated during 1995.</w:t>
      </w:r>
    </w:p>
    <w:p>
      <w:pPr>
        <w:spacing w:after="0" w:line="165" w:lineRule="exact"/>
        <w:rPr>
          <w:sz w:val="20"/>
          <w:szCs w:val="20"/>
          <w:color w:val="auto"/>
        </w:rPr>
      </w:pPr>
    </w:p>
    <w:p>
      <w:pPr>
        <w:ind w:right="3599" w:firstLine="258"/>
        <w:spacing w:after="0" w:line="255" w:lineRule="auto"/>
        <w:rPr>
          <w:sz w:val="20"/>
          <w:szCs w:val="20"/>
          <w:color w:val="auto"/>
        </w:rPr>
      </w:pPr>
      <w:r>
        <w:rPr>
          <w:rFonts w:ascii="Courier New" w:cs="Courier New" w:eastAsia="Courier New" w:hAnsi="Courier New"/>
          <w:sz w:val="14"/>
          <w:szCs w:val="14"/>
          <w:color w:val="auto"/>
        </w:rPr>
        <w:t>The tables which follow set forth various capital ratios and components of capital at the dates indicated.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CAPITAL RATIOS</w:t>
            </w:r>
          </w:p>
        </w:tc>
        <w:tc>
          <w:tcPr>
            <w:tcW w:w="2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Minimum</w:t>
            </w:r>
          </w:p>
        </w:tc>
      </w:tr>
      <w:tr>
        <w:trPr>
          <w:trHeight w:val="166"/>
        </w:trPr>
        <w:tc>
          <w:tcPr>
            <w:tcW w:w="2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Regulatory</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Requirement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Tier 1 Capital Ratio(a)(c)</w:t>
            </w: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Capital Ratio(a)(c)</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12.27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12.23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Tier 1 Leverage Ratio(b)(c)</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3.00-5.00</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Common Stockholders' Equity to</w:t>
            </w: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5.98</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5.61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Stockholders' Equity to</w:t>
            </w: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Total Assets</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6.85</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6.61</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spacing w:after="0" w:line="253" w:lineRule="auto"/>
        <w:rPr>
          <w:sz w:val="20"/>
          <w:szCs w:val="20"/>
          <w:color w:val="auto"/>
        </w:rPr>
      </w:pPr>
      <w:r>
        <w:rPr>
          <w:rFonts w:ascii="Courier New" w:cs="Courier New" w:eastAsia="Courier New" w:hAnsi="Courier New"/>
          <w:sz w:val="14"/>
          <w:szCs w:val="14"/>
          <w:color w:val="auto"/>
        </w:rPr>
        <w:t>(a) Tier 1 Capital or Total Capital divided by risk-weighted assets. Risk-weighted assets include assets and off-balance sheet positions, weighted by the type of instrument and the risk weight of the counterparty, collateral or guarantor.</w:t>
      </w:r>
    </w:p>
    <w:p>
      <w:pPr>
        <w:spacing w:after="0" w:line="327" w:lineRule="exact"/>
        <w:rPr>
          <w:sz w:val="20"/>
          <w:szCs w:val="20"/>
          <w:color w:val="auto"/>
        </w:rPr>
      </w:pPr>
    </w:p>
    <w:p>
      <w:pPr>
        <w:ind w:left="360" w:hanging="352"/>
        <w:spacing w:after="0"/>
        <w:tabs>
          <w:tab w:leader="none" w:pos="36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Tier 1 Capital divided by adjusted average assets.</w:t>
      </w:r>
    </w:p>
    <w:p>
      <w:pPr>
        <w:spacing w:after="0" w:line="172" w:lineRule="exact"/>
        <w:rPr>
          <w:rFonts w:ascii="Courier New" w:cs="Courier New" w:eastAsia="Courier New" w:hAnsi="Courier New"/>
          <w:sz w:val="14"/>
          <w:szCs w:val="14"/>
          <w:color w:val="auto"/>
        </w:rPr>
      </w:pPr>
    </w:p>
    <w:p>
      <w:pPr>
        <w:ind w:right="3419" w:firstLine="8"/>
        <w:spacing w:after="0" w:line="252" w:lineRule="auto"/>
        <w:tabs>
          <w:tab w:leader="none" w:pos="344"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Including the Corporation's securities subsidiaries, the December 31, 1995 Tier 1 Capital, Total Capital and Tier 1 Leverage ratios were 8.37%, 12.67% and 6.27%, respectively, compared with 8.22%, 12.64% and 6.21%, respectively, at December 31, 1994.</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COMPONENTS OF CAPITAL</w:t>
      </w:r>
    </w:p>
    <w:p>
      <w:pPr>
        <w:sectPr>
          <w:pgSz w:w="11900" w:h="16838" w:orient="portrait"/>
          <w:cols w:equalWidth="0" w:num="1">
            <w:col w:w="10239"/>
          </w:cols>
          <w:pgMar w:left="220" w:top="285" w:right="1440" w:bottom="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December 31, (in millions)</w:t>
            </w: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TIER 1 CAPITAL:</w:t>
            </w:r>
          </w:p>
        </w:tc>
        <w:tc>
          <w:tcPr>
            <w:tcW w:w="15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$ 18,424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$ 16,496</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Nonredeemable Preferred Stock</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2,850</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143</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Less: Goodwill</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1,446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1,379</w:t>
            </w:r>
          </w:p>
        </w:tc>
      </w:tr>
      <w:tr>
        <w:trPr>
          <w:trHeight w:val="166"/>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Non-Qualifying Intangible Assets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169</w:t>
            </w:r>
          </w:p>
        </w:tc>
      </w:tr>
      <w:tr>
        <w:trPr>
          <w:trHeight w:val="166"/>
        </w:trPr>
        <w:tc>
          <w:tcPr>
            <w:tcW w:w="4440" w:type="dxa"/>
            <w:vAlign w:val="bottom"/>
          </w:tcPr>
          <w:p>
            <w:pPr>
              <w:ind w:left="360"/>
              <w:spacing w:after="0"/>
              <w:rPr>
                <w:sz w:val="20"/>
                <w:szCs w:val="20"/>
                <w:color w:val="auto"/>
              </w:rPr>
            </w:pPr>
            <w:r>
              <w:rPr>
                <w:rFonts w:ascii="Courier New" w:cs="Courier New" w:eastAsia="Courier New" w:hAnsi="Courier New"/>
                <w:sz w:val="14"/>
                <w:szCs w:val="14"/>
                <w:color w:val="auto"/>
              </w:rPr>
              <w:t>50% Investment in Securities Subsidiaries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Tier 1 Capital</w:t>
            </w:r>
          </w:p>
        </w:tc>
        <w:tc>
          <w:tcPr>
            <w:tcW w:w="28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18,976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17,317</w:t>
            </w:r>
          </w:p>
        </w:tc>
      </w:tr>
    </w:tbl>
    <w:p>
      <w:pPr>
        <w:spacing w:after="0" w:line="4" w:lineRule="exact"/>
        <w:rPr>
          <w:sz w:val="20"/>
          <w:szCs w:val="20"/>
          <w:color w:val="auto"/>
        </w:rPr>
      </w:pP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TIER 2 CAPITAL:</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 Qualifying as Tier 2</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7,139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6,910</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Qualifying Allowance</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for Credit Losses</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2,907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2,713</w:t>
            </w:r>
          </w:p>
        </w:tc>
      </w:tr>
      <w:tr>
        <w:trPr>
          <w:trHeight w:val="166"/>
        </w:trPr>
        <w:tc>
          <w:tcPr>
            <w:tcW w:w="1780" w:type="dxa"/>
            <w:vAlign w:val="bottom"/>
          </w:tcPr>
          <w:p>
            <w:pPr>
              <w:spacing w:after="0"/>
              <w:rPr>
                <w:sz w:val="20"/>
                <w:szCs w:val="20"/>
                <w:color w:val="auto"/>
              </w:rPr>
            </w:pPr>
            <w:r>
              <w:rPr>
                <w:rFonts w:ascii="Courier New" w:cs="Courier New" w:eastAsia="Courier New" w:hAnsi="Courier New"/>
                <w:sz w:val="14"/>
                <w:szCs w:val="14"/>
                <w:color w:val="auto"/>
              </w:rPr>
              <w:t>Less: 50% Investment</w:t>
            </w:r>
          </w:p>
        </w:tc>
        <w:tc>
          <w:tcPr>
            <w:tcW w:w="2880" w:type="dxa"/>
            <w:vAlign w:val="bottom"/>
          </w:tcPr>
          <w:p>
            <w:pPr>
              <w:ind w:left="40"/>
              <w:spacing w:after="0"/>
              <w:rPr>
                <w:sz w:val="20"/>
                <w:szCs w:val="20"/>
                <w:color w:val="auto"/>
              </w:rPr>
            </w:pPr>
            <w:r>
              <w:rPr>
                <w:rFonts w:ascii="Courier New" w:cs="Courier New" w:eastAsia="Courier New" w:hAnsi="Courier New"/>
                <w:sz w:val="14"/>
                <w:szCs w:val="14"/>
                <w:color w:val="auto"/>
              </w:rPr>
              <w:t>in Securities Subsidiaries</w:t>
            </w:r>
          </w:p>
        </w:tc>
        <w:tc>
          <w:tcPr>
            <w:tcW w:w="14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Tier 2 Capital</w:t>
            </w:r>
          </w:p>
        </w:tc>
        <w:tc>
          <w:tcPr>
            <w:tcW w:w="2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9,348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8,999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80" w:val="left"/>
          <w:tab w:leader="none" w:pos="6200" w:val="left"/>
        </w:tabs>
        <w:rPr>
          <w:sz w:val="20"/>
          <w:szCs w:val="20"/>
          <w:color w:val="auto"/>
        </w:rPr>
      </w:pPr>
      <w:r>
        <w:rPr>
          <w:rFonts w:ascii="Courier New" w:cs="Courier New" w:eastAsia="Courier New" w:hAnsi="Courier New"/>
          <w:sz w:val="14"/>
          <w:szCs w:val="14"/>
          <w:color w:val="auto"/>
        </w:rPr>
        <w:t>Total Qualifying Capital</w:t>
      </w:r>
      <w:r>
        <w:rPr>
          <w:sz w:val="20"/>
          <w:szCs w:val="20"/>
          <w:color w:val="auto"/>
        </w:rPr>
        <w:tab/>
      </w:r>
      <w:r>
        <w:rPr>
          <w:rFonts w:ascii="Courier New" w:cs="Courier New" w:eastAsia="Courier New" w:hAnsi="Courier New"/>
          <w:sz w:val="14"/>
          <w:szCs w:val="14"/>
          <w:color w:val="auto"/>
        </w:rPr>
        <w:t>$ 28,324</w:t>
      </w:r>
      <w:r>
        <w:rPr>
          <w:sz w:val="20"/>
          <w:szCs w:val="20"/>
          <w:color w:val="auto"/>
        </w:rPr>
        <w:tab/>
      </w:r>
      <w:r>
        <w:rPr>
          <w:rFonts w:ascii="Courier New" w:cs="Courier New" w:eastAsia="Courier New" w:hAnsi="Courier New"/>
          <w:sz w:val="14"/>
          <w:szCs w:val="14"/>
          <w:color w:val="auto"/>
        </w:rPr>
        <w:t>$ 26,316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80" w:val="left"/>
          <w:tab w:leader="none" w:pos="6200" w:val="left"/>
        </w:tabs>
        <w:rPr>
          <w:sz w:val="20"/>
          <w:szCs w:val="20"/>
          <w:color w:val="auto"/>
        </w:rPr>
      </w:pPr>
      <w:r>
        <w:rPr>
          <w:rFonts w:ascii="Courier New" w:cs="Courier New" w:eastAsia="Courier New" w:hAnsi="Courier New"/>
          <w:sz w:val="14"/>
          <w:szCs w:val="14"/>
          <w:color w:val="auto"/>
        </w:rPr>
        <w:t>Risk-Weighted Assets(a)</w:t>
      </w:r>
      <w:r>
        <w:rPr>
          <w:sz w:val="20"/>
          <w:szCs w:val="20"/>
          <w:color w:val="auto"/>
        </w:rPr>
        <w:tab/>
      </w:r>
      <w:r>
        <w:rPr>
          <w:rFonts w:ascii="Courier New" w:cs="Courier New" w:eastAsia="Courier New" w:hAnsi="Courier New"/>
          <w:sz w:val="14"/>
          <w:szCs w:val="14"/>
          <w:color w:val="auto"/>
        </w:rPr>
        <w:t>$230,887</w:t>
      </w:r>
      <w:r>
        <w:rPr>
          <w:sz w:val="20"/>
          <w:szCs w:val="20"/>
          <w:color w:val="auto"/>
        </w:rPr>
        <w:tab/>
      </w:r>
      <w:r>
        <w:rPr>
          <w:rFonts w:ascii="Courier New" w:cs="Courier New" w:eastAsia="Courier New" w:hAnsi="Courier New"/>
          <w:sz w:val="14"/>
          <w:szCs w:val="14"/>
          <w:color w:val="auto"/>
        </w:rPr>
        <w:t>$215,105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679" w:firstLine="8"/>
        <w:spacing w:after="0" w:line="255" w:lineRule="auto"/>
        <w:tabs>
          <w:tab w:leader="none" w:pos="344"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off-balance sheet risk-weighted assets in the amount of $68,153 million and $61,416 million, respectively, at December 31, 1995 and 1994.</w:t>
      </w:r>
    </w:p>
    <w:p>
      <w:pPr>
        <w:spacing w:after="0" w:line="16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307"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27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ind w:left="180" w:hanging="172"/>
        <w:spacing w:after="0"/>
        <w:tabs>
          <w:tab w:leader="none" w:pos="1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[GRAPH NUMBER 17]</w:t>
      </w:r>
    </w:p>
    <w:p>
      <w:pPr>
        <w:spacing w:after="0" w:line="17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Under the risk-based capital guidelines of the Federal Reserve Board, banking organizations are required to maintain certain ratios of "Qualifying Capital" to "risk-weighted assets". "Qualifying Capital" is classified into two tiers, referred to as Tier 1 Capital and Tier 2 Capital. In addition, the Federal Reserve Board has established another capital measure, the Tier 1 leverage ratio. The Tier 1 leverage ratio is defined as Tier 1 Capital (as defined under the risk-based capital guidelines) divided by average total assets (net of allowance for credit losses, goodwill and certain intangible assets). Under the guidelines, to be "well capitalized," a banking organization must have a Tier 1 Capital ratio of at least 6%, Total Capital ratio of at least 10%, and Tier 1 leverage ratio of at least 5%. At December 31, 1995, the capital ratios for each of the Corporation's banking subsidiaries, including The Chase Manhattan Bank, Chemical Bank and Texas Commerce Bank, N.A., exceeded the above ratios required to be well capitalized.</w:t>
      </w:r>
    </w:p>
    <w:p>
      <w:pPr>
        <w:spacing w:after="0" w:line="328" w:lineRule="exact"/>
        <w:rPr>
          <w:sz w:val="20"/>
          <w:szCs w:val="20"/>
          <w:color w:val="auto"/>
        </w:rPr>
      </w:pPr>
    </w:p>
    <w:p>
      <w:pPr>
        <w:ind w:right="3779" w:firstLine="258"/>
        <w:spacing w:after="0" w:line="250" w:lineRule="auto"/>
        <w:rPr>
          <w:sz w:val="20"/>
          <w:szCs w:val="20"/>
          <w:color w:val="auto"/>
        </w:rPr>
      </w:pPr>
      <w:r>
        <w:rPr>
          <w:rFonts w:ascii="Courier New" w:cs="Courier New" w:eastAsia="Courier New" w:hAnsi="Courier New"/>
          <w:sz w:val="14"/>
          <w:szCs w:val="14"/>
          <w:color w:val="auto"/>
        </w:rPr>
        <w:t>As part of the Corporation's commitment to a disciplined capital policy, management has targeted a Tier 1 capital ratio for the Corporation of 8 to</w:t>
      </w:r>
    </w:p>
    <w:p>
      <w:pPr>
        <w:spacing w:after="0" w:line="1"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8.25%. As part of this policy, management would divest or take other appropriate action to address any nonstrategic businesses determined by the Corporation to be underperforming, and would also return excess capital to shareholders. In addition, the Corporation has revised its previously announced buy-back program to terminate at September 30, 1996 and to provide that purchases of shares of common stock of the Corporation under the plan to such date would be in accordance with the pooling-of-interests accounting rules.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objective of liquidity management is to ensure the availability of sufficient cash flows to meet all of the Corporation's financial commitments and to capitalize on opportunities for the Corporation's business expansion. Liquidity management addresses the Corporation's ability to meet deposit withdrawals either on demand or at contractual maturity, to repay borrowings as they mature, and to make new loans and investments as opportunities arise. Liquidity is managed on a daily basis at both the parent company and the subsidiary levels, enabling senior management to monitor effectively changes in liquidity and to react accordingly to fluctuations in market conditions. Contingency plans exist and could be implemented on a timely basis to minimize the risk associated with dramatic changes in market conditions.</w:t>
      </w:r>
    </w:p>
    <w:p>
      <w:pPr>
        <w:spacing w:after="0" w:line="163"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In managing liquidity, the Corporation takes into account the various legal limitations on the extent to which banks may pay dividends to their parent companies or finance or otherwise supply funds to certain of their affiliates.</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primary source of liquidity for the bank subsidiaries of the Corporation derives from their ability to generate core deposits (which includes all deposits except noninterest-bearing time deposits, foreign deposits and certificates of deposit of $100,000 or more). The Corporation considers funds from such sources to comprise its subsidiary banks' "core" deposit base because of the historical stability of such sources of funds. These deposits fund a portion of the Corporation's asset base, thereby reducing the Corporation's reliance on other, more volatile, sources of funds. The average core deposits at the Corporation's bank subsidiaries for 1995 were $76 billion and the Corporation's average core deposits as a percentage of average loans was 52% for 1995. Foreign deposits generated in the Corporation's global wholesale and retail businesses are also considered to be an additional source of liquidity for the Corporation.</w:t>
      </w:r>
    </w:p>
    <w:p>
      <w:pPr>
        <w:spacing w:after="0" w:line="329"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[GRAPH NUMBER 18]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285"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28</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Corporation holds marketable securities and other short-term investments which can be readily converted to cash. As part of the Corporation's on-going capital management process, loan syndication networks and retail securitization programs are maintained in order to facilitate the timely disposition of assets, if and when deemed desirable.</w:t>
      </w:r>
    </w:p>
    <w:p>
      <w:pPr>
        <w:spacing w:after="0" w:line="165" w:lineRule="exact"/>
        <w:rPr>
          <w:sz w:val="20"/>
          <w:szCs w:val="20"/>
          <w:color w:val="auto"/>
        </w:rPr>
      </w:pPr>
    </w:p>
    <w:p>
      <w:pPr>
        <w:jc w:val="both"/>
        <w:ind w:right="3419" w:firstLine="258"/>
        <w:spacing w:after="0" w:line="252" w:lineRule="auto"/>
        <w:rPr>
          <w:sz w:val="20"/>
          <w:szCs w:val="20"/>
          <w:color w:val="auto"/>
        </w:rPr>
      </w:pPr>
      <w:r>
        <w:rPr>
          <w:rFonts w:ascii="Courier New" w:cs="Courier New" w:eastAsia="Courier New" w:hAnsi="Courier New"/>
          <w:sz w:val="14"/>
          <w:szCs w:val="14"/>
          <w:color w:val="auto"/>
        </w:rPr>
        <w:t>The Corporation is an active participant in the capital markets. In addition to issuing commercial paper and medium-term notes, the Corporation raises funds through the issuance of long-term debt, common stock and preferred stock.</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Corporation's long-term debt at December 31, 1995 was $12,825 million, a decrease of $236 million from the 1994 year-end. The decrease resulted primarily from maturities of $1,476 million of the Corporation's long-term debt (including $614 million of senior medium-term notes and $862 million of other senior notes) and the redemption of $637 million of senior notes. These decreases were partially offset by additions to the Corporation's long-term debt of $1,840 million (including $360 million of senior medium-term notes, $399 million of subordinated medium-term notes, $531 million of other senior notes and $550 million of other subordinated notes).</w:t>
      </w:r>
    </w:p>
    <w:p>
      <w:pPr>
        <w:spacing w:after="0" w:line="164"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As previously discussed, during the second quarter of 1995, the Corporation called all of the outstanding shares of its 10% convertible preferred stock for redemption. Substantially all of the 10% convertible preferred stock was converted prior to the redemption date, at the option of the holders, into approximately 7.6 million shares of the Corporation's common stock. The shares of common stock issued upon such conversion were issued from treasury. The Corporation will continue to evaluate the opportunity for future redemptions of its outstanding debt and preferred stock in light of current market conditions.</w:t>
      </w:r>
    </w:p>
    <w:p>
      <w:pPr>
        <w:spacing w:after="0" w:line="164"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following table shows the debt ratings of the Corporation, Chemical Bank and The Chase Manhattan Bank at December 31, 1995. After the merger announcement, Moody's upgraded its debt ratings of both Chemical and Chase. Rating upgrades should continue to enhance the Corporation's access to global capital and money markets, a primary source of liquidity for an international money-center institution. The ability to access this geographically diverse assortment of distribution channels and to issue a wide variety of capital and money market instruments at various maturities provides the Corporation with a full array of alternatives for managing its liquidity position.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RATINGS</w:t>
      </w:r>
    </w:p>
    <w:p>
      <w:pPr>
        <w:spacing w:after="0" w:line="200" w:lineRule="exact"/>
        <w:rPr>
          <w:sz w:val="20"/>
          <w:szCs w:val="20"/>
          <w:color w:val="auto"/>
        </w:rPr>
      </w:pPr>
    </w:p>
    <w:p>
      <w:pPr>
        <w:spacing w:after="0" w:line="304" w:lineRule="exact"/>
        <w:rPr>
          <w:sz w:val="20"/>
          <w:szCs w:val="20"/>
          <w:color w:val="auto"/>
        </w:rPr>
      </w:pPr>
    </w:p>
    <w:p>
      <w:pPr>
        <w:spacing w:after="0"/>
        <w:tabs>
          <w:tab w:leader="none" w:pos="4720" w:val="left"/>
          <w:tab w:leader="none" w:pos="6200" w:val="left"/>
        </w:tabs>
        <w:rPr>
          <w:sz w:val="20"/>
          <w:szCs w:val="20"/>
          <w:color w:val="auto"/>
        </w:rPr>
      </w:pPr>
      <w:r>
        <w:rPr>
          <w:rFonts w:ascii="Courier New" w:cs="Courier New" w:eastAsia="Courier New" w:hAnsi="Courier New"/>
          <w:sz w:val="14"/>
          <w:szCs w:val="14"/>
          <w:color w:val="auto"/>
        </w:rPr>
        <w:t>December 31, 1995</w:t>
      </w:r>
      <w:r>
        <w:rPr>
          <w:sz w:val="20"/>
          <w:szCs w:val="20"/>
          <w:color w:val="auto"/>
        </w:rPr>
        <w:tab/>
      </w:r>
      <w:r>
        <w:rPr>
          <w:rFonts w:ascii="Courier New" w:cs="Courier New" w:eastAsia="Courier New" w:hAnsi="Courier New"/>
          <w:sz w:val="14"/>
          <w:szCs w:val="14"/>
          <w:color w:val="auto"/>
        </w:rPr>
        <w:t>Corporation(a)</w:t>
      </w:r>
      <w:r>
        <w:rPr>
          <w:sz w:val="20"/>
          <w:szCs w:val="20"/>
          <w:color w:val="auto"/>
        </w:rPr>
        <w:tab/>
      </w:r>
      <w:r>
        <w:rPr>
          <w:rFonts w:ascii="Courier New" w:cs="Courier New" w:eastAsia="Courier New" w:hAnsi="Courier New"/>
          <w:sz w:val="14"/>
          <w:szCs w:val="14"/>
          <w:color w:val="auto"/>
        </w:rPr>
        <w:t>Banks(b)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Moody's</w:t>
            </w:r>
          </w:p>
        </w:tc>
        <w:tc>
          <w:tcPr>
            <w:tcW w:w="26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Senior</w:t>
            </w:r>
          </w:p>
        </w:tc>
        <w:tc>
          <w:tcPr>
            <w:tcW w:w="2680" w:type="dxa"/>
            <w:vAlign w:val="bottom"/>
          </w:tcPr>
          <w:p>
            <w:pPr>
              <w:ind w:left="2160"/>
              <w:spacing w:after="0"/>
              <w:rPr>
                <w:sz w:val="20"/>
                <w:szCs w:val="20"/>
                <w:color w:val="auto"/>
              </w:rPr>
            </w:pPr>
            <w:r>
              <w:rPr>
                <w:rFonts w:ascii="Courier New" w:cs="Courier New" w:eastAsia="Courier New" w:hAnsi="Courier New"/>
                <w:sz w:val="14"/>
                <w:szCs w:val="14"/>
                <w:color w:val="auto"/>
              </w:rPr>
              <w:t>A1</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Aa3</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Subordinated</w:t>
            </w:r>
          </w:p>
        </w:tc>
        <w:tc>
          <w:tcPr>
            <w:tcW w:w="2680" w:type="dxa"/>
            <w:vAlign w:val="bottom"/>
          </w:tcPr>
          <w:p>
            <w:pPr>
              <w:ind w:left="2160"/>
              <w:spacing w:after="0"/>
              <w:rPr>
                <w:sz w:val="20"/>
                <w:szCs w:val="20"/>
                <w:color w:val="auto"/>
              </w:rPr>
            </w:pPr>
            <w:r>
              <w:rPr>
                <w:rFonts w:ascii="Courier New" w:cs="Courier New" w:eastAsia="Courier New" w:hAnsi="Courier New"/>
                <w:sz w:val="14"/>
                <w:szCs w:val="14"/>
                <w:color w:val="auto"/>
              </w:rPr>
              <w:t>A2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A1</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Standard &amp; Poor's</w:t>
            </w:r>
          </w:p>
        </w:tc>
        <w:tc>
          <w:tcPr>
            <w:tcW w:w="26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Senior</w:t>
            </w:r>
          </w:p>
        </w:tc>
        <w:tc>
          <w:tcPr>
            <w:tcW w:w="2680" w:type="dxa"/>
            <w:vAlign w:val="bottom"/>
          </w:tcPr>
          <w:p>
            <w:pPr>
              <w:ind w:left="2160"/>
              <w:spacing w:after="0"/>
              <w:rPr>
                <w:sz w:val="20"/>
                <w:szCs w:val="20"/>
                <w:color w:val="auto"/>
              </w:rPr>
            </w:pPr>
            <w:r>
              <w:rPr>
                <w:rFonts w:ascii="Courier New" w:cs="Courier New" w:eastAsia="Courier New" w:hAnsi="Courier New"/>
                <w:sz w:val="14"/>
                <w:szCs w:val="14"/>
                <w:color w:val="auto"/>
              </w:rPr>
              <w:t>A</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w w:val="94"/>
              </w:rPr>
              <w:t>A+</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Subordinated</w:t>
            </w:r>
          </w:p>
        </w:tc>
        <w:tc>
          <w:tcPr>
            <w:tcW w:w="2680" w:type="dxa"/>
            <w:vAlign w:val="bottom"/>
          </w:tcPr>
          <w:p>
            <w:pPr>
              <w:ind w:left="2160"/>
              <w:spacing w:after="0"/>
              <w:rPr>
                <w:sz w:val="20"/>
                <w:szCs w:val="20"/>
                <w:color w:val="auto"/>
              </w:rPr>
            </w:pPr>
            <w:r>
              <w:rPr>
                <w:rFonts w:ascii="Courier New" w:cs="Courier New" w:eastAsia="Courier New" w:hAnsi="Courier New"/>
                <w:sz w:val="14"/>
                <w:szCs w:val="14"/>
                <w:color w:val="auto"/>
              </w:rPr>
              <w:t>A-</w:t>
            </w:r>
          </w:p>
        </w:tc>
        <w:tc>
          <w:tcPr>
            <w:tcW w:w="600" w:type="dxa"/>
            <w:vAlign w:val="bottom"/>
          </w:tcPr>
          <w:p>
            <w:pPr>
              <w:ind w:left="420"/>
              <w:spacing w:after="0"/>
              <w:rPr>
                <w:sz w:val="20"/>
                <w:szCs w:val="20"/>
                <w:color w:val="auto"/>
              </w:rPr>
            </w:pPr>
            <w:r>
              <w:rPr>
                <w:rFonts w:ascii="Courier New" w:cs="Courier New" w:eastAsia="Courier New" w:hAnsi="Courier New"/>
                <w:sz w:val="14"/>
                <w:szCs w:val="14"/>
                <w:color w:val="auto"/>
              </w:rPr>
              <w:t>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360" w:hanging="352"/>
        <w:spacing w:after="0"/>
        <w:tabs>
          <w:tab w:leader="none" w:pos="3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debt ratings for each of the predecessor institutions.</w:t>
      </w:r>
    </w:p>
    <w:p>
      <w:pPr>
        <w:spacing w:after="0" w:line="7" w:lineRule="exact"/>
        <w:rPr>
          <w:rFonts w:ascii="Courier New" w:cs="Courier New" w:eastAsia="Courier New" w:hAnsi="Courier New"/>
          <w:sz w:val="14"/>
          <w:szCs w:val="14"/>
          <w:color w:val="auto"/>
        </w:rPr>
      </w:pPr>
    </w:p>
    <w:p>
      <w:pPr>
        <w:ind w:right="4119" w:firstLine="8"/>
        <w:spacing w:after="0" w:line="255" w:lineRule="auto"/>
        <w:tabs>
          <w:tab w:leader="none" w:pos="344"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debt ratings for each of Chemical Bank and The Chase Manhattan Bank.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ACCOUNTING DEVELOPMENTS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STOCK-BASED COMPENSATION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October 1995, the Financial Accounting Standards Board, ("FASB") issued Statement of Financial Accounting Standards No. 123, "Accounting for Stock-Based Compensation" ("SFAS 123"). SFAS 123 establishes financial accounting and reporting standards for stock-based compensation plans. Such plans include all arrangements by which employees or others receive shares of stock or other equity instruments of the Corporation, or arrangements by which the Corporation incurs liabilities in amounts based on the price of the Corporation's stock. Examples are stock options, restricted stock, restricted stock units, stock appreciation rights and stock purchase plans.</w:t>
      </w:r>
    </w:p>
    <w:p>
      <w:pPr>
        <w:spacing w:after="0" w:line="164"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SFAS 123 allows two alternative accounting methods: (1) a fair-value-based method, or (2) an intrinsic-value-based method which is already prescribed by Accounting Principles Board Opinion No. 25, "Accounting for Stock Issued to Employees" ("APB 25"). Both the accounting and disclosure requirements of SFAS 123 are effective for fiscal years beginning after December 15, 1995. The Corporation intends to continue accounting for its employee stock compensation plans under its current method (APB 25), and will adopt the disclosure requirements of SFAS 123 in 1996.</w:t>
      </w:r>
    </w:p>
    <w:p>
      <w:pPr>
        <w:sectPr>
          <w:pgSz w:w="11900" w:h="16838" w:orient="portrait"/>
          <w:cols w:equalWidth="0" w:num="1">
            <w:col w:w="10239"/>
          </w:cols>
          <w:pgMar w:left="220" w:top="285" w:right="1440" w:bottom="1440" w:gutter="0" w:footer="0" w:header="0"/>
        </w:sectPr>
      </w:pPr>
    </w:p>
    <w:p>
      <w:pPr>
        <w:spacing w:after="0" w:line="16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285" w:right="1440" w:bottom="1440" w:gutter="0" w:footer="0" w:header="0"/>
          <w:type w:val="continuous"/>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29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w:t>
      </w:r>
    </w:p>
    <w:p>
      <w:pPr>
        <w:spacing w:after="0" w:line="173" w:lineRule="exact"/>
        <w:rPr>
          <w:sz w:val="20"/>
          <w:szCs w:val="20"/>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COMPARISON BETWEEN 1994 AND 1993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HIGHLIGHTS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The Corporation's reported net income for 1994 was $2,486 million, compared with net income of $2,394 million in 1993. The Corporation's primary earnings per share were $5.02 in 1994, an increase from $4.85 in 1993. On a fully-diluted basis, earnings per share in 1994 were $4.97, compared with $4.79 for the prior year.</w:t>
      </w:r>
    </w:p>
    <w:p>
      <w:pPr>
        <w:spacing w:after="0" w:line="328"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Net income on a pro forma basis was $2,589 million in 1994, an increase of 14% from comparable earnings of $2,266 million in 1993. Pro forma primary earnings per share were $5.26 in 1994, an increase of 16% from $4.55 in 1993, while fully-diluted earnings per share were $5.20 in 1994, compared with $4.51 for the prior year. The pro forma results represent earnings on a fully-taxed basis and exclude the impact of changes in accounting principles, restructuring charges, charges related to assets held for accelerated disposition and gains on the sales of such assets, gains on emerging markets past-due interest bond sales and foreclosed property expense.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INTEREST INCOME</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Corporation's net interest income was $8,312 million in 1994, compared with $8,291 million in 1993. The increase in 1994 was attributable to a higher level of average interest-earning assets, which was partially offset by narrower spreads due to the effect of rising interest rates.</w:t>
      </w:r>
    </w:p>
    <w:p>
      <w:pPr>
        <w:spacing w:after="0" w:line="162" w:lineRule="exact"/>
        <w:rPr>
          <w:sz w:val="20"/>
          <w:szCs w:val="20"/>
          <w:color w:val="auto"/>
        </w:rPr>
      </w:pPr>
    </w:p>
    <w:p>
      <w:pPr>
        <w:ind w:right="3519" w:firstLine="258"/>
        <w:spacing w:after="0" w:line="251" w:lineRule="auto"/>
        <w:rPr>
          <w:sz w:val="20"/>
          <w:szCs w:val="20"/>
          <w:color w:val="auto"/>
        </w:rPr>
      </w:pPr>
      <w:r>
        <w:rPr>
          <w:rFonts w:ascii="Courier New" w:cs="Courier New" w:eastAsia="Courier New" w:hAnsi="Courier New"/>
          <w:sz w:val="14"/>
          <w:szCs w:val="14"/>
          <w:color w:val="auto"/>
        </w:rPr>
        <w:t>Average interest-earning assets were $227.3 billion in 1994, an increase of 6% from $214.8 billion in 1993, reflecting a higher level of liquid assets and securities. The composition of average interest-earning assets shifted during the latter part of 1993 and early part of 1994 to support the Corporation's trading businesses.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PROVISION FOR LOSSES AND NET CHARGE-OFFS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provision for losses in 1994 was $1,050 million, compared with $2,254 million in 1993, a decline of 53%. Net charge-offs were $1,612 million compared with $2,618 million in 1993, a decline of 38%. The 1994 results included a $148 million charge related to the decision to designate certain assets as held-for-accelerated disposition as well as a $291 million charge incurred in connection with management's final valuation of its emerging markets portfolio. In 1993, the Corporation also recorded a special provision of $566 million relating to its loans held for accelerated disposition portfolio.</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NONINTEREST REVENUE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Noninterest revenue totaled $6,701 million in 1994, compared with $7,181 million in 1993. The decrease from the prior year reflected lower trading revenue, a decline in securities gains, and a decline in gains on the sale of emerging markets-related past-due interest bonds (included in other revenue). These decreases were partially offset by increased fee-based revenue as well as increased revenues from equity-related investments (included in other revenue).</w:t>
      </w:r>
    </w:p>
    <w:p>
      <w:pPr>
        <w:spacing w:after="0" w:line="164" w:lineRule="exact"/>
        <w:rPr>
          <w:sz w:val="20"/>
          <w:szCs w:val="20"/>
          <w:color w:val="auto"/>
        </w:rPr>
      </w:pPr>
    </w:p>
    <w:p>
      <w:pPr>
        <w:ind w:right="3599" w:firstLine="258"/>
        <w:spacing w:after="0" w:line="252" w:lineRule="auto"/>
        <w:rPr>
          <w:sz w:val="20"/>
          <w:szCs w:val="20"/>
          <w:color w:val="auto"/>
        </w:rPr>
      </w:pPr>
      <w:r>
        <w:rPr>
          <w:rFonts w:ascii="Courier New" w:cs="Courier New" w:eastAsia="Courier New" w:hAnsi="Courier New"/>
          <w:sz w:val="14"/>
          <w:szCs w:val="14"/>
          <w:color w:val="auto"/>
        </w:rPr>
        <w:t>Corporate finance and syndication fees in 1994 were $593 million, a 19% increase from the prior year, principally resulting from the continued strong growth in loan syndication and other investment banking activities.</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Trust and investment management fees in 1994 were $1,056 million, an increase of $133 million from $923 million in 1993. The higher level of fees reflected an increase in personal trust fees principally due to new customer relationships developed as a result of the acquisition of Ameritrust Texas Corporation ("Ameritrust") by Texas Commerce and growth in the global private banking businesses.</w:t>
      </w:r>
    </w:p>
    <w:p>
      <w:pPr>
        <w:spacing w:after="0" w:line="164"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Credit card revenue in 1994 was $754 million, an increase of 6% from 1993, reflecting a growing cardholder base, primarily as a result of the Corporation's co-branded Shell MasterCard program, which was launched in the fourth quarter of 1993.</w:t>
      </w:r>
    </w:p>
    <w:p>
      <w:pPr>
        <w:spacing w:after="0" w:line="162"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Service charges on deposit accounts totaled $408 million in 1994, an increase of 3% over 1993, principally reflecting pricing initiatives during the first half of 1994 related to retail accounts, partially offset by a slightly smaller deposit base.</w:t>
      </w:r>
    </w:p>
    <w:p>
      <w:pPr>
        <w:spacing w:after="0" w:line="162"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Fees for other financial services for 1994 were $1,413 million, an increase of $70 million from 1993, primarily due to increased mortgage servicing fees reflecting a higher level of mortgage servicing volume from the Margaretten and AmRes acquisitions, as well as additions to the portfolio from mortgage originations.</w:t>
      </w:r>
    </w:p>
    <w:p>
      <w:pPr>
        <w:spacing w:after="0" w:line="165" w:lineRule="exact"/>
        <w:rPr>
          <w:sz w:val="20"/>
          <w:szCs w:val="20"/>
          <w:color w:val="auto"/>
        </w:rPr>
      </w:pPr>
    </w:p>
    <w:p>
      <w:pPr>
        <w:ind w:right="3599" w:firstLine="258"/>
        <w:spacing w:after="0" w:line="251" w:lineRule="auto"/>
        <w:rPr>
          <w:sz w:val="20"/>
          <w:szCs w:val="20"/>
          <w:color w:val="auto"/>
        </w:rPr>
      </w:pPr>
      <w:r>
        <w:rPr>
          <w:rFonts w:ascii="Courier New" w:cs="Courier New" w:eastAsia="Courier New" w:hAnsi="Courier New"/>
          <w:sz w:val="14"/>
          <w:szCs w:val="14"/>
          <w:color w:val="auto"/>
        </w:rPr>
        <w:t>Trading-related revenue in 1994 was $1,339 million, a decrease of 29% from the prior year, due to a difficult trading environment during 1994, when compared with 1993. The interest rate environment in the U.S. and European markets was volatile during 1994, while difficult conditions existed in the emerging debt markets and European government bond markets. Additionally, the Corporation incurred a $70 million loss resulting from unauthorized foreign exchange transactions involving the Mexican peso.</w:t>
      </w:r>
    </w:p>
    <w:p>
      <w:pPr>
        <w:spacing w:after="0" w:line="164" w:lineRule="exact"/>
        <w:rPr>
          <w:sz w:val="20"/>
          <w:szCs w:val="20"/>
          <w:color w:val="auto"/>
        </w:rPr>
      </w:pPr>
    </w:p>
    <w:p>
      <w:pPr>
        <w:jc w:val="both"/>
        <w:ind w:right="3779" w:firstLine="258"/>
        <w:spacing w:after="0" w:line="252" w:lineRule="auto"/>
        <w:rPr>
          <w:sz w:val="20"/>
          <w:szCs w:val="20"/>
          <w:color w:val="auto"/>
        </w:rPr>
      </w:pPr>
      <w:r>
        <w:rPr>
          <w:rFonts w:ascii="Courier New" w:cs="Courier New" w:eastAsia="Courier New" w:hAnsi="Courier New"/>
          <w:sz w:val="14"/>
          <w:szCs w:val="14"/>
          <w:color w:val="auto"/>
        </w:rPr>
        <w:t>Securities gains were $65 million in 1994, compared with $189 million in 1993. The decrease was due to the higher interest rate environment exerting downward pressure on market prices.</w:t>
      </w:r>
    </w:p>
    <w:p>
      <w:pPr>
        <w:sectPr>
          <w:pgSz w:w="11900" w:h="16838" w:orient="portrait"/>
          <w:cols w:equalWidth="0" w:num="1">
            <w:col w:w="10239"/>
          </w:cols>
          <w:pgMar w:left="220" w:top="285" w:right="1440" w:bottom="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285" w:right="1440" w:bottom="0" w:gutter="0" w:footer="0" w:header="0"/>
          <w:type w:val="continuous"/>
        </w:sectPr>
      </w:pPr>
    </w:p>
    <w:bookmarkStart w:id="61" w:name="page62"/>
    <w:bookmarkEnd w:id="61"/>
    <w:p>
      <w:pPr>
        <w:spacing w:after="0" w:line="5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30</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Corporation's other noninterest revenue for 1994 was $1,239 million, compared with $1,350 million in 1993. Revenue from equity-related investments, which includes income from venture capital activities and emerging markets investments, was $577 million in 1994, an increase of 7% from 1993. Included in other noninterest revenue were net gains of $233 million from the sale of emerging markets-related securities, compared with net gains of $469 million in 1993. Also included in 1994 other noninterest revenue were $104 million of net gains from the sale of assets held for accelerated disposition, compared with $291 million in 1993, and equity income from CIT of $73 million, an increase of 12% from 1993.</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NONINTEREST EXPENSE</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Noninterest expense in 1994 was $10,002 million, compared with $9,828 million in 1993. Included in the results for 1994 was a $260 million restructuring charge, taken in connection with a program to improve earnings per share, a $48 million restructuring charge related to the closing of 50 New York branches, and a charge of $157 million related to productivity initiatives. The 1993 results included a $115 million MHC merger-related charge, a $43 million charge associated with the acquisition of certain assets of the First City Bancorporation of Texas, Inc. by Texas Commerce, and a $45 million charge for the consolidation of data centers and other facilities. The 1993 results also included a special provision of $318 million relating to the Corporation's other real estate assets held for accelerated disposition. For a further discussion regarding the restructuring charges taken by the Corporation during 1994 and 1993, see Note Fifteen of the Notes to Consolidated Financial Statements.</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Excluding restructuring charges and foreclosed property expense in both years, noninterest expense for 1994, when compared with the prior year, reflected higher expenses associated with investments in certain key businesses such as the Shell MasterCard program, the trading and securities businesses, and the Corporation's acquired businesses such as Margaretten, Ameritrust and AmRes.</w:t>
      </w:r>
    </w:p>
    <w:p>
      <w:pPr>
        <w:spacing w:after="0" w:line="165"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Salaries and employee benefits expenses in 1994 were $4,861 million, compared with $4,489 million in 1993. The increase in 1994 was primarily due to additional staff costs resulting from business acquisitions made in 1994 and the latter part of 1993, the implementation of the Shell MasterCard program, and increased incentives related to higher earnings.</w:t>
      </w:r>
    </w:p>
    <w:p>
      <w:pPr>
        <w:spacing w:after="0" w:line="165"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Occupancy expense was $968 million in 1994, a decrease of $23 million from 1993. The decline from 1993 principally resulted from the termination of a facilities lease in London at the beginning of 1994, the impact of branch divestitures, and the continuing consolidation of the New York branch system. Partially offsetting these factors were additional occupancy expenses related to acquisitions, as well as costs associated with the consolidation and relocation of certain data centers.</w:t>
      </w:r>
    </w:p>
    <w:p>
      <w:pPr>
        <w:spacing w:after="0" w:line="164"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Equipment expense in 1994 was $724 million, an increase of $60 million, principally due to higher costs incurred for system enhancements to support the Corporation's trading activities, the consolidation of its data centers, and for upgrades to its ATM technology.</w:t>
      </w:r>
    </w:p>
    <w:p>
      <w:pPr>
        <w:spacing w:after="0" w:line="162"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Foreclosed property expense was $50 million in 1994, compared with $509 million in 1993, reflecting significant progress in managing the Corporation's real estate portfolio.</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For 1994, other expense was $2,934 million, an increase of 11% from the 1993 level. The increase reflected costs relating to expanded marketing programs in support of certain businesses (particularly credit cards and transaction and information services), higher professional services and telecommunication costs, as well as the impact in 1994 of expenses associated with the Corporation's business acquisitions during 1994 and the latter part of 1993.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Corporation recorded income tax expense of $1,475 million in 1994, compared with $798 million in 1993. Included in the 1993 income tax expense were approximately $331 million of Federal income tax benefits.</w:t>
      </w:r>
    </w:p>
    <w:p>
      <w:pPr>
        <w:spacing w:after="0" w:line="163"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The Corporation's effective tax rate was 37.2% in 1994 compared with 28.3% in 1993. Excluding $70 million of benefits recognized under SFAS 109 in 1994, and $331 million of such benefits in 1993, the Corporation's effective tax rate would have been 39.0% in 1994 and 40.0% in 1993.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NONPERFORMING ASSETS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Corporation's total nonperforming assets at December 31, 1994 were $2,126 million, a decline of 62% from $5,630 million at December 31, 1993. This improvement in the Corporation's credit profile is a result of a significantly lower level of loans being placed on nonperforming status, repayments, charge-offs, and the Corporation's continuing loan workout and collection activities.</w:t>
      </w:r>
    </w:p>
    <w:p>
      <w:pPr>
        <w:spacing w:after="0" w:line="327"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 December 1994, the Corporation segregated approximately $735 million of real estate loans and real estate owned (approximately $580 million nonperforming assets) and designated such assets as Assets Held for Accelerated Disposition. These assets were excluded from the December 31, 1994 nonperforming assets category.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CREDIT LOSSES</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The total allowance for credit losses at December 31, 1994 was $3,894 million, or 2.74% of total loans and 245% of nonperforming loans, compared with $4,445</w:t>
      </w:r>
    </w:p>
    <w:p>
      <w:pPr>
        <w:sectPr>
          <w:pgSz w:w="11900" w:h="16890" w:orient="portrait"/>
          <w:cols w:equalWidth="0" w:num="1">
            <w:col w:w="10239"/>
          </w:cols>
          <w:pgMar w:left="220" w:top="285" w:right="1440" w:bottom="0" w:gutter="0" w:footer="0" w:header="0"/>
        </w:sectPr>
      </w:pPr>
    </w:p>
    <w:bookmarkStart w:id="62" w:name="page63"/>
    <w:bookmarkEnd w:id="62"/>
    <w:p>
      <w:pPr>
        <w:ind w:right="3679"/>
        <w:spacing w:after="0" w:line="255" w:lineRule="auto"/>
        <w:rPr>
          <w:sz w:val="20"/>
          <w:szCs w:val="20"/>
          <w:color w:val="auto"/>
        </w:rPr>
      </w:pPr>
      <w:r>
        <w:rPr>
          <w:rFonts w:ascii="Courier New" w:cs="Courier New" w:eastAsia="Courier New" w:hAnsi="Courier New"/>
          <w:sz w:val="14"/>
          <w:szCs w:val="14"/>
          <w:color w:val="auto"/>
        </w:rPr>
        <w:t>million, or 3.24% of total loans and 122% of nonperforming loans at the 1993 year-end.</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141"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31</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MANAGEMENT'S REPORT ON RESPONSIBILITY FOR FINANCIAL REPORTING</w:t>
      </w:r>
    </w:p>
    <w:p>
      <w:pPr>
        <w:spacing w:after="0" w:line="173" w:lineRule="exact"/>
        <w:rPr>
          <w:sz w:val="20"/>
          <w:szCs w:val="20"/>
          <w:color w:val="auto"/>
        </w:rPr>
      </w:pPr>
    </w:p>
    <w:p>
      <w:pPr>
        <w:ind w:left="180" w:hanging="172"/>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TO OUR STOCKHOLDERS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management of The Chase Manhattan Corporation and its subsidiaries has the responsibility for preparing the accompanying consolidated financial statements and for their integrity and objectivity. The statements were prepared in accordance with generally accepted accounting principles. The consolidated financial statements include amounts that are based on management's best estimates and judgments. Management also prepared the other information in the annual report and is responsible for its accuracy and consistency with the consolidated financial statements.</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Management maintains a comprehensive system of internal control to assure the proper authorization of transactions, the safeguarding of assets, and the reliability of the financial records. The system of internal control provides for appropriate division of responsibility and is documented by written policies and procedures that are communicated to employees. The Corporation maintains a strong internal auditing program that independently assesses the effectiveness of the system of internal control and recommends possible improvements thereto. Management believes that as of December 31, 1995, the Corporation maintains an effective system of internal control.</w:t>
      </w:r>
    </w:p>
    <w:p>
      <w:pPr>
        <w:spacing w:after="0" w:line="164"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The Audit Committee of the Board of Directors reviews the systems of internal control and financial reporting. The Committee meets and consults regularly with management, the internal auditors and the independent accountants to review the scope and results of their work.</w:t>
      </w:r>
    </w:p>
    <w:p>
      <w:pPr>
        <w:spacing w:after="0" w:line="162" w:lineRule="exact"/>
        <w:rPr>
          <w:sz w:val="20"/>
          <w:szCs w:val="20"/>
          <w:color w:val="auto"/>
        </w:rPr>
      </w:pPr>
    </w:p>
    <w:p>
      <w:pPr>
        <w:ind w:right="3519" w:firstLine="258"/>
        <w:spacing w:after="0" w:line="250" w:lineRule="auto"/>
        <w:rPr>
          <w:sz w:val="20"/>
          <w:szCs w:val="20"/>
          <w:color w:val="auto"/>
        </w:rPr>
      </w:pPr>
      <w:r>
        <w:rPr>
          <w:rFonts w:ascii="Courier New" w:cs="Courier New" w:eastAsia="Courier New" w:hAnsi="Courier New"/>
          <w:sz w:val="14"/>
          <w:szCs w:val="14"/>
          <w:color w:val="auto"/>
        </w:rPr>
        <w:t>The accounting firm of Price Waterhouse LLP has performed an independent audit of the Corporation's financial statements. Management has made available to Price Waterhouse LLP all of the Corporation's financial records and related data, as well as the minutes of stockholders' and directors' meetings.</w:t>
      </w:r>
    </w:p>
    <w:p>
      <w:pPr>
        <w:spacing w:after="0" w:line="2"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Furthermore, management believes that all representations made to Price Waterhouse LLP during its audit were valid and appropriate. The firm's report appears below.</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Walter V. Shipley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Walter V. Shipley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Thomas G. Labrecque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Thomas G. Labrecque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Operating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Peter J. Tobin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J. Tobin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Joseph L. Sclafani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Joseph L. Sclafani</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Controller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1996</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4"/>
          <w:szCs w:val="14"/>
          <w:color w:val="auto"/>
        </w:rPr>
        <w:t>PRICE WATERHOUSE LLP</w:t>
      </w:r>
      <w:r>
        <w:rPr>
          <w:sz w:val="20"/>
          <w:szCs w:val="20"/>
          <w:color w:val="auto"/>
        </w:rPr>
        <w:tab/>
      </w:r>
      <w:r>
        <w:rPr>
          <w:rFonts w:ascii="Courier New" w:cs="Courier New" w:eastAsia="Courier New" w:hAnsi="Courier New"/>
          <w:sz w:val="14"/>
          <w:szCs w:val="14"/>
          <w:color w:val="auto"/>
        </w:rPr>
        <w:t>1177 AVENUE OF THE AMERICAS, NEW YORK, NY 10036</w:t>
      </w:r>
    </w:p>
    <w:p>
      <w:pPr>
        <w:spacing w:after="0" w:line="173"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To the Board of Directors and Stockholders of The Chase Manhattan Corporation: In our opinion, the accompanying consolidated balance sheet and the related consolidated statements of income, of changes in stockholders' equity and of cash flows present fairly, in all material respects, the financial position of The Chase Manhattan Corporation and its subsidiaries at December 31, 1995 and 1994, and the results of their operations and their cash flows for each of the three years in the period ended December 31, 1995, in conformity with generally accepted accounting principles. These financial statements, which give effect to the March 31, 1996 merger of The Chase Manhattan Corporation and Chemical Banking Corporation, are the responsibility of the Corporation's management. Our responsibility is to express an opinion on these financial statements based on our audits. We conducted our audits of these statements in accordance with generally accepted auditing standards which require that we plan and perform the audits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340"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As described in Notes Four, Thirteen and Sixteen to the consolidated financial statements, in 1993 the Corporation changed its method of accounting for certain investments in debt and marketable equity securities, postretirement benefits other than pensions, and income taxes.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31, 1996</w:t>
      </w:r>
    </w:p>
    <w:p>
      <w:pPr>
        <w:sectPr>
          <w:pgSz w:w="11900" w:h="16838" w:orient="portrait"/>
          <w:cols w:equalWidth="0" w:num="1">
            <w:col w:w="10239"/>
          </w:cols>
          <w:pgMar w:left="220" w:top="285" w:right="1440" w:bottom="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285" w:right="1440" w:bottom="0" w:gutter="0" w:footer="0" w:header="0"/>
          <w:type w:val="continuous"/>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32</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ind w:left="180" w:hanging="172"/>
        <w:spacing w:after="0"/>
        <w:tabs>
          <w:tab w:leader="none" w:pos="1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CONSOLIDATED BALANCE SHEET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December 31, (in millions, except share data)</w:t>
            </w:r>
          </w:p>
        </w:tc>
        <w:tc>
          <w:tcPr>
            <w:tcW w:w="26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14,794</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13,545</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Deposits with Banks</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8,468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12,440</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Federal Funds Sold and Securities Purchased Under Resale Agreements</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17,461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20,077</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Trading Assets:</w:t>
            </w: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Debt and Equity Instruments</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26,212</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17,926</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Risk Management Instruments</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25,825</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25,985</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Available-for-Sale</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37,141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23,140</w:t>
            </w:r>
          </w:p>
        </w:tc>
      </w:tr>
      <w:tr>
        <w:trPr>
          <w:trHeight w:val="166"/>
        </w:trPr>
        <w:tc>
          <w:tcPr>
            <w:tcW w:w="6600" w:type="dxa"/>
            <w:vAlign w:val="bottom"/>
          </w:tcPr>
          <w:p>
            <w:pPr>
              <w:ind w:left="180"/>
              <w:spacing w:after="0"/>
              <w:rPr>
                <w:sz w:val="20"/>
                <w:szCs w:val="20"/>
                <w:color w:val="auto"/>
              </w:rPr>
            </w:pPr>
            <w:r>
              <w:rPr>
                <w:rFonts w:ascii="Courier New" w:cs="Courier New" w:eastAsia="Courier New" w:hAnsi="Courier New"/>
                <w:sz w:val="14"/>
                <w:szCs w:val="14"/>
                <w:color w:val="auto"/>
              </w:rPr>
              <w:t>Held-to-Maturity (Market Value: $4,659 in 1995 and $10,160 in 1994)</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4,628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10,650</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Loans (Net of Unearned Income: $1,073 in 1995 and $895 in 1994)</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150,207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142,231</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Allowance for Credit Losses</w:t>
            </w:r>
          </w:p>
        </w:tc>
        <w:tc>
          <w:tcPr>
            <w:tcW w:w="16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(3,784)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(3,894)</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Premises and Equipment</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3,757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3,951</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Due from Customers on Acceptances</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1,608</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Accrued Interest Receivable</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2,541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2,466</w:t>
            </w:r>
          </w:p>
        </w:tc>
      </w:tr>
      <w:tr>
        <w:trPr>
          <w:trHeight w:val="166"/>
        </w:trPr>
        <w:tc>
          <w:tcPr>
            <w:tcW w:w="66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14,843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$ 303,989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$ 285,383</w:t>
            </w:r>
          </w:p>
        </w:tc>
      </w:tr>
    </w:tbl>
    <w:p>
      <w:pPr>
        <w:spacing w:after="0" w:line="4" w:lineRule="exact"/>
        <w:rPr>
          <w:sz w:val="20"/>
          <w:szCs w:val="20"/>
          <w:color w:val="auto"/>
        </w:rPr>
      </w:pPr>
    </w:p>
    <w:p>
      <w:pPr>
        <w:ind w:left="180" w:hanging="172"/>
        <w:spacing w:after="0"/>
        <w:tabs>
          <w:tab w:leader="none" w:pos="1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927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Deposits: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Domestic:</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Noninterest-Bearing</w:t>
            </w:r>
          </w:p>
        </w:tc>
        <w:tc>
          <w:tcPr>
            <w:tcW w:w="3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35,414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33,389</w:t>
            </w: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Interest-Bearing</w:t>
            </w:r>
          </w:p>
        </w:tc>
        <w:tc>
          <w:tcPr>
            <w:tcW w:w="3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64,640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68,063</w:t>
            </w:r>
          </w:p>
        </w:tc>
      </w:tr>
      <w:tr>
        <w:trPr>
          <w:trHeight w:val="166"/>
        </w:trPr>
        <w:tc>
          <w:tcPr>
            <w:tcW w:w="444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Noninterest-Bearing</w:t>
            </w:r>
          </w:p>
        </w:tc>
        <w:tc>
          <w:tcPr>
            <w:tcW w:w="3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3,702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2,444</w:t>
            </w:r>
          </w:p>
        </w:tc>
      </w:tr>
      <w:tr>
        <w:trPr>
          <w:trHeight w:val="166"/>
        </w:trPr>
        <w:tc>
          <w:tcPr>
            <w:tcW w:w="4440" w:type="dxa"/>
            <w:vAlign w:val="bottom"/>
          </w:tcPr>
          <w:p>
            <w:pPr>
              <w:ind w:left="180"/>
              <w:spacing w:after="0"/>
              <w:rPr>
                <w:sz w:val="20"/>
                <w:szCs w:val="20"/>
                <w:color w:val="auto"/>
              </w:rPr>
            </w:pPr>
            <w:r>
              <w:rPr>
                <w:rFonts w:ascii="Courier New" w:cs="Courier New" w:eastAsia="Courier New" w:hAnsi="Courier New"/>
                <w:sz w:val="14"/>
                <w:szCs w:val="14"/>
                <w:color w:val="auto"/>
              </w:rPr>
              <w:t>Interest-Bearing</w:t>
            </w:r>
          </w:p>
        </w:tc>
        <w:tc>
          <w:tcPr>
            <w:tcW w:w="3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67,778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62,566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60" w:type="dxa"/>
            <w:vAlign w:val="bottom"/>
          </w:tcPr>
          <w:p>
            <w:pPr>
              <w:ind w:left="360"/>
              <w:spacing w:after="0"/>
              <w:rPr>
                <w:sz w:val="20"/>
                <w:szCs w:val="20"/>
                <w:color w:val="auto"/>
              </w:rPr>
            </w:pPr>
            <w:r>
              <w:rPr>
                <w:rFonts w:ascii="Courier New" w:cs="Courier New" w:eastAsia="Courier New" w:hAnsi="Courier New"/>
                <w:sz w:val="14"/>
                <w:szCs w:val="14"/>
                <w:color w:val="auto"/>
              </w:rPr>
              <w:t>Total Deposits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171,534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166,462</w:t>
            </w: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Federal Funds Purchased and Securities Sold Under Repurchase Agreements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37,263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32,410</w:t>
            </w: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Other Borrowed Funds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13,936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11,780</w:t>
            </w: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Acceptances Outstanding</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1,915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1,629</w:t>
            </w: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Trading Liabilities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34,341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30,356</w:t>
            </w: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Accounts Payable, Accrued Expenses and Other Liabilities</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11,339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10,812</w:t>
            </w:r>
          </w:p>
        </w:tc>
      </w:tr>
      <w:tr>
        <w:trPr>
          <w:trHeight w:val="166"/>
        </w:trPr>
        <w:tc>
          <w:tcPr>
            <w:tcW w:w="67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12,825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13,061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3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283,153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266,510</w:t>
            </w:r>
          </w:p>
        </w:tc>
      </w:tr>
    </w:tbl>
    <w:p>
      <w:pPr>
        <w:spacing w:after="0" w:line="4" w:lineRule="exact"/>
        <w:rPr>
          <w:sz w:val="20"/>
          <w:szCs w:val="20"/>
          <w:color w:val="auto"/>
        </w:rPr>
      </w:pPr>
    </w:p>
    <w:p>
      <w:pPr>
        <w:ind w:left="180" w:hanging="172"/>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Commitments and Contingencies (See Note Twenty Three)</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gridSpan w:val="2"/>
          </w:tcPr>
          <w:p>
            <w:pPr>
              <w:spacing w:after="0"/>
              <w:rPr>
                <w:sz w:val="20"/>
                <w:szCs w:val="20"/>
                <w:color w:val="auto"/>
              </w:rPr>
            </w:pPr>
            <w:r>
              <w:rPr>
                <w:rFonts w:ascii="Courier New" w:cs="Courier New" w:eastAsia="Courier New" w:hAnsi="Courier New"/>
                <w:sz w:val="14"/>
                <w:szCs w:val="14"/>
                <w:color w:val="auto"/>
              </w:rPr>
              <w:t>Preferred Stock</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2,650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2,850</w:t>
            </w:r>
          </w:p>
        </w:tc>
      </w:tr>
      <w:tr>
        <w:trPr>
          <w:trHeight w:val="166"/>
        </w:trPr>
        <w:tc>
          <w:tcPr>
            <w:tcW w:w="724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(Authorized 750,000,000 Shares,</w:t>
            </w: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Issued</w:t>
            </w: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457,587,675 Shares in 1995 and 447,110,332 Shares in 1994)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447</w:t>
            </w:r>
          </w:p>
        </w:tc>
      </w:tr>
      <w:tr>
        <w:trPr>
          <w:trHeight w:val="166"/>
        </w:trPr>
        <w:tc>
          <w:tcPr>
            <w:tcW w:w="7240" w:type="dxa"/>
            <w:vAlign w:val="bottom"/>
            <w:gridSpan w:val="2"/>
          </w:tcPr>
          <w:p>
            <w:pPr>
              <w:spacing w:after="0"/>
              <w:rPr>
                <w:sz w:val="20"/>
                <w:szCs w:val="20"/>
                <w:color w:val="auto"/>
              </w:rPr>
            </w:pPr>
            <w:r>
              <w:rPr>
                <w:rFonts w:ascii="Courier New" w:cs="Courier New" w:eastAsia="Courier New" w:hAnsi="Courier New"/>
                <w:sz w:val="14"/>
                <w:szCs w:val="14"/>
                <w:color w:val="auto"/>
              </w:rPr>
              <w:t>Capital Surplus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11,075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10,671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Retained</w:t>
            </w: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Earnings</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7,997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6,045</w:t>
            </w:r>
          </w:p>
        </w:tc>
      </w:tr>
      <w:tr>
        <w:trPr>
          <w:trHeight w:val="166"/>
        </w:trPr>
        <w:tc>
          <w:tcPr>
            <w:tcW w:w="7240" w:type="dxa"/>
            <w:vAlign w:val="bottom"/>
            <w:gridSpan w:val="2"/>
          </w:tcPr>
          <w:p>
            <w:pPr>
              <w:spacing w:after="0"/>
              <w:rPr>
                <w:sz w:val="20"/>
                <w:szCs w:val="20"/>
                <w:color w:val="auto"/>
              </w:rPr>
            </w:pPr>
            <w:r>
              <w:rPr>
                <w:rFonts w:ascii="Courier New" w:cs="Courier New" w:eastAsia="Courier New" w:hAnsi="Courier New"/>
                <w:sz w:val="14"/>
                <w:szCs w:val="14"/>
                <w:color w:val="auto"/>
              </w:rPr>
              <w:t>Net Unrealized Loss on Securities Available-for-Sale, Net of Taxes</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Treasury</w:t>
            </w:r>
          </w:p>
        </w:tc>
        <w:tc>
          <w:tcPr>
            <w:tcW w:w="6500" w:type="dxa"/>
            <w:vAlign w:val="bottom"/>
          </w:tcPr>
          <w:p>
            <w:pPr>
              <w:ind w:left="40"/>
              <w:spacing w:after="0"/>
              <w:rPr>
                <w:sz w:val="20"/>
                <w:szCs w:val="20"/>
                <w:color w:val="auto"/>
              </w:rPr>
            </w:pPr>
            <w:r>
              <w:rPr>
                <w:rFonts w:ascii="Courier New" w:cs="Courier New" w:eastAsia="Courier New" w:hAnsi="Courier New"/>
                <w:sz w:val="14"/>
                <w:szCs w:val="14"/>
                <w:color w:val="auto"/>
              </w:rPr>
              <w:t>Stock, at Cost (22,583,225 Shares in 1995 and 18,337,533 Shares in 1994)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34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20,836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18,873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Total Liabilities and Stockholders' Equity</w:t>
            </w:r>
          </w:p>
        </w:tc>
        <w:tc>
          <w:tcPr>
            <w:tcW w:w="2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$ 303,989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$ 285,383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Notes to Consolidated Financial Statements are an integral part of these Statements.</w:t>
      </w:r>
    </w:p>
    <w:p>
      <w:pPr>
        <w:spacing w:after="0" w:line="16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285"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33</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 INCOME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 except per share data)</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INTEREST INCOME</w:t>
            </w: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Loans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$12,842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$11,004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$11,207</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2,591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2,412</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Trading Assets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1,464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762</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Federal Funds Sold and Securities Purchased Under Resale Agreements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1,889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1,368</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Deposits with Banks</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Interest Income</w:t>
            </w:r>
          </w:p>
        </w:tc>
        <w:tc>
          <w:tcPr>
            <w:tcW w:w="2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19,610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17,311   16,734</w:t>
            </w:r>
          </w:p>
        </w:tc>
      </w:tr>
    </w:tbl>
    <w:p>
      <w:pPr>
        <w:spacing w:after="0" w:line="4" w:lineRule="exact"/>
        <w:rPr>
          <w:sz w:val="20"/>
          <w:szCs w:val="20"/>
          <w:color w:val="auto"/>
        </w:rPr>
      </w:pPr>
    </w:p>
    <w:p>
      <w:pPr>
        <w:ind w:left="180" w:hanging="172"/>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EXPENSE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2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6,291</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4,704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4,255</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Short-Term and Other Borrowings</w:t>
            </w:r>
          </w:p>
        </w:tc>
        <w:tc>
          <w:tcPr>
            <w:tcW w:w="2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4,175</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3,447</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3,163</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3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942</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848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1,025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Total Interest Expense</w:t>
            </w:r>
          </w:p>
        </w:tc>
        <w:tc>
          <w:tcPr>
            <w:tcW w:w="2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11,408</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8,999</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8,443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gridSpan w:val="2"/>
          </w:tcPr>
          <w:p>
            <w:pPr>
              <w:spacing w:after="0"/>
              <w:rPr>
                <w:sz w:val="20"/>
                <w:szCs w:val="20"/>
                <w:color w:val="auto"/>
              </w:rPr>
            </w:pPr>
            <w:r>
              <w:rPr>
                <w:rFonts w:ascii="Courier New" w:cs="Courier New" w:eastAsia="Courier New" w:hAnsi="Courier New"/>
                <w:sz w:val="14"/>
                <w:szCs w:val="14"/>
                <w:color w:val="auto"/>
              </w:rPr>
              <w:t>Net Interest Income</w:t>
            </w:r>
          </w:p>
        </w:tc>
        <w:tc>
          <w:tcPr>
            <w:tcW w:w="3620" w:type="dxa"/>
            <w:vAlign w:val="bottom"/>
          </w:tcPr>
          <w:p>
            <w:pPr>
              <w:spacing w:after="0"/>
              <w:rPr>
                <w:sz w:val="14"/>
                <w:szCs w:val="14"/>
                <w:color w:val="auto"/>
              </w:rPr>
            </w:pP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8,202</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8,312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8,291</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Provision for</w:t>
            </w:r>
          </w:p>
        </w:tc>
        <w:tc>
          <w:tcPr>
            <w:tcW w:w="4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Losses</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758</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2,254</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Provision for</w:t>
            </w:r>
          </w:p>
        </w:tc>
        <w:tc>
          <w:tcPr>
            <w:tcW w:w="500" w:type="dxa"/>
            <w:vAlign w:val="bottom"/>
          </w:tcPr>
          <w:p>
            <w:pPr>
              <w:ind w:left="40"/>
              <w:spacing w:after="0"/>
              <w:rPr>
                <w:sz w:val="20"/>
                <w:szCs w:val="20"/>
                <w:color w:val="auto"/>
              </w:rPr>
            </w:pPr>
            <w:r>
              <w:rPr>
                <w:rFonts w:ascii="Courier New" w:cs="Courier New" w:eastAsia="Courier New" w:hAnsi="Courier New"/>
                <w:sz w:val="14"/>
                <w:szCs w:val="14"/>
                <w:color w:val="auto"/>
              </w:rPr>
              <w:t>Loans</w:t>
            </w:r>
          </w:p>
        </w:tc>
        <w:tc>
          <w:tcPr>
            <w:tcW w:w="3620" w:type="dxa"/>
            <w:vAlign w:val="bottom"/>
          </w:tcPr>
          <w:p>
            <w:pPr>
              <w:ind w:left="60"/>
              <w:spacing w:after="0"/>
              <w:rPr>
                <w:sz w:val="20"/>
                <w:szCs w:val="20"/>
                <w:color w:val="auto"/>
              </w:rPr>
            </w:pPr>
            <w:r>
              <w:rPr>
                <w:rFonts w:ascii="Courier New" w:cs="Courier New" w:eastAsia="Courier New" w:hAnsi="Courier New"/>
                <w:sz w:val="14"/>
                <w:szCs w:val="14"/>
                <w:color w:val="auto"/>
              </w:rPr>
              <w:t>Held for Accelerated Disposition</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Net Interest Income After Provisions for Losses</w:t>
            </w:r>
          </w:p>
        </w:tc>
        <w:tc>
          <w:tcPr>
            <w:tcW w:w="16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7,444</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7,262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5,471</w:t>
            </w:r>
          </w:p>
        </w:tc>
      </w:tr>
    </w:tbl>
    <w:p>
      <w:pPr>
        <w:spacing w:after="0" w:line="4" w:lineRule="exact"/>
        <w:rPr>
          <w:sz w:val="20"/>
          <w:szCs w:val="20"/>
          <w:color w:val="auto"/>
        </w:rPr>
      </w:pPr>
    </w:p>
    <w:p>
      <w:pPr>
        <w:ind w:left="180" w:hanging="172"/>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NONINTEREST REVENUE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Corporate Finance and Syndication Fees</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796</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593</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Trust and Investment Management Fees</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1,018</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1,056</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923</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Credit Card Revenue</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834</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710</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Service Charges on Deposit Accounts</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417</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397</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Fees for Other Financial Services</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1,453</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1,413</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1,343</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Trading Revenue</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1,016</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1,173</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1,769</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Securities Gains</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132</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189</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Other Revenue</w:t>
            </w:r>
          </w:p>
        </w:tc>
        <w:tc>
          <w:tcPr>
            <w:tcW w:w="20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1,092</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1,239</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1,350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Noninterest Revenue</w:t>
            </w:r>
          </w:p>
        </w:tc>
        <w:tc>
          <w:tcPr>
            <w:tcW w:w="26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6,758</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6,701</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7,181</w:t>
            </w:r>
          </w:p>
        </w:tc>
      </w:tr>
    </w:tbl>
    <w:p>
      <w:pPr>
        <w:spacing w:after="0" w:line="4" w:lineRule="exact"/>
        <w:rPr>
          <w:sz w:val="20"/>
          <w:szCs w:val="20"/>
          <w:color w:val="auto"/>
        </w:rPr>
      </w:pPr>
    </w:p>
    <w:p>
      <w:pPr>
        <w:ind w:left="180" w:hanging="172"/>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NONINTEREST EXPENSE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Salaries</w:t>
            </w:r>
          </w:p>
        </w:tc>
        <w:tc>
          <w:tcPr>
            <w:tcW w:w="46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4,208</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3,978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3,660</w:t>
            </w:r>
          </w:p>
        </w:tc>
      </w:tr>
      <w:tr>
        <w:trPr>
          <w:trHeight w:val="166"/>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Employee Benefits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899</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883</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829</w:t>
            </w:r>
          </w:p>
        </w:tc>
      </w:tr>
      <w:tr>
        <w:trPr>
          <w:trHeight w:val="166"/>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Occupancy Expense</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897</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968</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991</w:t>
            </w:r>
          </w:p>
        </w:tc>
      </w:tr>
      <w:tr>
        <w:trPr>
          <w:trHeight w:val="166"/>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Equipment Expense</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755</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724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664</w:t>
            </w:r>
          </w:p>
        </w:tc>
      </w:tr>
      <w:tr>
        <w:trPr>
          <w:trHeight w:val="166"/>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Foreclosed Property Expense</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509</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Provision for</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Other Real Estate Held for Accelerated Disposition</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318</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Restructuring</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Charge</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465</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203</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Other Expense</w:t>
            </w:r>
          </w:p>
        </w:tc>
        <w:tc>
          <w:tcPr>
            <w:tcW w:w="46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2,691</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2,934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2,654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Noninterest Expense</w:t>
            </w:r>
          </w:p>
        </w:tc>
        <w:tc>
          <w:tcPr>
            <w:tcW w:w="25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9,390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9,828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5300" w:type="dxa"/>
            <w:vAlign w:val="bottom"/>
          </w:tcPr>
          <w:p>
            <w:pPr>
              <w:ind w:left="60"/>
              <w:spacing w:after="0"/>
              <w:rPr>
                <w:sz w:val="20"/>
                <w:szCs w:val="20"/>
                <w:color w:val="auto"/>
              </w:rPr>
            </w:pPr>
            <w:r>
              <w:rPr>
                <w:rFonts w:ascii="Courier New" w:cs="Courier New" w:eastAsia="Courier New" w:hAnsi="Courier New"/>
                <w:sz w:val="14"/>
                <w:szCs w:val="14"/>
                <w:color w:val="auto"/>
              </w:rPr>
              <w:t>Before Income Tax Expense and Effect of Accounting Changes</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4,812</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3,961</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2,824</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5300" w:type="dxa"/>
            <w:vAlign w:val="bottom"/>
          </w:tcPr>
          <w:p>
            <w:pPr>
              <w:ind w:left="60"/>
              <w:spacing w:after="0"/>
              <w:rPr>
                <w:sz w:val="20"/>
                <w:szCs w:val="20"/>
                <w:color w:val="auto"/>
              </w:rPr>
            </w:pPr>
            <w:r>
              <w:rPr>
                <w:rFonts w:ascii="Courier New" w:cs="Courier New" w:eastAsia="Courier New" w:hAnsi="Courier New"/>
                <w:sz w:val="14"/>
                <w:szCs w:val="14"/>
                <w:color w:val="auto"/>
              </w:rPr>
              <w:t>Tax Expense</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1,842</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1,475</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Income Before</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Effect of Accounting Changes</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2,970</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2,486</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2,026</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Net Effect of</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Changes in Accounting Principles</w:t>
            </w:r>
          </w:p>
        </w:tc>
        <w:tc>
          <w:tcPr>
            <w:tcW w:w="1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940" w:val="left"/>
          <w:tab w:leader="none" w:pos="6800" w:val="left"/>
          <w:tab w:leader="none" w:pos="756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$ 2,959</w:t>
      </w:r>
      <w:r>
        <w:rPr>
          <w:sz w:val="20"/>
          <w:szCs w:val="20"/>
          <w:color w:val="auto"/>
        </w:rPr>
        <w:tab/>
      </w:r>
      <w:r>
        <w:rPr>
          <w:rFonts w:ascii="Courier New" w:cs="Courier New" w:eastAsia="Courier New" w:hAnsi="Courier New"/>
          <w:sz w:val="14"/>
          <w:szCs w:val="14"/>
          <w:color w:val="auto"/>
        </w:rPr>
        <w:t>$ 2,486</w:t>
        <w:tab/>
        <w:t>$ 2,394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940" w:val="left"/>
          <w:tab w:leader="none" w:pos="6800" w:val="left"/>
          <w:tab w:leader="none" w:pos="7560" w:val="left"/>
        </w:tabs>
        <w:rPr>
          <w:sz w:val="20"/>
          <w:szCs w:val="20"/>
          <w:color w:val="auto"/>
        </w:rPr>
      </w:pPr>
      <w:r>
        <w:rPr>
          <w:rFonts w:ascii="Courier New" w:cs="Courier New" w:eastAsia="Courier New" w:hAnsi="Courier New"/>
          <w:sz w:val="14"/>
          <w:szCs w:val="14"/>
          <w:color w:val="auto"/>
        </w:rPr>
        <w:t>Net Income Applicable to Common Stock</w:t>
      </w:r>
      <w:r>
        <w:rPr>
          <w:sz w:val="20"/>
          <w:szCs w:val="20"/>
          <w:color w:val="auto"/>
        </w:rPr>
        <w:tab/>
      </w:r>
      <w:r>
        <w:rPr>
          <w:rFonts w:ascii="Courier New" w:cs="Courier New" w:eastAsia="Courier New" w:hAnsi="Courier New"/>
          <w:sz w:val="14"/>
          <w:szCs w:val="14"/>
          <w:color w:val="auto"/>
        </w:rPr>
        <w:t>$ 2,732</w:t>
      </w:r>
      <w:r>
        <w:rPr>
          <w:sz w:val="20"/>
          <w:szCs w:val="20"/>
          <w:color w:val="auto"/>
        </w:rPr>
        <w:tab/>
      </w:r>
      <w:r>
        <w:rPr>
          <w:rFonts w:ascii="Courier New" w:cs="Courier New" w:eastAsia="Courier New" w:hAnsi="Courier New"/>
          <w:sz w:val="14"/>
          <w:szCs w:val="14"/>
          <w:color w:val="auto"/>
        </w:rPr>
        <w:t>$ 2,221</w:t>
        <w:tab/>
        <w:t>$ 2,099</w:t>
      </w:r>
    </w:p>
    <w:p>
      <w:pPr>
        <w:spacing w:after="0" w:line="7" w:lineRule="exact"/>
        <w:rPr>
          <w:sz w:val="20"/>
          <w:szCs w:val="20"/>
          <w:color w:val="auto"/>
        </w:rPr>
      </w:pP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5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PER SHARE: Primary:</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160" w:type="dxa"/>
            <w:vAlign w:val="bottom"/>
          </w:tcPr>
          <w:p>
            <w:pPr>
              <w:spacing w:after="0"/>
              <w:rPr>
                <w:sz w:val="20"/>
                <w:szCs w:val="20"/>
                <w:color w:val="auto"/>
              </w:rPr>
            </w:pPr>
            <w:r>
              <w:rPr>
                <w:rFonts w:ascii="Courier New" w:cs="Courier New" w:eastAsia="Courier New" w:hAnsi="Courier New"/>
                <w:sz w:val="14"/>
                <w:szCs w:val="14"/>
                <w:color w:val="auto"/>
              </w:rPr>
              <w:t>Income Before</w:t>
            </w:r>
          </w:p>
        </w:tc>
        <w:tc>
          <w:tcPr>
            <w:tcW w:w="3700" w:type="dxa"/>
            <w:vAlign w:val="bottom"/>
          </w:tcPr>
          <w:p>
            <w:pPr>
              <w:ind w:left="40"/>
              <w:spacing w:after="0"/>
              <w:rPr>
                <w:sz w:val="20"/>
                <w:szCs w:val="20"/>
                <w:color w:val="auto"/>
              </w:rPr>
            </w:pPr>
            <w:r>
              <w:rPr>
                <w:rFonts w:ascii="Courier New" w:cs="Courier New" w:eastAsia="Courier New" w:hAnsi="Courier New"/>
                <w:sz w:val="14"/>
                <w:szCs w:val="14"/>
                <w:color w:val="auto"/>
              </w:rPr>
              <w:t>Effect of Accounting Changes</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6.23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5.02</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Net Effect of</w:t>
            </w:r>
          </w:p>
        </w:tc>
        <w:tc>
          <w:tcPr>
            <w:tcW w:w="3700" w:type="dxa"/>
            <w:vAlign w:val="bottom"/>
          </w:tcPr>
          <w:p>
            <w:pPr>
              <w:ind w:left="40"/>
              <w:spacing w:after="0"/>
              <w:rPr>
                <w:sz w:val="20"/>
                <w:szCs w:val="20"/>
                <w:color w:val="auto"/>
              </w:rPr>
            </w:pPr>
            <w:r>
              <w:rPr>
                <w:rFonts w:ascii="Courier New" w:cs="Courier New" w:eastAsia="Courier New" w:hAnsi="Courier New"/>
                <w:sz w:val="14"/>
                <w:szCs w:val="14"/>
                <w:color w:val="auto"/>
              </w:rPr>
              <w:t>Changes in Accounting Principles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6.20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5.02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4.85</w:t>
            </w:r>
          </w:p>
        </w:tc>
      </w:tr>
    </w:tbl>
    <w:p>
      <w:pPr>
        <w:spacing w:after="0" w:line="4" w:lineRule="exact"/>
        <w:rPr>
          <w:sz w:val="20"/>
          <w:szCs w:val="20"/>
          <w:color w:val="auto"/>
        </w:rPr>
      </w:pPr>
    </w:p>
    <w:p>
      <w:pPr>
        <w:ind w:left="180" w:hanging="172"/>
        <w:spacing w:after="0"/>
        <w:tabs>
          <w:tab w:leader="none" w:pos="1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Full Dilution:</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160" w:type="dxa"/>
            <w:vAlign w:val="bottom"/>
          </w:tcPr>
          <w:p>
            <w:pPr>
              <w:spacing w:after="0"/>
              <w:rPr>
                <w:sz w:val="20"/>
                <w:szCs w:val="20"/>
                <w:color w:val="auto"/>
              </w:rPr>
            </w:pPr>
            <w:r>
              <w:rPr>
                <w:rFonts w:ascii="Courier New" w:cs="Courier New" w:eastAsia="Courier New" w:hAnsi="Courier New"/>
                <w:sz w:val="14"/>
                <w:szCs w:val="14"/>
                <w:color w:val="auto"/>
              </w:rPr>
              <w:t>Income Before</w:t>
            </w:r>
          </w:p>
        </w:tc>
        <w:tc>
          <w:tcPr>
            <w:tcW w:w="3700" w:type="dxa"/>
            <w:vAlign w:val="bottom"/>
          </w:tcPr>
          <w:p>
            <w:pPr>
              <w:ind w:left="40"/>
              <w:spacing w:after="0"/>
              <w:rPr>
                <w:sz w:val="20"/>
                <w:szCs w:val="20"/>
                <w:color w:val="auto"/>
              </w:rPr>
            </w:pPr>
            <w:r>
              <w:rPr>
                <w:rFonts w:ascii="Courier New" w:cs="Courier New" w:eastAsia="Courier New" w:hAnsi="Courier New"/>
                <w:sz w:val="14"/>
                <w:szCs w:val="14"/>
                <w:color w:val="auto"/>
              </w:rPr>
              <w:t>Effect of Accounting Changes</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6.07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4.97</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3.96</w:t>
            </w:r>
          </w:p>
        </w:tc>
      </w:tr>
      <w:tr>
        <w:trPr>
          <w:trHeight w:val="166"/>
        </w:trPr>
        <w:tc>
          <w:tcPr>
            <w:tcW w:w="1160" w:type="dxa"/>
            <w:vAlign w:val="bottom"/>
          </w:tcPr>
          <w:p>
            <w:pPr>
              <w:spacing w:after="0"/>
              <w:rPr>
                <w:sz w:val="20"/>
                <w:szCs w:val="20"/>
                <w:color w:val="auto"/>
              </w:rPr>
            </w:pPr>
            <w:r>
              <w:rPr>
                <w:rFonts w:ascii="Courier New" w:cs="Courier New" w:eastAsia="Courier New" w:hAnsi="Courier New"/>
                <w:sz w:val="14"/>
                <w:szCs w:val="14"/>
                <w:color w:val="auto"/>
              </w:rPr>
              <w:t>Net Effect of</w:t>
            </w:r>
          </w:p>
        </w:tc>
        <w:tc>
          <w:tcPr>
            <w:tcW w:w="3700" w:type="dxa"/>
            <w:vAlign w:val="bottom"/>
          </w:tcPr>
          <w:p>
            <w:pPr>
              <w:ind w:left="40"/>
              <w:spacing w:after="0"/>
              <w:rPr>
                <w:sz w:val="20"/>
                <w:szCs w:val="20"/>
                <w:color w:val="auto"/>
              </w:rPr>
            </w:pPr>
            <w:r>
              <w:rPr>
                <w:rFonts w:ascii="Courier New" w:cs="Courier New" w:eastAsia="Courier New" w:hAnsi="Courier New"/>
                <w:sz w:val="14"/>
                <w:szCs w:val="14"/>
                <w:color w:val="auto"/>
              </w:rPr>
              <w:t>Changes in Accounting Principles</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1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6.04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4.97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4.79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Average Common and Common Equivalent Shares</w:t>
            </w:r>
          </w:p>
        </w:tc>
        <w:tc>
          <w:tcPr>
            <w:tcW w:w="18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440.8</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442.2</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433.1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100" w:val="left"/>
          <w:tab w:leader="none" w:pos="6960" w:val="left"/>
          <w:tab w:leader="none" w:pos="7740" w:val="left"/>
        </w:tabs>
        <w:rPr>
          <w:sz w:val="20"/>
          <w:szCs w:val="20"/>
          <w:color w:val="auto"/>
        </w:rPr>
      </w:pPr>
      <w:r>
        <w:rPr>
          <w:rFonts w:ascii="Courier New" w:cs="Courier New" w:eastAsia="Courier New" w:hAnsi="Courier New"/>
          <w:sz w:val="14"/>
          <w:szCs w:val="14"/>
          <w:color w:val="auto"/>
        </w:rPr>
        <w:t>Average Common Shares Assuming Full Dilution</w:t>
      </w:r>
      <w:r>
        <w:rPr>
          <w:sz w:val="20"/>
          <w:szCs w:val="20"/>
          <w:color w:val="auto"/>
        </w:rPr>
        <w:tab/>
      </w:r>
      <w:r>
        <w:rPr>
          <w:rFonts w:ascii="Courier New" w:cs="Courier New" w:eastAsia="Courier New" w:hAnsi="Courier New"/>
          <w:sz w:val="14"/>
          <w:szCs w:val="14"/>
          <w:color w:val="auto"/>
        </w:rPr>
        <w:t>453.5</w:t>
      </w:r>
      <w:r>
        <w:rPr>
          <w:sz w:val="20"/>
          <w:szCs w:val="20"/>
          <w:color w:val="auto"/>
        </w:rPr>
        <w:tab/>
      </w:r>
      <w:r>
        <w:rPr>
          <w:rFonts w:ascii="Courier New" w:cs="Courier New" w:eastAsia="Courier New" w:hAnsi="Courier New"/>
          <w:sz w:val="14"/>
          <w:szCs w:val="14"/>
          <w:color w:val="auto"/>
        </w:rPr>
        <w:t>450.9</w:t>
      </w:r>
      <w:r>
        <w:rPr>
          <w:sz w:val="20"/>
          <w:szCs w:val="20"/>
          <w:color w:val="auto"/>
        </w:rPr>
        <w:tab/>
      </w:r>
      <w:r>
        <w:rPr>
          <w:rFonts w:ascii="Courier New" w:cs="Courier New" w:eastAsia="Courier New" w:hAnsi="Courier New"/>
          <w:sz w:val="14"/>
          <w:szCs w:val="14"/>
          <w:color w:val="auto"/>
        </w:rPr>
        <w:t>441.7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Notes to Consolidated Financial Statements are an integral part of these Statements.</w:t>
      </w:r>
    </w:p>
    <w:p>
      <w:pPr>
        <w:sectPr>
          <w:pgSz w:w="11900" w:h="16838" w:orient="portrait"/>
          <w:cols w:equalWidth="0" w:num="1">
            <w:col w:w="10239"/>
          </w:cols>
          <w:pgMar w:left="220" w:top="285" w:right="1440" w:bottom="1088"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285" w:right="1440" w:bottom="1088" w:gutter="0" w:footer="0" w:header="0"/>
          <w:type w:val="continuous"/>
        </w:sectPr>
      </w:pPr>
    </w:p>
    <w:bookmarkStart w:id="66" w:name="page67"/>
    <w:bookmarkEnd w:id="66"/>
    <w:p>
      <w:pPr>
        <w:ind w:left="260"/>
        <w:spacing w:after="0"/>
        <w:rPr>
          <w:sz w:val="20"/>
          <w:szCs w:val="20"/>
          <w:color w:val="auto"/>
        </w:rPr>
      </w:pPr>
      <w:r>
        <w:rPr>
          <w:rFonts w:ascii="Courier New" w:cs="Courier New" w:eastAsia="Courier New" w:hAnsi="Courier New"/>
          <w:sz w:val="14"/>
          <w:szCs w:val="14"/>
          <w:color w:val="auto"/>
        </w:rPr>
        <w:t>34</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 CHANGES IN STOCKHOLDERS' EQUITY</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2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PREFERRED STOCK</w:t>
            </w:r>
          </w:p>
        </w:tc>
        <w:tc>
          <w:tcPr>
            <w:tcW w:w="2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352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2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$ 2,850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$ 3,053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$ 3,325</w:t>
            </w:r>
          </w:p>
        </w:tc>
      </w:tr>
      <w:tr>
        <w:trPr>
          <w:trHeight w:val="166"/>
        </w:trPr>
        <w:tc>
          <w:tcPr>
            <w:tcW w:w="4440" w:type="dxa"/>
            <w:vAlign w:val="bottom"/>
            <w:gridSpan w:val="2"/>
          </w:tcPr>
          <w:p>
            <w:pPr>
              <w:spacing w:after="0"/>
              <w:rPr>
                <w:sz w:val="20"/>
                <w:szCs w:val="20"/>
                <w:color w:val="auto"/>
              </w:rPr>
            </w:pPr>
            <w:r>
              <w:rPr>
                <w:rFonts w:ascii="Courier New" w:cs="Courier New" w:eastAsia="Courier New" w:hAnsi="Courier New"/>
                <w:sz w:val="14"/>
                <w:szCs w:val="14"/>
                <w:color w:val="auto"/>
              </w:rPr>
              <w:t>Issuance of Stock</w:t>
            </w:r>
          </w:p>
        </w:tc>
        <w:tc>
          <w:tcPr>
            <w:tcW w:w="28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572</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Redemption</w:t>
            </w:r>
          </w:p>
        </w:tc>
        <w:tc>
          <w:tcPr>
            <w:tcW w:w="3520" w:type="dxa"/>
            <w:vAlign w:val="bottom"/>
          </w:tcPr>
          <w:p>
            <w:pPr>
              <w:ind w:left="40"/>
              <w:spacing w:after="0"/>
              <w:rPr>
                <w:sz w:val="20"/>
                <w:szCs w:val="20"/>
                <w:color w:val="auto"/>
              </w:rPr>
            </w:pPr>
            <w:r>
              <w:rPr>
                <w:rFonts w:ascii="Courier New" w:cs="Courier New" w:eastAsia="Courier New" w:hAnsi="Courier New"/>
                <w:sz w:val="14"/>
                <w:szCs w:val="14"/>
                <w:color w:val="auto"/>
              </w:rPr>
              <w:t>of Stock</w:t>
            </w:r>
          </w:p>
        </w:tc>
        <w:tc>
          <w:tcPr>
            <w:tcW w:w="28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3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2,650</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2,850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3,053</w:t>
            </w:r>
          </w:p>
        </w:tc>
      </w:tr>
    </w:tbl>
    <w:p>
      <w:pPr>
        <w:spacing w:after="0" w:line="4" w:lineRule="exact"/>
        <w:rPr>
          <w:sz w:val="20"/>
          <w:szCs w:val="20"/>
          <w:color w:val="auto"/>
        </w:r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2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447</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409</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Issuance of Stock</w:t>
            </w:r>
          </w:p>
        </w:tc>
        <w:tc>
          <w:tcPr>
            <w:tcW w:w="2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3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458</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445</w:t>
            </w:r>
          </w:p>
        </w:tc>
      </w:tr>
    </w:tbl>
    <w:p>
      <w:pPr>
        <w:spacing w:after="0" w:line="4" w:lineRule="exact"/>
        <w:rPr>
          <w:sz w:val="20"/>
          <w:szCs w:val="20"/>
          <w:color w:val="auto"/>
        </w:rPr>
      </w:pPr>
    </w:p>
    <w:p>
      <w:pPr>
        <w:ind w:left="180" w:hanging="172"/>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SURPLUS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Balance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Beginning of Year</w:t>
            </w:r>
          </w:p>
        </w:tc>
        <w:tc>
          <w:tcPr>
            <w:tcW w:w="2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10,671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10,652</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9,700</w:t>
            </w:r>
          </w:p>
        </w:tc>
      </w:tr>
      <w:tr>
        <w:trPr>
          <w:trHeight w:val="166"/>
        </w:trPr>
        <w:tc>
          <w:tcPr>
            <w:tcW w:w="5220" w:type="dxa"/>
            <w:vAlign w:val="bottom"/>
            <w:gridSpan w:val="3"/>
          </w:tcPr>
          <w:p>
            <w:pPr>
              <w:spacing w:after="0"/>
              <w:rPr>
                <w:sz w:val="20"/>
                <w:szCs w:val="20"/>
                <w:color w:val="auto"/>
              </w:rPr>
            </w:pPr>
            <w:r>
              <w:rPr>
                <w:rFonts w:ascii="Courier New" w:cs="Courier New" w:eastAsia="Courier New" w:hAnsi="Courier New"/>
                <w:sz w:val="14"/>
                <w:szCs w:val="14"/>
                <w:color w:val="auto"/>
              </w:rPr>
              <w:t>Issuance of Stock</w:t>
            </w:r>
          </w:p>
        </w:tc>
        <w:tc>
          <w:tcPr>
            <w:tcW w:w="2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969</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Premium</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Redemption of Preferred Stock</w:t>
            </w:r>
          </w:p>
        </w:tc>
        <w:tc>
          <w:tcPr>
            <w:tcW w:w="2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Restricted</w:t>
            </w:r>
          </w:p>
        </w:tc>
        <w:tc>
          <w:tcPr>
            <w:tcW w:w="4300" w:type="dxa"/>
            <w:vAlign w:val="bottom"/>
          </w:tcPr>
          <w:p>
            <w:pPr>
              <w:ind w:left="40"/>
              <w:spacing w:after="0"/>
              <w:rPr>
                <w:sz w:val="20"/>
                <w:szCs w:val="20"/>
                <w:color w:val="auto"/>
              </w:rPr>
            </w:pPr>
            <w:r>
              <w:rPr>
                <w:rFonts w:ascii="Courier New" w:cs="Courier New" w:eastAsia="Courier New" w:hAnsi="Courier New"/>
                <w:sz w:val="14"/>
                <w:szCs w:val="14"/>
                <w:color w:val="auto"/>
              </w:rPr>
              <w:t>Stock Granted, Net of Amortization</w:t>
            </w:r>
          </w:p>
        </w:tc>
        <w:tc>
          <w:tcPr>
            <w:tcW w:w="2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3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11,075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10,671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10,652</w:t>
            </w:r>
          </w:p>
        </w:tc>
      </w:tr>
    </w:tbl>
    <w:p>
      <w:pPr>
        <w:spacing w:after="0" w:line="4" w:lineRule="exact"/>
        <w:rPr>
          <w:sz w:val="20"/>
          <w:szCs w:val="20"/>
          <w:color w:val="auto"/>
        </w:rPr>
      </w:pPr>
    </w:p>
    <w:p>
      <w:pPr>
        <w:ind w:left="180" w:hanging="172"/>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RETAINED EARNINGS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24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6,045</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4,484</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2,931</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4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2,959</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2,486</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2,394</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Cash Dividends Declared:</w:t>
            </w:r>
          </w:p>
        </w:tc>
        <w:tc>
          <w:tcPr>
            <w:tcW w:w="2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w:t>
            </w:r>
          </w:p>
        </w:tc>
        <w:tc>
          <w:tcPr>
            <w:tcW w:w="2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(227)</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r>
      <w:tr>
        <w:trPr>
          <w:trHeight w:val="166"/>
        </w:trPr>
        <w:tc>
          <w:tcPr>
            <w:tcW w:w="4920" w:type="dxa"/>
            <w:vAlign w:val="bottom"/>
          </w:tcPr>
          <w:p>
            <w:pPr>
              <w:ind w:left="180"/>
              <w:spacing w:after="0"/>
              <w:rPr>
                <w:sz w:val="20"/>
                <w:szCs w:val="20"/>
                <w:color w:val="auto"/>
              </w:rPr>
            </w:pPr>
            <w:r>
              <w:rPr>
                <w:rFonts w:ascii="Courier New" w:cs="Courier New" w:eastAsia="Courier New" w:hAnsi="Courier New"/>
                <w:sz w:val="14"/>
                <w:szCs w:val="14"/>
                <w:color w:val="auto"/>
              </w:rPr>
              <w:t>Common Stock</w:t>
            </w:r>
          </w:p>
        </w:tc>
        <w:tc>
          <w:tcPr>
            <w:tcW w:w="24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(789)</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(549)</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Accumulated Translation Adjustment(a)</w:t>
            </w:r>
          </w:p>
        </w:tc>
        <w:tc>
          <w:tcPr>
            <w:tcW w:w="24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30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7,997</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6,045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4,484</w:t>
            </w:r>
          </w:p>
        </w:tc>
      </w:tr>
    </w:tbl>
    <w:p>
      <w:pPr>
        <w:spacing w:after="0" w:line="4" w:lineRule="exact"/>
        <w:rPr>
          <w:sz w:val="20"/>
          <w:szCs w:val="20"/>
          <w:color w:val="auto"/>
        </w:rPr>
      </w:pPr>
    </w:p>
    <w:p>
      <w:pPr>
        <w:ind w:left="180" w:hanging="172"/>
        <w:spacing w:after="0"/>
        <w:tabs>
          <w:tab w:leader="none" w:pos="1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UNREALIZED GAIN (LOSS) ON SECURITIES AVAILABLE-FOR-SALE, NET OF TAXES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Beginning</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of Year</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(473)</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479</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Impact of Accounting</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Change</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Net Change</w:t>
            </w:r>
          </w:p>
        </w:tc>
        <w:tc>
          <w:tcPr>
            <w:tcW w:w="5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in Fair Value of Securities Available-for-Sale, Net of Taxes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236</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30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(473)</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r>
    </w:tbl>
    <w:p>
      <w:pPr>
        <w:spacing w:after="0" w:line="4" w:lineRule="exact"/>
        <w:rPr>
          <w:sz w:val="20"/>
          <w:szCs w:val="20"/>
          <w:color w:val="auto"/>
        </w:rPr>
      </w:pPr>
    </w:p>
    <w:p>
      <w:pPr>
        <w:ind w:left="180" w:hanging="172"/>
        <w:spacing w:after="0"/>
        <w:tabs>
          <w:tab w:leader="none" w:pos="1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COMMON STOCK IN TREASURY, AT COST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Balance at</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Beginning</w:t>
            </w:r>
          </w:p>
        </w:tc>
        <w:tc>
          <w:tcPr>
            <w:tcW w:w="2700" w:type="dxa"/>
            <w:vAlign w:val="bottom"/>
          </w:tcPr>
          <w:p>
            <w:pPr>
              <w:jc w:val="right"/>
              <w:ind w:right="1988"/>
              <w:spacing w:after="0"/>
              <w:rPr>
                <w:sz w:val="20"/>
                <w:szCs w:val="20"/>
                <w:color w:val="auto"/>
              </w:rPr>
            </w:pPr>
            <w:r>
              <w:rPr>
                <w:rFonts w:ascii="Courier New" w:cs="Courier New" w:eastAsia="Courier New" w:hAnsi="Courier New"/>
                <w:sz w:val="14"/>
                <w:szCs w:val="14"/>
                <w:color w:val="auto"/>
              </w:rPr>
              <w:t>of Year</w:t>
            </w:r>
          </w:p>
        </w:tc>
        <w:tc>
          <w:tcPr>
            <w:tcW w:w="2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Purchase of Treasury</w:t>
            </w:r>
          </w:p>
        </w:tc>
        <w:tc>
          <w:tcPr>
            <w:tcW w:w="270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Stock</w:t>
            </w:r>
          </w:p>
        </w:tc>
        <w:tc>
          <w:tcPr>
            <w:tcW w:w="2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(1,389)</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(693)</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Reissuance</w:t>
            </w:r>
          </w:p>
        </w:tc>
        <w:tc>
          <w:tcPr>
            <w:tcW w:w="3560" w:type="dxa"/>
            <w:vAlign w:val="bottom"/>
            <w:gridSpan w:val="2"/>
          </w:tcPr>
          <w:p>
            <w:pPr>
              <w:jc w:val="right"/>
              <w:ind w:right="1988"/>
              <w:spacing w:after="0"/>
              <w:rPr>
                <w:sz w:val="20"/>
                <w:szCs w:val="20"/>
                <w:color w:val="auto"/>
              </w:rPr>
            </w:pPr>
            <w:r>
              <w:rPr>
                <w:rFonts w:ascii="Courier New" w:cs="Courier New" w:eastAsia="Courier New" w:hAnsi="Courier New"/>
                <w:sz w:val="14"/>
                <w:szCs w:val="14"/>
                <w:color w:val="auto"/>
              </w:rPr>
              <w:t>of Treasury Stock</w:t>
            </w:r>
          </w:p>
        </w:tc>
        <w:tc>
          <w:tcPr>
            <w:tcW w:w="2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949</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540" w:val="left"/>
          <w:tab w:leader="none" w:pos="7560" w:val="left"/>
          <w:tab w:leader="none" w:pos="8520" w:val="left"/>
        </w:tabs>
        <w:rPr>
          <w:sz w:val="20"/>
          <w:szCs w:val="20"/>
          <w:color w:val="auto"/>
        </w:rPr>
      </w:pPr>
      <w:r>
        <w:rPr>
          <w:rFonts w:ascii="Courier New" w:cs="Courier New" w:eastAsia="Courier New" w:hAnsi="Courier New"/>
          <w:sz w:val="14"/>
          <w:szCs w:val="14"/>
          <w:color w:val="auto"/>
        </w:rPr>
        <w:t>Balance at End of Year</w:t>
      </w:r>
      <w:r>
        <w:rPr>
          <w:sz w:val="20"/>
          <w:szCs w:val="20"/>
          <w:color w:val="auto"/>
        </w:rPr>
        <w:tab/>
      </w:r>
      <w:r>
        <w:rPr>
          <w:rFonts w:ascii="Courier New" w:cs="Courier New" w:eastAsia="Courier New" w:hAnsi="Courier New"/>
          <w:sz w:val="14"/>
          <w:szCs w:val="14"/>
          <w:color w:val="auto"/>
        </w:rPr>
        <w:t>(1,107)</w:t>
      </w:r>
      <w:r>
        <w:rPr>
          <w:sz w:val="20"/>
          <w:szCs w:val="20"/>
          <w:color w:val="auto"/>
        </w:rPr>
        <w:tab/>
      </w:r>
      <w:r>
        <w:rPr>
          <w:rFonts w:ascii="Courier New" w:cs="Courier New" w:eastAsia="Courier New" w:hAnsi="Courier New"/>
          <w:sz w:val="14"/>
          <w:szCs w:val="14"/>
          <w:color w:val="auto"/>
        </w:rPr>
        <w:t>(667)</w:t>
      </w:r>
      <w:r>
        <w:rPr>
          <w:sz w:val="20"/>
          <w:szCs w:val="20"/>
          <w:color w:val="auto"/>
        </w:rPr>
        <w:tab/>
      </w:r>
      <w:r>
        <w:rPr>
          <w:rFonts w:ascii="Courier New" w:cs="Courier New" w:eastAsia="Courier New" w:hAnsi="Courier New"/>
          <w:sz w:val="14"/>
          <w:szCs w:val="14"/>
          <w:color w:val="auto"/>
        </w:rPr>
        <w:t>(12)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440" w:val="left"/>
          <w:tab w:leader="none" w:pos="7300" w:val="left"/>
          <w:tab w:leader="none" w:pos="8180" w:val="left"/>
        </w:tabs>
        <w:rPr>
          <w:sz w:val="20"/>
          <w:szCs w:val="20"/>
          <w:color w:val="auto"/>
        </w:rPr>
      </w:pPr>
      <w:r>
        <w:rPr>
          <w:rFonts w:ascii="Courier New" w:cs="Courier New" w:eastAsia="Courier New" w:hAnsi="Courier New"/>
          <w:sz w:val="14"/>
          <w:szCs w:val="14"/>
          <w:color w:val="auto"/>
        </w:rPr>
        <w:t>Total Stockholders' Equity</w:t>
      </w:r>
      <w:r>
        <w:rPr>
          <w:sz w:val="20"/>
          <w:szCs w:val="20"/>
          <w:color w:val="auto"/>
        </w:rPr>
        <w:tab/>
      </w:r>
      <w:r>
        <w:rPr>
          <w:rFonts w:ascii="Courier New" w:cs="Courier New" w:eastAsia="Courier New" w:hAnsi="Courier New"/>
          <w:sz w:val="14"/>
          <w:szCs w:val="14"/>
          <w:color w:val="auto"/>
        </w:rPr>
        <w:t>$20,836</w:t>
        <w:tab/>
        <w:t>$18,873</w:t>
      </w:r>
      <w:r>
        <w:rPr>
          <w:sz w:val="20"/>
          <w:szCs w:val="20"/>
          <w:color w:val="auto"/>
        </w:rPr>
        <w:tab/>
      </w:r>
      <w:r>
        <w:rPr>
          <w:rFonts w:ascii="Courier New" w:cs="Courier New" w:eastAsia="Courier New" w:hAnsi="Courier New"/>
          <w:sz w:val="14"/>
          <w:szCs w:val="14"/>
          <w:color w:val="auto"/>
        </w:rPr>
        <w:t>$19,101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679" w:firstLine="8"/>
        <w:spacing w:after="0" w:line="255" w:lineRule="auto"/>
        <w:tabs>
          <w:tab w:leader="none" w:pos="344"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Balance was $11 million, $2 million and $2 million at December 31, 1995, 1994 and 1993, respectively.</w:t>
      </w:r>
    </w:p>
    <w:p>
      <w:pPr>
        <w:spacing w:after="0" w:line="160"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Notes to Consolidated Financial Statements are an integral part of these Statements.</w:t>
      </w:r>
    </w:p>
    <w:p>
      <w:pPr>
        <w:spacing w:after="0" w:line="160"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285"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35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14"/>
                <w:szCs w:val="14"/>
                <w:color w:val="auto"/>
              </w:rPr>
            </w:pPr>
          </w:p>
        </w:tc>
        <w:tc>
          <w:tcPr>
            <w:tcW w:w="43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The Chase Manhattan Corporation</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434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and Subsidiaries</w:t>
            </w: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CONSOLIDATED STATEMENT OF CASH FLOWS</w:t>
            </w:r>
          </w:p>
        </w:tc>
        <w:tc>
          <w:tcPr>
            <w:tcW w:w="4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63"/>
        </w:trPr>
        <w:tc>
          <w:tcPr>
            <w:tcW w:w="372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4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8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2,959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2,486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2,394</w:t>
            </w:r>
          </w:p>
        </w:tc>
      </w:tr>
      <w:tr>
        <w:trPr>
          <w:trHeight w:val="166"/>
        </w:trPr>
        <w:tc>
          <w:tcPr>
            <w:tcW w:w="708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 Provided by Operating Activities:</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080" w:type="dxa"/>
            <w:vAlign w:val="bottom"/>
          </w:tcPr>
          <w:p>
            <w:pPr>
              <w:ind w:left="180"/>
              <w:spacing w:after="0"/>
              <w:rPr>
                <w:sz w:val="20"/>
                <w:szCs w:val="20"/>
                <w:color w:val="auto"/>
              </w:rPr>
            </w:pPr>
            <w:r>
              <w:rPr>
                <w:rFonts w:ascii="Courier New" w:cs="Courier New" w:eastAsia="Courier New" w:hAnsi="Courier New"/>
                <w:sz w:val="14"/>
                <w:szCs w:val="14"/>
                <w:color w:val="auto"/>
              </w:rPr>
              <w:t>Net Effect of Changes in Accounting Principles</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(368)</w:t>
            </w:r>
          </w:p>
        </w:tc>
      </w:tr>
      <w:tr>
        <w:trPr>
          <w:trHeight w:val="166"/>
        </w:trPr>
        <w:tc>
          <w:tcPr>
            <w:tcW w:w="7080" w:type="dxa"/>
            <w:vAlign w:val="bottom"/>
          </w:tcPr>
          <w:p>
            <w:pPr>
              <w:ind w:left="180"/>
              <w:spacing w:after="0"/>
              <w:rPr>
                <w:sz w:val="20"/>
                <w:szCs w:val="20"/>
                <w:color w:val="auto"/>
              </w:rPr>
            </w:pPr>
            <w:r>
              <w:rPr>
                <w:rFonts w:ascii="Courier New" w:cs="Courier New" w:eastAsia="Courier New" w:hAnsi="Courier New"/>
                <w:sz w:val="14"/>
                <w:szCs w:val="14"/>
                <w:color w:val="auto"/>
              </w:rPr>
              <w:t>Provision for Losses</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3,138</w:t>
            </w:r>
          </w:p>
        </w:tc>
      </w:tr>
      <w:tr>
        <w:trPr>
          <w:trHeight w:val="166"/>
        </w:trPr>
        <w:tc>
          <w:tcPr>
            <w:tcW w:w="7080" w:type="dxa"/>
            <w:vAlign w:val="bottom"/>
          </w:tcPr>
          <w:p>
            <w:pPr>
              <w:ind w:left="180"/>
              <w:spacing w:after="0"/>
              <w:rPr>
                <w:sz w:val="20"/>
                <w:szCs w:val="20"/>
                <w:color w:val="auto"/>
              </w:rPr>
            </w:pPr>
            <w:r>
              <w:rPr>
                <w:rFonts w:ascii="Courier New" w:cs="Courier New" w:eastAsia="Courier New" w:hAnsi="Courier New"/>
                <w:sz w:val="14"/>
                <w:szCs w:val="14"/>
                <w:color w:val="auto"/>
              </w:rPr>
              <w:t>Restructuring Charge</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w:t>
            </w:r>
          </w:p>
        </w:tc>
      </w:tr>
      <w:tr>
        <w:trPr>
          <w:trHeight w:val="166"/>
        </w:trPr>
        <w:tc>
          <w:tcPr>
            <w:tcW w:w="708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779</w:t>
            </w:r>
          </w:p>
        </w:tc>
      </w:tr>
      <w:tr>
        <w:trPr>
          <w:trHeight w:val="166"/>
        </w:trPr>
        <w:tc>
          <w:tcPr>
            <w:tcW w:w="7080" w:type="dxa"/>
            <w:vAlign w:val="bottom"/>
          </w:tcPr>
          <w:p>
            <w:pPr>
              <w:ind w:left="180"/>
              <w:spacing w:after="0"/>
              <w:rPr>
                <w:sz w:val="20"/>
                <w:szCs w:val="20"/>
                <w:color w:val="auto"/>
              </w:rPr>
            </w:pPr>
            <w:r>
              <w:rPr>
                <w:rFonts w:ascii="Courier New" w:cs="Courier New" w:eastAsia="Courier New" w:hAnsi="Courier New"/>
                <w:sz w:val="14"/>
                <w:szCs w:val="14"/>
                <w:color w:val="auto"/>
              </w:rPr>
              <w:t>Net Change In:</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080" w:type="dxa"/>
            <w:vAlign w:val="bottom"/>
          </w:tcPr>
          <w:p>
            <w:pPr>
              <w:ind w:left="360"/>
              <w:spacing w:after="0"/>
              <w:rPr>
                <w:sz w:val="20"/>
                <w:szCs w:val="20"/>
                <w:color w:val="auto"/>
              </w:rPr>
            </w:pPr>
            <w:r>
              <w:rPr>
                <w:rFonts w:ascii="Courier New" w:cs="Courier New" w:eastAsia="Courier New" w:hAnsi="Courier New"/>
                <w:sz w:val="14"/>
                <w:szCs w:val="14"/>
                <w:color w:val="auto"/>
              </w:rPr>
              <w:t>Trading-Related Assets</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(6,466)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(12,228)</w:t>
            </w:r>
          </w:p>
        </w:tc>
      </w:tr>
      <w:tr>
        <w:trPr>
          <w:trHeight w:val="166"/>
        </w:trPr>
        <w:tc>
          <w:tcPr>
            <w:tcW w:w="7080" w:type="dxa"/>
            <w:vAlign w:val="bottom"/>
          </w:tcPr>
          <w:p>
            <w:pPr>
              <w:ind w:left="360"/>
              <w:spacing w:after="0"/>
              <w:rPr>
                <w:sz w:val="20"/>
                <w:szCs w:val="20"/>
                <w:color w:val="auto"/>
              </w:rPr>
            </w:pPr>
            <w:r>
              <w:rPr>
                <w:rFonts w:ascii="Courier New" w:cs="Courier New" w:eastAsia="Courier New" w:hAnsi="Courier New"/>
                <w:sz w:val="14"/>
                <w:szCs w:val="14"/>
                <w:color w:val="auto"/>
              </w:rPr>
              <w:t>Accrued Interest Receivable</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w:t>
            </w:r>
          </w:p>
        </w:tc>
      </w:tr>
      <w:tr>
        <w:trPr>
          <w:trHeight w:val="166"/>
        </w:trPr>
        <w:tc>
          <w:tcPr>
            <w:tcW w:w="7080" w:type="dxa"/>
            <w:vAlign w:val="bottom"/>
          </w:tcPr>
          <w:p>
            <w:pPr>
              <w:ind w:left="360"/>
              <w:spacing w:after="0"/>
              <w:rPr>
                <w:sz w:val="20"/>
                <w:szCs w:val="20"/>
                <w:color w:val="auto"/>
              </w:rPr>
            </w:pPr>
            <w:r>
              <w:rPr>
                <w:rFonts w:ascii="Courier New" w:cs="Courier New" w:eastAsia="Courier New" w:hAnsi="Courier New"/>
                <w:sz w:val="14"/>
                <w:szCs w:val="14"/>
                <w:color w:val="auto"/>
              </w:rPr>
              <w:t>Other Assets</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328</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2,242</w:t>
            </w:r>
          </w:p>
        </w:tc>
      </w:tr>
      <w:tr>
        <w:trPr>
          <w:trHeight w:val="166"/>
        </w:trPr>
        <w:tc>
          <w:tcPr>
            <w:tcW w:w="7080" w:type="dxa"/>
            <w:vAlign w:val="bottom"/>
          </w:tcPr>
          <w:p>
            <w:pPr>
              <w:ind w:left="360"/>
              <w:spacing w:after="0"/>
              <w:rPr>
                <w:sz w:val="20"/>
                <w:szCs w:val="20"/>
                <w:color w:val="auto"/>
              </w:rPr>
            </w:pPr>
            <w:r>
              <w:rPr>
                <w:rFonts w:ascii="Courier New" w:cs="Courier New" w:eastAsia="Courier New" w:hAnsi="Courier New"/>
                <w:sz w:val="14"/>
                <w:szCs w:val="14"/>
                <w:color w:val="auto"/>
              </w:rPr>
              <w:t>Trading-Related Liabilities</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3,423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3,026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080" w:type="dxa"/>
            <w:vAlign w:val="bottom"/>
          </w:tcPr>
          <w:p>
            <w:pPr>
              <w:ind w:left="360"/>
              <w:spacing w:after="0"/>
              <w:rPr>
                <w:sz w:val="20"/>
                <w:szCs w:val="20"/>
                <w:color w:val="auto"/>
              </w:rPr>
            </w:pPr>
            <w:r>
              <w:rPr>
                <w:rFonts w:ascii="Courier New" w:cs="Courier New" w:eastAsia="Courier New" w:hAnsi="Courier New"/>
                <w:sz w:val="14"/>
                <w:szCs w:val="14"/>
                <w:color w:val="auto"/>
              </w:rPr>
              <w:t>Accrued Interest Payable</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(139)</w:t>
            </w:r>
          </w:p>
        </w:tc>
      </w:tr>
      <w:tr>
        <w:trPr>
          <w:trHeight w:val="166"/>
        </w:trPr>
        <w:tc>
          <w:tcPr>
            <w:tcW w:w="7080" w:type="dxa"/>
            <w:vAlign w:val="bottom"/>
          </w:tcPr>
          <w:p>
            <w:pPr>
              <w:ind w:left="360"/>
              <w:spacing w:after="0"/>
              <w:rPr>
                <w:sz w:val="20"/>
                <w:szCs w:val="20"/>
                <w:color w:val="auto"/>
              </w:rPr>
            </w:pPr>
            <w:r>
              <w:rPr>
                <w:rFonts w:ascii="Courier New" w:cs="Courier New" w:eastAsia="Courier New" w:hAnsi="Courier New"/>
                <w:sz w:val="14"/>
                <w:szCs w:val="14"/>
                <w:color w:val="auto"/>
              </w:rPr>
              <w:t>Other Liabilities</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(1,430)</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1,835</w:t>
            </w:r>
          </w:p>
        </w:tc>
      </w:tr>
      <w:tr>
        <w:trPr>
          <w:trHeight w:val="166"/>
        </w:trPr>
        <w:tc>
          <w:tcPr>
            <w:tcW w:w="7080" w:type="dxa"/>
            <w:vAlign w:val="bottom"/>
          </w:tcPr>
          <w:p>
            <w:pPr>
              <w:ind w:left="360"/>
              <w:spacing w:after="0"/>
              <w:rPr>
                <w:sz w:val="20"/>
                <w:szCs w:val="20"/>
                <w:color w:val="auto"/>
              </w:rPr>
            </w:pPr>
            <w:r>
              <w:rPr>
                <w:rFonts w:ascii="Courier New" w:cs="Courier New" w:eastAsia="Courier New" w:hAnsi="Courier New"/>
                <w:sz w:val="14"/>
                <w:szCs w:val="14"/>
                <w:color w:val="auto"/>
              </w:rPr>
              <w:t>Other, Net</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(746)</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20"/>
                <w:szCs w:val="20"/>
                <w:color w:val="auto"/>
              </w:rPr>
            </w:pPr>
            <w:r>
              <w:rPr>
                <w:rFonts w:ascii="Courier New" w:cs="Courier New" w:eastAsia="Courier New" w:hAnsi="Courier New"/>
                <w:sz w:val="14"/>
                <w:szCs w:val="14"/>
                <w:color w:val="auto"/>
              </w:rPr>
              <w:t>Net Cash Provided (Used) by Operating Activities</w:t>
            </w:r>
          </w:p>
        </w:tc>
        <w:tc>
          <w:tcPr>
            <w:tcW w:w="2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(356)</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5,104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(3,005)</w:t>
            </w:r>
          </w:p>
        </w:tc>
      </w:tr>
    </w:tbl>
    <w:p>
      <w:pPr>
        <w:spacing w:after="0" w:line="4" w:lineRule="exact"/>
        <w:rPr>
          <w:sz w:val="20"/>
          <w:szCs w:val="20"/>
          <w:color w:val="auto"/>
        </w:rPr>
      </w:pPr>
    </w:p>
    <w:p>
      <w:pPr>
        <w:ind w:left="180" w:hanging="172"/>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ACTIVITIES Net Change 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Deposits with Banks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4,054</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(3,873)</w:t>
            </w:r>
          </w:p>
        </w:tc>
      </w:tr>
      <w:tr>
        <w:trPr>
          <w:trHeight w:val="166"/>
        </w:trPr>
        <w:tc>
          <w:tcPr>
            <w:tcW w:w="6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Federal Funds Sold and Securities Purchased Under Resale Agreements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2,094</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(2,936)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(4,819)</w:t>
            </w:r>
          </w:p>
        </w:tc>
      </w:tr>
      <w:tr>
        <w:trPr>
          <w:trHeight w:val="166"/>
        </w:trPr>
        <w:tc>
          <w:tcPr>
            <w:tcW w:w="6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Loans Due to Sales and Securitizations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32,987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22,872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25,882</w:t>
            </w:r>
          </w:p>
        </w:tc>
      </w:tr>
      <w:tr>
        <w:trPr>
          <w:trHeight w:val="166"/>
        </w:trPr>
        <w:tc>
          <w:tcPr>
            <w:tcW w:w="6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 Loans, Net</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(44,455)</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(29,138)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(22,485)</w:t>
            </w: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5860" w:type="dxa"/>
            <w:vAlign w:val="bottom"/>
          </w:tcPr>
          <w:p>
            <w:pPr>
              <w:ind w:left="40"/>
              <w:spacing w:after="0"/>
              <w:rPr>
                <w:sz w:val="20"/>
                <w:szCs w:val="20"/>
                <w:color w:val="auto"/>
              </w:rPr>
            </w:pPr>
            <w:r>
              <w:rPr>
                <w:rFonts w:ascii="Courier New" w:cs="Courier New" w:eastAsia="Courier New" w:hAnsi="Courier New"/>
                <w:sz w:val="14"/>
                <w:szCs w:val="14"/>
                <w:color w:val="auto"/>
              </w:rPr>
              <w:t>Net</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(1,281)</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5860" w:type="dxa"/>
            <w:vAlign w:val="bottom"/>
          </w:tcPr>
          <w:p>
            <w:pPr>
              <w:ind w:left="40"/>
              <w:spacing w:after="0"/>
              <w:rPr>
                <w:sz w:val="20"/>
                <w:szCs w:val="20"/>
                <w:color w:val="auto"/>
              </w:rPr>
            </w:pPr>
            <w:r>
              <w:rPr>
                <w:rFonts w:ascii="Courier New" w:cs="Courier New" w:eastAsia="Courier New" w:hAnsi="Courier New"/>
                <w:sz w:val="14"/>
                <w:szCs w:val="14"/>
                <w:color w:val="auto"/>
              </w:rPr>
              <w:t>from the Maturity of Held-to-Maturity Securities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2,395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3,554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5,624</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5860" w:type="dxa"/>
            <w:vAlign w:val="bottom"/>
          </w:tcPr>
          <w:p>
            <w:pPr>
              <w:ind w:left="40"/>
              <w:spacing w:after="0"/>
              <w:rPr>
                <w:sz w:val="20"/>
                <w:szCs w:val="20"/>
                <w:color w:val="auto"/>
              </w:rPr>
            </w:pPr>
            <w:r>
              <w:rPr>
                <w:rFonts w:ascii="Courier New" w:cs="Courier New" w:eastAsia="Courier New" w:hAnsi="Courier New"/>
                <w:sz w:val="14"/>
                <w:szCs w:val="14"/>
                <w:color w:val="auto"/>
              </w:rPr>
              <w:t>from the Sale of Held-to-Maturity Securities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w:t>
            </w:r>
          </w:p>
        </w:tc>
      </w:tr>
      <w:tr>
        <w:trPr>
          <w:trHeight w:val="166"/>
        </w:trPr>
        <w:tc>
          <w:tcPr>
            <w:tcW w:w="660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Held-to-Maturity Securities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(1,052)</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(7,181)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5860" w:type="dxa"/>
            <w:vAlign w:val="bottom"/>
          </w:tcPr>
          <w:p>
            <w:pPr>
              <w:ind w:left="40"/>
              <w:spacing w:after="0"/>
              <w:rPr>
                <w:sz w:val="20"/>
                <w:szCs w:val="20"/>
                <w:color w:val="auto"/>
              </w:rPr>
            </w:pPr>
            <w:r>
              <w:rPr>
                <w:rFonts w:ascii="Courier New" w:cs="Courier New" w:eastAsia="Courier New" w:hAnsi="Courier New"/>
                <w:sz w:val="14"/>
                <w:szCs w:val="14"/>
                <w:color w:val="auto"/>
              </w:rPr>
              <w:t>from the Maturity of Available-for-Sale Securities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7,427</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5,357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4,341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5860" w:type="dxa"/>
            <w:vAlign w:val="bottom"/>
          </w:tcPr>
          <w:p>
            <w:pPr>
              <w:ind w:left="40"/>
              <w:spacing w:after="0"/>
              <w:rPr>
                <w:sz w:val="20"/>
                <w:szCs w:val="20"/>
                <w:color w:val="auto"/>
              </w:rPr>
            </w:pPr>
            <w:r>
              <w:rPr>
                <w:rFonts w:ascii="Courier New" w:cs="Courier New" w:eastAsia="Courier New" w:hAnsi="Courier New"/>
                <w:sz w:val="14"/>
                <w:szCs w:val="14"/>
                <w:color w:val="auto"/>
              </w:rPr>
              <w:t>from the Sale of Available-for-Sale Securities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54,290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23,086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12,027</w:t>
            </w:r>
          </w:p>
        </w:tc>
      </w:tr>
      <w:tr>
        <w:trPr>
          <w:trHeight w:val="166"/>
        </w:trPr>
        <w:tc>
          <w:tcPr>
            <w:tcW w:w="6600" w:type="dxa"/>
            <w:vAlign w:val="bottom"/>
            <w:gridSpan w:val="2"/>
          </w:tcPr>
          <w:p>
            <w:pPr>
              <w:spacing w:after="0"/>
              <w:rPr>
                <w:sz w:val="20"/>
                <w:szCs w:val="20"/>
                <w:color w:val="auto"/>
              </w:rPr>
            </w:pPr>
            <w:r>
              <w:rPr>
                <w:rFonts w:ascii="Courier New" w:cs="Courier New" w:eastAsia="Courier New" w:hAnsi="Courier New"/>
                <w:sz w:val="14"/>
                <w:szCs w:val="14"/>
                <w:color w:val="auto"/>
              </w:rPr>
              <w:t>Purchases of Available-for-Sale Securities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(69,311)</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(30,497)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(18,366)</w:t>
            </w:r>
          </w:p>
        </w:tc>
      </w:tr>
      <w:tr>
        <w:trPr>
          <w:trHeight w:val="166"/>
        </w:trPr>
        <w:tc>
          <w:tcPr>
            <w:tcW w:w="6600" w:type="dxa"/>
            <w:vAlign w:val="bottom"/>
            <w:gridSpan w:val="2"/>
          </w:tcPr>
          <w:p>
            <w:pPr>
              <w:spacing w:after="0"/>
              <w:rPr>
                <w:sz w:val="20"/>
                <w:szCs w:val="20"/>
                <w:color w:val="auto"/>
              </w:rPr>
            </w:pPr>
            <w:r>
              <w:rPr>
                <w:rFonts w:ascii="Courier New" w:cs="Courier New" w:eastAsia="Courier New" w:hAnsi="Courier New"/>
                <w:sz w:val="14"/>
                <w:szCs w:val="14"/>
                <w:color w:val="auto"/>
              </w:rPr>
              <w:t>Cash Used in Acquisitions</w:t>
            </w:r>
          </w:p>
        </w:tc>
        <w:tc>
          <w:tcPr>
            <w:tcW w:w="15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(683)</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Proceeds</w:t>
            </w:r>
          </w:p>
        </w:tc>
        <w:tc>
          <w:tcPr>
            <w:tcW w:w="5860" w:type="dxa"/>
            <w:vAlign w:val="bottom"/>
          </w:tcPr>
          <w:p>
            <w:pPr>
              <w:ind w:left="40"/>
              <w:spacing w:after="0"/>
              <w:rPr>
                <w:sz w:val="20"/>
                <w:szCs w:val="20"/>
                <w:color w:val="auto"/>
              </w:rPr>
            </w:pPr>
            <w:r>
              <w:rPr>
                <w:rFonts w:ascii="Courier New" w:cs="Courier New" w:eastAsia="Courier New" w:hAnsi="Courier New"/>
                <w:sz w:val="14"/>
                <w:szCs w:val="14"/>
                <w:color w:val="auto"/>
              </w:rPr>
              <w:t>from Divestitures of Nonstrategic Businesses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1,050</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Net Cash Used by Investing Activities</w:t>
            </w:r>
          </w:p>
        </w:tc>
        <w:tc>
          <w:tcPr>
            <w:tcW w:w="29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(11,812)</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(12,127)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(7,752)</w:t>
            </w:r>
          </w:p>
        </w:tc>
      </w:tr>
    </w:tbl>
    <w:p>
      <w:pPr>
        <w:spacing w:after="0" w:line="4" w:lineRule="exact"/>
        <w:rPr>
          <w:sz w:val="20"/>
          <w:szCs w:val="20"/>
          <w:color w:val="auto"/>
        </w:rPr>
      </w:pPr>
    </w:p>
    <w:p>
      <w:pPr>
        <w:ind w:left="180" w:hanging="172"/>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4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FINANCING ACTIVITIES Net Change 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ind w:left="180"/>
              <w:spacing w:after="0"/>
              <w:rPr>
                <w:sz w:val="20"/>
                <w:szCs w:val="20"/>
                <w:color w:val="auto"/>
              </w:rPr>
            </w:pPr>
            <w:r>
              <w:rPr>
                <w:rFonts w:ascii="Courier New" w:cs="Courier New" w:eastAsia="Courier New" w:hAnsi="Courier New"/>
                <w:sz w:val="14"/>
                <w:szCs w:val="14"/>
                <w:color w:val="auto"/>
              </w:rPr>
              <w:t>Noninterest-Bearing Domestic Demand Deposits</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2,588</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(4,268)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1,704</w:t>
            </w:r>
          </w:p>
        </w:tc>
      </w:tr>
      <w:tr>
        <w:trPr>
          <w:trHeight w:val="166"/>
        </w:trPr>
        <w:tc>
          <w:tcPr>
            <w:tcW w:w="6820" w:type="dxa"/>
            <w:vAlign w:val="bottom"/>
          </w:tcPr>
          <w:p>
            <w:pPr>
              <w:ind w:left="180"/>
              <w:spacing w:after="0"/>
              <w:rPr>
                <w:sz w:val="20"/>
                <w:szCs w:val="20"/>
                <w:color w:val="auto"/>
              </w:rPr>
            </w:pPr>
            <w:r>
              <w:rPr>
                <w:rFonts w:ascii="Courier New" w:cs="Courier New" w:eastAsia="Courier New" w:hAnsi="Courier New"/>
                <w:sz w:val="14"/>
                <w:szCs w:val="14"/>
                <w:color w:val="auto"/>
              </w:rPr>
              <w:t>Domestic Time and Savings Deposits</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(1,279)</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(10,107)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(3,147)</w:t>
            </w:r>
          </w:p>
        </w:tc>
      </w:tr>
      <w:tr>
        <w:trPr>
          <w:trHeight w:val="166"/>
        </w:trPr>
        <w:tc>
          <w:tcPr>
            <w:tcW w:w="6820" w:type="dxa"/>
            <w:vAlign w:val="bottom"/>
          </w:tcPr>
          <w:p>
            <w:pPr>
              <w:ind w:left="180"/>
              <w:spacing w:after="0"/>
              <w:rPr>
                <w:sz w:val="20"/>
                <w:szCs w:val="20"/>
                <w:color w:val="auto"/>
              </w:rPr>
            </w:pPr>
            <w:r>
              <w:rPr>
                <w:rFonts w:ascii="Courier New" w:cs="Courier New" w:eastAsia="Courier New" w:hAnsi="Courier New"/>
                <w:sz w:val="14"/>
                <w:szCs w:val="14"/>
                <w:color w:val="auto"/>
              </w:rPr>
              <w:t>Foreign Deposits</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6,153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11,134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7,485</w:t>
            </w:r>
          </w:p>
        </w:tc>
      </w:tr>
      <w:tr>
        <w:trPr>
          <w:trHeight w:val="166"/>
        </w:trPr>
        <w:tc>
          <w:tcPr>
            <w:tcW w:w="6820" w:type="dxa"/>
            <w:vAlign w:val="bottom"/>
          </w:tcPr>
          <w:p>
            <w:pPr>
              <w:ind w:left="180"/>
              <w:spacing w:after="0"/>
              <w:rPr>
                <w:sz w:val="20"/>
                <w:szCs w:val="20"/>
                <w:color w:val="auto"/>
              </w:rPr>
            </w:pPr>
            <w:r>
              <w:rPr>
                <w:rFonts w:ascii="Courier New" w:cs="Courier New" w:eastAsia="Courier New" w:hAnsi="Courier New"/>
                <w:sz w:val="14"/>
                <w:szCs w:val="14"/>
                <w:color w:val="auto"/>
              </w:rPr>
              <w:t>Federal Funds Purchased and Securities Sold Under Repurchase Agreements</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5,287</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11,677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(1,305)</w:t>
            </w:r>
          </w:p>
        </w:tc>
      </w:tr>
      <w:tr>
        <w:trPr>
          <w:trHeight w:val="166"/>
        </w:trPr>
        <w:tc>
          <w:tcPr>
            <w:tcW w:w="6820" w:type="dxa"/>
            <w:vAlign w:val="bottom"/>
          </w:tcPr>
          <w:p>
            <w:pPr>
              <w:ind w:left="180"/>
              <w:spacing w:after="0"/>
              <w:rPr>
                <w:sz w:val="20"/>
                <w:szCs w:val="20"/>
                <w:color w:val="auto"/>
              </w:rPr>
            </w:pPr>
            <w:r>
              <w:rPr>
                <w:rFonts w:ascii="Courier New" w:cs="Courier New" w:eastAsia="Courier New" w:hAnsi="Courier New"/>
                <w:sz w:val="14"/>
                <w:szCs w:val="14"/>
                <w:color w:val="auto"/>
              </w:rPr>
              <w:t>Other Borrowed Funds</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2,199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6,033</w:t>
            </w:r>
          </w:p>
        </w:tc>
      </w:tr>
      <w:tr>
        <w:trPr>
          <w:trHeight w:val="166"/>
        </w:trPr>
        <w:tc>
          <w:tcPr>
            <w:tcW w:w="6820" w:type="dxa"/>
            <w:vAlign w:val="bottom"/>
          </w:tcPr>
          <w:p>
            <w:pPr>
              <w:ind w:left="180"/>
              <w:spacing w:after="0"/>
              <w:rPr>
                <w:sz w:val="20"/>
                <w:szCs w:val="20"/>
                <w:color w:val="auto"/>
              </w:rPr>
            </w:pPr>
            <w:r>
              <w:rPr>
                <w:rFonts w:ascii="Courier New" w:cs="Courier New" w:eastAsia="Courier New" w:hAnsi="Courier New"/>
                <w:sz w:val="14"/>
                <w:szCs w:val="14"/>
                <w:color w:val="auto"/>
              </w:rPr>
              <w:t>Other, Net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378</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(751)</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Proceeds from the Issuance of Long-Term Debt</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1,876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2,413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4,553</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Repayments of Long-Term Debt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(2,076)</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(4,578)</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Proceeds from the Issuance of Stock</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1,548</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Redemption of Preferred Stock</w:t>
            </w:r>
          </w:p>
        </w:tc>
        <w:tc>
          <w:tcPr>
            <w:tcW w:w="1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(913)</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Treasury Stock Purchased</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(1,389)</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820" w:type="dxa"/>
            <w:vAlign w:val="bottom"/>
          </w:tcPr>
          <w:p>
            <w:pPr>
              <w:spacing w:after="0"/>
              <w:rPr>
                <w:sz w:val="20"/>
                <w:szCs w:val="20"/>
                <w:color w:val="auto"/>
              </w:rPr>
            </w:pPr>
            <w:r>
              <w:rPr>
                <w:rFonts w:ascii="Courier New" w:cs="Courier New" w:eastAsia="Courier New" w:hAnsi="Courier New"/>
                <w:sz w:val="14"/>
                <w:szCs w:val="14"/>
                <w:color w:val="auto"/>
              </w:rPr>
              <w:t>Cash Dividends Paid</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(978)</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Net Cash Provided by Financing Activities</w:t>
            </w:r>
          </w:p>
        </w:tc>
        <w:tc>
          <w:tcPr>
            <w:tcW w:w="27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13,424</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7,648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9,804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Effect of Exchange Rate</w:t>
            </w:r>
          </w:p>
        </w:tc>
        <w:tc>
          <w:tcPr>
            <w:tcW w:w="6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Changes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on Cash and</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from Banks</w:t>
            </w:r>
          </w:p>
        </w:tc>
        <w:tc>
          <w:tcPr>
            <w:tcW w:w="2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Net Increase (Decrease)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34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and Due from Banks</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1,249</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(934)</w:t>
            </w: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14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Beginning of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13,545</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12,920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20"/>
                <w:szCs w:val="20"/>
                <w:color w:val="auto"/>
              </w:rPr>
            </w:pPr>
            <w:r>
              <w:rPr>
                <w:rFonts w:ascii="Courier New" w:cs="Courier New" w:eastAsia="Courier New" w:hAnsi="Courier New"/>
                <w:sz w:val="14"/>
                <w:szCs w:val="14"/>
                <w:color w:val="auto"/>
              </w:rPr>
              <w:t>Cash and Due from Banks at the End of the Year</w:t>
            </w:r>
          </w:p>
        </w:tc>
        <w:tc>
          <w:tcPr>
            <w:tcW w:w="25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$ 14,794</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$ 13,545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$ 12,920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Cash Interest Paid</w:t>
            </w:r>
          </w:p>
        </w:tc>
        <w:tc>
          <w:tcPr>
            <w:tcW w:w="3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$ 11,248</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8,533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8,512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140" w:val="left"/>
          <w:tab w:leader="none" w:pos="7400" w:val="left"/>
          <w:tab w:leader="none" w:pos="8260" w:val="left"/>
          <w:tab w:leader="none" w:pos="8520" w:val="left"/>
          <w:tab w:leader="none" w:pos="9200" w:val="left"/>
          <w:tab w:leader="none" w:pos="9640" w:val="left"/>
        </w:tabs>
        <w:rPr>
          <w:sz w:val="20"/>
          <w:szCs w:val="20"/>
          <w:color w:val="auto"/>
        </w:rPr>
      </w:pPr>
      <w:r>
        <w:rPr>
          <w:rFonts w:ascii="Courier New" w:cs="Courier New" w:eastAsia="Courier New" w:hAnsi="Courier New"/>
          <w:sz w:val="14"/>
          <w:szCs w:val="14"/>
          <w:color w:val="auto"/>
        </w:rPr>
        <w:t>Taxes Paid</w:t>
      </w:r>
      <w:r>
        <w:rPr>
          <w:sz w:val="20"/>
          <w:szCs w:val="20"/>
          <w:color w:val="auto"/>
        </w:rPr>
        <w:tab/>
      </w:r>
      <w:r>
        <w:rPr>
          <w:rFonts w:ascii="Courier New" w:cs="Courier New" w:eastAsia="Courier New" w:hAnsi="Courier New"/>
          <w:sz w:val="14"/>
          <w:szCs w:val="14"/>
          <w:color w:val="auto"/>
        </w:rPr>
        <w:t>$</w:t>
        <w:tab/>
        <w:t>1,309</w:t>
      </w:r>
      <w:r>
        <w:rPr>
          <w:sz w:val="20"/>
          <w:szCs w:val="20"/>
          <w:color w:val="auto"/>
        </w:rPr>
        <w:tab/>
      </w:r>
      <w:r>
        <w:rPr>
          <w:rFonts w:ascii="Courier New" w:cs="Courier New" w:eastAsia="Courier New" w:hAnsi="Courier New"/>
          <w:sz w:val="14"/>
          <w:szCs w:val="14"/>
          <w:color w:val="auto"/>
        </w:rPr>
        <w:t>$</w:t>
        <w:tab/>
        <w:t>1,139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The Notes to Consolidated Financial Statements are an integral part of these Statements.</w:t>
      </w:r>
    </w:p>
    <w:p>
      <w:pPr>
        <w:sectPr>
          <w:pgSz w:w="11900" w:h="16838" w:orient="portrait"/>
          <w:cols w:equalWidth="0" w:num="1">
            <w:col w:w="10239"/>
          </w:cols>
          <w:pgMar w:left="220" w:top="285" w:right="1440" w:bottom="1440" w:gutter="0" w:footer="0" w:header="0"/>
        </w:sectPr>
      </w:pP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285" w:right="1440" w:bottom="1440" w:gutter="0" w:footer="0" w:header="0"/>
          <w:type w:val="continuous"/>
        </w:sectPr>
      </w:pPr>
    </w:p>
    <w:bookmarkStart w:id="68" w:name="page69"/>
    <w:bookmarkEnd w:id="68"/>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36</w:t>
      </w:r>
    </w:p>
    <w:p>
      <w:pPr>
        <w:spacing w:after="0" w:line="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SUMMARY OF SIGNIFICANT ACCOUNTING POLICIES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On March 31, 1996, The Chase Manhattan Corporation ("Chase") merged with and into Chemical Banking Corporation ("Chemical"). Upon consummation of the merger, Chemical changed its name to "The Chase Manhattan Corporation" (the "Corporation"). The Corporation is a bank holding company organized under the laws of the State of Delaware in 1968 and registered under the Bank Holding Company Act of 1956, as amended. The merger was accounted for as a pooling of interests and, accordingly, the information included in the financial statements and consolidated notes of the Corporation presents the combined results of Chase and Chemical as if the merger had been in effect for all periods presented. In addition, certain amounts have been reclassified to conform to the current presentation.</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Corporation provides diversified financial services principally through the Global Bank, Regional and Consumer Banking and Global Services. The Global Bank provides domestic and international corporate finance, wholesale banking, and investment services and emphasizes originations, underwriting, distribution, risk management products and private banking. Regional and Consumer Banking serves a wide range of customer needs and includes consumer, commercial, professional and middle market customers. Global Services include custody, cash management, trade services, trust and other fiduciary services.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Corporation conducts its domestic and international financial services businesses through various bank and non-bank subsidiaries. The principal bank subsidiaries of the Corporation are Chemical Bank, a New York State bank ("Chemical Bank"), The Chase Manhattan Bank, N.A., a national bank ("The Chase Manhattan Bank"), Texas Commerce Bank National Association, a subsidiary of Texas Commerce Equity Holdings, Inc., a bank holding company organized under the laws of the State of Delaware ("Texas Commerce"), and The Chase Manhattan Bank (USA)("Chase USA"), a Delaware bank. The principal non-bank subsidiary of the Corporation is Chase Securities Inc.</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accounting and financial reporting policies of the Corporation and its subsidiaries conform to generally accepted accounting principles and prevailing industry practices and, where applicable, the accounting and reporting guidelines prescribed by the Securities and Exchange Commission and bank regulatory authorities.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following is a description of significant accounting policies.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BASIS OF PRESENTATION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consolidated financial statements include the accounts of the Corporation and its majority-owned subsidiaries, after eliminating material intercompany balances and transactions. Equity investments in less than majority-owned companies (20%-50% ownership interest) are generally accounted for in accordance with the equity method of accounting and are reported in Other Assets. The Corporation's pro-rata share of earnings (losses) of these companies is included in Other Revenue.</w:t>
      </w:r>
    </w:p>
    <w:p>
      <w:pPr>
        <w:spacing w:after="0" w:line="330"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Assets held in an agency or fiduciary capacity by commercial banking subsidiaries and by trust and investment advisory subsidiaries are not assets of the Corporation and, accordingly, are not included in the Consolidated Balance Sheet.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Assets and liabilities denominated in foreign currencies are translated to U.S. dollars using prevailing rates of exchange. Gains and losses on foreign currency translation from operations for which the functional currency is other than the U.S. dollar, together with related hedges and tax effects, are reported in Stockholders' Equity. For foreign operations for which the U.S. dollar is the functional currency, gains and losses resulting from converting foreign currency assets and liabilities to the U.S. dollar, including the related hedges, are reported in the Income Statement.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 ACTIVITIES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Corporation trades debt and equity instruments and risk management instruments, as discussed below. These instruments are carried at their estimated fair value. Quoted market prices, when available, are used as the basis to determine the fair value of trading instruments. If quoted market prices are not available, then fair values are estimated on the basis of pricing models, quoted prices of instruments with similar characteristics, or discounted cash flows.</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Realized and unrealized gains (losses) on these instruments are recognized in Trading Revenue. A portion of the market valuation relating to certain risk management instruments is deferred and accreted to income over the life of the instruments to match ongoing servicing costs and credit risks, as appropriate. Interest earned on debt and dividends earned on equity instruments and interest payable on securities sold but not yet purchased are reported as interest income and interest expense, respectively.</w:t>
      </w:r>
    </w:p>
    <w:p>
      <w:pPr>
        <w:spacing w:after="0" w:line="164"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Debt and Equity Instruments and Securities Sold, Not Yet Purchased: Debt and equity instruments which includes securities, loans, and other credit instruments held for trading purposes are reported as Trading Assets. Obligations to deliver securities sold but not yet purchased are reported as Trading Liabilities.</w:t>
      </w:r>
    </w:p>
    <w:p>
      <w:pPr>
        <w:sectPr>
          <w:pgSz w:w="11900" w:h="16877" w:orient="portrait"/>
          <w:cols w:equalWidth="0" w:num="1">
            <w:col w:w="10239"/>
          </w:cols>
          <w:pgMar w:left="220" w:top="285" w:right="1440" w:bottom="0" w:gutter="0" w:footer="0" w:header="0"/>
        </w:sectPr>
      </w:pPr>
    </w:p>
    <w:p>
      <w:pPr>
        <w:spacing w:after="0" w:line="165"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55</w:t>
      </w:r>
    </w:p>
    <w:p>
      <w:pPr>
        <w:sectPr>
          <w:pgSz w:w="11900" w:h="16877" w:orient="portrait"/>
          <w:cols w:equalWidth="0" w:num="1">
            <w:col w:w="10239"/>
          </w:cols>
          <w:pgMar w:left="220" w:top="285" w:right="1440" w:bottom="0" w:gutter="0" w:footer="0" w:header="0"/>
          <w:type w:val="continuous"/>
        </w:sectPr>
      </w:pPr>
    </w:p>
    <w:bookmarkStart w:id="69" w:name="page70"/>
    <w:bookmarkEnd w:id="69"/>
    <w:p>
      <w:pPr>
        <w:spacing w:after="0" w:line="4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Risk Management Instruments: The Corporation primarily deals in interest rate, foreign exchange, precious metals and commodity contracts to generate trading revenues. Such contracts include futures, forwards, swaps, and options (including interest rate caps and floors). The estimated fair value of such contracts are reported on a gross basis as Trading Assets-Risk Management Instruments (positive fair values) and Trading Liabilities (negative fair values), except for contracts executed with the same counterparty under legally enforceable master netting agreements, which are presented on a net basis.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DERIVATIVES USED IN ASSET/LIABILITY MANAGEMENT ACTIVITIES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 part of its asset/liability management activities ("ALM"), the Corporation predominantly uses interest rate swaps and futures and, to a lesser degree, forward rate agreements and option contracts (including interest rate caps and floors) to hedge exposures or to modify the interest rate characteristics of related balance sheet instruments. Futures contracts are designated as hedges when they reduce risk and there is high correlation between the futures contract and the item being hedged, both at inception and throughout the hedge period. Interest rate swaps, forward rate agreements, and option contracts are generally used to modify the interest rate characteristics of balance sheet instruments and are linked to specific assets or groups of similar assets or specific liabilities or groups of similar liabilities.</w:t>
      </w:r>
    </w:p>
    <w:p>
      <w:pPr>
        <w:spacing w:after="0" w:line="163"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The instruments that meet the above criteria are accounted for under the accrual method or available-for-sale fair value method, as discussed below.</w:t>
      </w:r>
    </w:p>
    <w:p>
      <w:pPr>
        <w:spacing w:after="0" w:line="160"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Accrual Method: Under the accrual method, interest income or expense on the derivative contract is accrued and there is no recognition of unrealized gains and losses on the derivative in the balance sheet. Premiums on option contracts are amortized to interest income or interest expense over the life of such contracts.</w:t>
      </w:r>
    </w:p>
    <w:p>
      <w:pPr>
        <w:spacing w:after="0" w:line="165"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Available-for-Sale Fair Value Method: Derivatives linked to available-for-sale securities are carried at fair value. The accrual of interest receivable or interest payable on these derivatives is reported in Interest Income on Securities. Changes in the market values of these derivatives, exclusive of net interest accruals, are reported in Stockholders' Equity, net of applicable taxes, consistent with the reporting of unrealized gains and losses on the related securities.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For both the accrual and available-for-sale fair value method, realized gains and losses from the settlement or termination of derivatives contracts are deferred on the balance sheet and are amortized to interest income or interest expense over the appropriate risk management periods. Amortization commences when the contract is settled or terminated. If the related assets or liabilities are sold or otherwise disposed, then the deferred gain or loss on the derivative contract is recognized as an adjustment to the gain or loss on disposition of the related assets or liabilities.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Prior to January 1, 1995, the Corporation used interest rate swaps in place of cash market instruments. Effective January 1, 1995, this practice was discontinued. Accordingly, interest rate contracts entered into subsequent to January 1, 1995 that do not meet the hedge or linkage criteria described above are designated as trading activities and are accounted for at fair value.</w:t>
      </w:r>
    </w:p>
    <w:p>
      <w:pPr>
        <w:spacing w:after="0" w:line="165" w:lineRule="exact"/>
        <w:rPr>
          <w:sz w:val="20"/>
          <w:szCs w:val="20"/>
          <w:color w:val="auto"/>
        </w:rPr>
      </w:pPr>
    </w:p>
    <w:p>
      <w:pPr>
        <w:ind w:right="4199"/>
        <w:spacing w:after="0" w:line="255" w:lineRule="auto"/>
        <w:rPr>
          <w:sz w:val="20"/>
          <w:szCs w:val="20"/>
          <w:color w:val="auto"/>
        </w:rPr>
      </w:pPr>
      <w:r>
        <w:rPr>
          <w:rFonts w:ascii="Courier New" w:cs="Courier New" w:eastAsia="Courier New" w:hAnsi="Courier New"/>
          <w:sz w:val="14"/>
          <w:szCs w:val="14"/>
          <w:color w:val="auto"/>
        </w:rPr>
        <w:t>SECURITIES PURCHASED UNDER RESALE AGREEMENTS AND SECURITIES SOLD UNDER REPURCHASE AGREEMENTS</w:t>
      </w:r>
    </w:p>
    <w:p>
      <w:pPr>
        <w:spacing w:after="0" w:line="160"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Corporation enters into short-term purchases of securities under agreements to resell (resale agreements) and sales of securities under agreements to repurchase (repurchase agreements) of substantially identical securities. The amounts advanced under resale agreements and the amounts borrowed under repurchase agreements are carried on the balance sheet at the amount advanced or borrowed plus accrued interest. Interest earned on resale agreements and interest incurred on repurchase agreements are reported as interest income and interest expense, respectively. The Corporation offsets resale and repurchase agreements executed with the same counterparty under legally enforceable netting agreements that meet the applicable netting criteria.</w:t>
      </w:r>
    </w:p>
    <w:p>
      <w:pPr>
        <w:spacing w:after="0" w:line="163" w:lineRule="exact"/>
        <w:rPr>
          <w:sz w:val="20"/>
          <w:szCs w:val="20"/>
          <w:color w:val="auto"/>
        </w:rPr>
      </w:pPr>
    </w:p>
    <w:p>
      <w:pPr>
        <w:ind w:right="3599" w:firstLine="431"/>
        <w:spacing w:after="0" w:line="252" w:lineRule="auto"/>
        <w:rPr>
          <w:sz w:val="20"/>
          <w:szCs w:val="20"/>
          <w:color w:val="auto"/>
        </w:rPr>
      </w:pPr>
      <w:r>
        <w:rPr>
          <w:rFonts w:ascii="Courier New" w:cs="Courier New" w:eastAsia="Courier New" w:hAnsi="Courier New"/>
          <w:sz w:val="14"/>
          <w:szCs w:val="14"/>
          <w:color w:val="auto"/>
        </w:rPr>
        <w:t>It is the Corporation's policy to obtain control or take possession of securities purchased under resale agreements. The Corporation monitors the market value of securities and adjusts the level of collateral for resale and repurchase agreements, as appropriate.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AVAILABLE-FOR-SALE AND HELD-TO-MATURITY SECURITIES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Effective December 31, 1993, the Corporation adopted Statement of Financial Accounting Standards No. 115, "Accounting for Certain Investments in Debt and Equity Securities" ("SFAS 115"). For a further discussion of SFAS 115 and the Financial Accounting Series Special Report on SFAS 115, issued during the 1995 fourth quarter, see Note Four.</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Securities that may be sold in response to or in anticipation of changes in interest rates and resulting prepayment risk, or other factors, are classified as Available-for-Sale and are carried at fair value. Unrealized gains and losses on these securities, along with any unrealized gains and losses on related derivatives, are reported, net of applicable taxes, in Stockholders' Equity. Securities that the Corporation has the positive intent and ability to hold to maturity are classified as Held-to-Maturity and are carried at amortized cost. During 1993, securities that might have been sold prior to maturity were carried at the lower of aggregate cost or market value, with any valuation adjustments reported in Securities Gains.</w:t>
      </w:r>
    </w:p>
    <w:p>
      <w:pPr>
        <w:spacing w:after="0" w:line="163" w:lineRule="exact"/>
        <w:rPr>
          <w:sz w:val="20"/>
          <w:szCs w:val="20"/>
          <w:color w:val="auto"/>
        </w:rPr>
      </w:pPr>
    </w:p>
    <w:p>
      <w:pPr>
        <w:ind w:right="3859" w:firstLine="431"/>
        <w:spacing w:after="0" w:line="252" w:lineRule="auto"/>
        <w:rPr>
          <w:sz w:val="20"/>
          <w:szCs w:val="20"/>
          <w:color w:val="auto"/>
        </w:rPr>
      </w:pPr>
      <w:r>
        <w:rPr>
          <w:rFonts w:ascii="Courier New" w:cs="Courier New" w:eastAsia="Courier New" w:hAnsi="Courier New"/>
          <w:sz w:val="14"/>
          <w:szCs w:val="14"/>
          <w:color w:val="auto"/>
        </w:rPr>
        <w:t>Interest and dividend income on securities, including amortization of premiums and accretion of discounts, are reported in Interest Income on Securities. Interest income is recognized using the interest method. The</w:t>
      </w:r>
    </w:p>
    <w:p>
      <w:pPr>
        <w:sectPr>
          <w:pgSz w:w="11900" w:h="16887" w:orient="portrait"/>
          <w:cols w:equalWidth="0" w:num="1">
            <w:col w:w="10239"/>
          </w:cols>
          <w:pgMar w:left="220" w:top="285" w:right="1440" w:bottom="0" w:gutter="0" w:footer="0" w:header="0"/>
        </w:sectPr>
      </w:pPr>
    </w:p>
    <w:bookmarkStart w:id="70" w:name="page71"/>
    <w:bookmarkEnd w:id="70"/>
    <w:p>
      <w:pPr>
        <w:ind w:right="3339"/>
        <w:spacing w:after="0" w:line="257" w:lineRule="auto"/>
        <w:rPr>
          <w:sz w:val="20"/>
          <w:szCs w:val="20"/>
          <w:color w:val="auto"/>
        </w:rPr>
      </w:pPr>
      <w:r>
        <w:rPr>
          <w:rFonts w:ascii="Courier New" w:cs="Courier New" w:eastAsia="Courier New" w:hAnsi="Courier New"/>
          <w:sz w:val="14"/>
          <w:szCs w:val="14"/>
          <w:color w:val="auto"/>
        </w:rPr>
        <w:t>specific identification method is used to determine realized gains and losses on sales of securities, which are reported in Securities Gains. The carrying value of</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141" w:right="1440" w:bottom="1440" w:gutter="0" w:footer="0" w:header="0"/>
        </w:sectPr>
      </w:pPr>
    </w:p>
    <w:bookmarkStart w:id="71" w:name="page72"/>
    <w:bookmarkEnd w:id="71"/>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38</w:t>
      </w:r>
    </w:p>
    <w:p>
      <w:pPr>
        <w:spacing w:after="0" w:line="7"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individual securities is reduced through writedowns against Securities Gains to reflect other-than-temporary impairments in value.</w:t>
      </w:r>
    </w:p>
    <w:p>
      <w:pPr>
        <w:spacing w:after="0" w:line="160"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Corporation anticipates prepayments of principal in the calculation of the effective yield for collateralized mortgage obligations ("CMO") and mortgage-backed securities. The prepayment of CMOs and mortgage-backed securities is actively monitored through the Corporation's portfolio management function. The Corporation typically invests in CMOs and mortgage-backed securities with stable cash flows and relatively short duration, thereby limiting the impact of interest rate fluctuations on the portfolio. Management regularly does simulation testing regarding the impact that interest and market rate changes would have on its CMO and mortgage-backed securities portfolios. CMOs and mortgage-backed securities that management believes have high prepayment risk are included in the available-for-sale portfolio.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Loans are generally reported at the principal amount outstanding, net of unearned income and net deferred loan fees (nonrefundable yield-related loan fees, net of related direct origination costs), if any. Loans held for sale are carried at the lower of aggregate cost or fair value. Certain loans meeting the accounting definition of a security are classified as loans but are measured pursuant to SFAS 115. Interest income is recognized using the interest method or on a basis approximating a level rate of return over the term of the loan.</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Corporation sells or securitizes certain commercial and consumer loans. Such sales are generally without recourse to the Corporation. A limited number of assets are sold with recourse for which appropriate reserves are provided. Gains or losses, as appropriate, are reported in Other Revenue.</w:t>
      </w:r>
    </w:p>
    <w:p>
      <w:pPr>
        <w:spacing w:after="0" w:line="162" w:lineRule="exact"/>
        <w:rPr>
          <w:sz w:val="20"/>
          <w:szCs w:val="20"/>
          <w:color w:val="auto"/>
        </w:rPr>
      </w:pPr>
    </w:p>
    <w:p>
      <w:pPr>
        <w:ind w:right="3419" w:firstLine="431"/>
        <w:spacing w:after="0" w:line="250" w:lineRule="auto"/>
        <w:rPr>
          <w:sz w:val="20"/>
          <w:szCs w:val="20"/>
          <w:color w:val="auto"/>
        </w:rPr>
      </w:pPr>
      <w:r>
        <w:rPr>
          <w:rFonts w:ascii="Courier New" w:cs="Courier New" w:eastAsia="Courier New" w:hAnsi="Courier New"/>
          <w:sz w:val="14"/>
          <w:szCs w:val="14"/>
          <w:color w:val="auto"/>
        </w:rPr>
        <w:t>Nonaccrual loans are those loans on which the accrual of interest has ceased. Loans, other than certain consumer loans discussed below, are placed on nonaccrual status immediately if, in the opinion of management, principal or interest is not likely to be paid in accordance with the terms of the loan agreement, or when principal or interest is past due 90 days or more and collateral, if any, is insufficient to cover principal and interest. Interest accrued but not collected at the date a loan is placed on nonaccrual status is reversed against interest income. In addition, the amortization of net deferred loan fees is suspended when a loan is placed on nonaccrual status. Interest income on nonaccrual loans is recognized only to the extent received in cash. However, where there is doubt regarding the ultimate collectibility of the loan principal, cash receipts, whether designated as principal or interest, are thereafter applied to reduce the carrying value of the loan. Loans are restored to accrual status only when interest and principal payments are brought current and future payments are reasonably assured.</w:t>
      </w:r>
    </w:p>
    <w:p>
      <w:pPr>
        <w:spacing w:after="0" w:line="172"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Consumer loans (exclusive of residential mortgage products which are accounted for in accordance with the nonaccrual loan policy discussed above) are generally charged to the allowance for credit losses upon reaching specified stages of delinquency. Accrued interest is reversed against interest income when such consumer loans are charged off.</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Renegotiated loans are those for which concessions, such as the reduction of interest rates or deferral of interest or principal payments, have been granted due to a deterioration in the borrowers' financial condition. Interest on renegotiated loans is accrued at the renegotiated rates. Certain renegotiated loan agreements call for additional interest to be paid on a deferred or contingent basis. Such interest is recognized in income only as collected.</w:t>
      </w:r>
    </w:p>
    <w:p>
      <w:pPr>
        <w:spacing w:after="0" w:line="164" w:lineRule="exact"/>
        <w:rPr>
          <w:sz w:val="20"/>
          <w:szCs w:val="20"/>
          <w:color w:val="auto"/>
        </w:rPr>
      </w:pPr>
    </w:p>
    <w:p>
      <w:pPr>
        <w:ind w:right="3339" w:firstLine="431"/>
        <w:spacing w:after="0" w:line="250" w:lineRule="auto"/>
        <w:rPr>
          <w:sz w:val="20"/>
          <w:szCs w:val="20"/>
          <w:color w:val="auto"/>
        </w:rPr>
      </w:pPr>
      <w:r>
        <w:rPr>
          <w:rFonts w:ascii="Courier New" w:cs="Courier New" w:eastAsia="Courier New" w:hAnsi="Courier New"/>
          <w:sz w:val="14"/>
          <w:szCs w:val="14"/>
          <w:color w:val="auto"/>
        </w:rPr>
        <w:t>Effective January 1, 1995, the Corporation adopted Statement of Financial Accounting Standards No. 114, "Accounting by Creditors for Impairment of a Loan" ("SFAS 114"), and Statement of Financial Accounting Standards No. 118, "Accounting by Creditors for Impairment of a Loan - Income Recognition and Disclosures" ("SFAS 118"). SFAS 114 requires that the carrying value of an impaired loan be based on the present value of expected future cash flows discounted at the loan's effective interest rate or, as a practical expedient, at the loan's observable market price, or the fair value of the collateral, if the loan is collateral dependent. Under SFAS 114, a loan is considered impaired when, based on current information, it is probable that the borrower will be unable to pay contractual interest or principal payments as scheduled in the loan agreement. SFAS 114 applies to all loans except smaller-balance homogeneous consumer loans, loans carried at fair value or the lower of cost or fair value, debt securities and leases. Generally, the Corporation applies SFAS 114 to nonaccrual commercial loans and renegotiated loans. In addition, SFAS 114 modified the accounting for in-substance foreclosures ("ISF"). Effective January 1, 1995, a collateralized loan is considered an ISF and reclassified to Assets Acquired as Loan Satisfactions only when the Corporation has taken physical possession of the collateral regardless of whether formal foreclosure proceedings have taken place.</w:t>
      </w:r>
    </w:p>
    <w:p>
      <w:pPr>
        <w:spacing w:after="0" w:line="340"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SFAS 118 permits a creditor to use existing methods for recognizing interest revenue on impaired loans. The Corporation recognizes interest income on impaired loans pursuant to the discussion above for nonaccrual and renegotiated loans.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CREDIT LOSSES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allowance for credit losses provides for risks of losses inherent in the credit extension process. The allowance is a general allowance and is based on periodic reviews and analyses of the portfolio, which comprises primarily loans and derivatives and foreign exchange contracts. The periodic analyses include consideration of such factors as the risk rating of individual credits, the size and diversity of the portfolio, economic and political conditions, prior loss experience and results of periodic credit reviews of the portfolio. The allowance for credit losses is increased by provisions for losses charged against income and is reduced by</w:t>
      </w:r>
    </w:p>
    <w:p>
      <w:pPr>
        <w:sectPr>
          <w:pgSz w:w="11900" w:h="16877" w:orient="portrait"/>
          <w:cols w:equalWidth="0" w:num="1">
            <w:col w:w="10239"/>
          </w:cols>
          <w:pgMar w:left="220" w:top="285" w:right="1440" w:bottom="0" w:gutter="0" w:footer="0" w:header="0"/>
        </w:sectPr>
      </w:pPr>
    </w:p>
    <w:p>
      <w:pPr>
        <w:spacing w:after="0" w:line="16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57</w:t>
      </w:r>
    </w:p>
    <w:p>
      <w:pPr>
        <w:sectPr>
          <w:pgSz w:w="11900" w:h="16877" w:orient="portrait"/>
          <w:cols w:equalWidth="0" w:num="1">
            <w:col w:w="10239"/>
          </w:cols>
          <w:pgMar w:left="220" w:top="285" w:right="1440" w:bottom="0" w:gutter="0" w:footer="0" w:header="0"/>
          <w:type w:val="continuous"/>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39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charge-offs, net of recoveries. Charge-offs are recorded when, in the judgment of management, an extension of credit is deemed uncollectible, in whole or in part. Other charges to the allowance include amounts related to loans transferred to Assets Held for Accelerated Disposition.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PREMISES AND EQUIPMENT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Premises and equipment, including leasehold improvements, are carried at cost less accumulated depreciation and amortization. Capital leases are included in premises and equipment at the capitalized amount less accumulated amortization. Depreciation and amortization of premises are included in Occupancy Expense, while depreciation of equipment is included in Equipment Expense. Depreciation and amortization are computed using the straight-line method over the estimated useful life of the owned asset and, for leasehold improvements, over the estimated useful life of the related asset or the lease term, whichever is shorter. Maintenance and repairs are charged to expense as incurred, while major improvements are capitalized.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ASSETS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Assets Acquired as Loan Satisfactions: Assets acquired in full or partial satisfaction of loans are reported at the lower of cost or estimated fair value less costs to sell. These assets are primarily real estate. Writedowns at the date of transfer from Loans to Assets Acquired as Loan Satisfactions and within six months after the date of transfer are charged to the Allowance for Credit Losses. Writedowns of such assets subsequent to six months from the date of transfer are included in Foreclosed Property Expense. Operating expenses, net of related revenue, and gains and losses on sales of such assets are reported net in Foreclosed Property Expense.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Assets Held for Accelerated Disposition: Assets held for accelerated disposition, which consist primarily of real estate loans and real estate assets acquired as loan satisfactions, are reported in Other Assets. At the date of transfer to the accelerated disposition portfolio, these assets are recorded at their initial estimated disposition value less costs to sell. Assets held for accelerated disposition are carried at the lower of cost or current estimated disposition value. Interest income relating to these assets is recognized either in income or applied to reduce the carrying value of loans depending on management's judgment of collectibility. Any adjustments to the carrying value of these assets or realized gains and losses as assets are sold are reported in Other Revenue.</w:t>
      </w:r>
    </w:p>
    <w:p>
      <w:pPr>
        <w:spacing w:after="0" w:line="329"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Equity and Equity-Related Investments: Equity and equity-related investments, which include venture capital activities and emerging markets investments, are reported in Other Assets. Nonmarketable holdings are carried at cost, net of other-than-temporary impairment losses. Marketable holdings are marked-to-market at a discount to the public value. Income from these investments is reported in Other Revenue.</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Intangibles: Goodwill and other acquisition intangibles, such as core deposits and credit card relationships, are reported in Other Assets and are amortized over the estimated periods to be benefited generally ranging from 10 to 25 years. An impairment review is performed periodically on these assets.</w:t>
      </w:r>
    </w:p>
    <w:p>
      <w:pPr>
        <w:spacing w:after="0" w:line="162" w:lineRule="exact"/>
        <w:rPr>
          <w:sz w:val="20"/>
          <w:szCs w:val="20"/>
          <w:color w:val="auto"/>
        </w:rPr>
      </w:pPr>
    </w:p>
    <w:p>
      <w:pPr>
        <w:ind w:right="3339"/>
        <w:spacing w:after="0" w:line="250" w:lineRule="auto"/>
        <w:rPr>
          <w:sz w:val="20"/>
          <w:szCs w:val="20"/>
          <w:color w:val="auto"/>
        </w:rPr>
      </w:pPr>
      <w:r>
        <w:rPr>
          <w:rFonts w:ascii="Courier New" w:cs="Courier New" w:eastAsia="Courier New" w:hAnsi="Courier New"/>
          <w:sz w:val="14"/>
          <w:szCs w:val="14"/>
          <w:color w:val="auto"/>
        </w:rPr>
        <w:t>Mortgage Servicing Rights: In 1995, the Corporation adopted Statement of Financial Accounting Standards No. 122, "Accounting for Mortgage Servicing Rights" ("SFAS 122"). SFAS 122 amends Statement of Financial Accounting Standards No. 65, "Accounting for Certain Mortgage Banking Activities" ("SFAS 65"), to require that when a definitive plan exists to sell or securitize mortgage loans and to retain the servicing rights related thereto, a mortgage banking enterprise should recognize as separate assets the rights to service mortgage loans for others, irrespective of whether those servicing rights are acquired through the purchase or the origination of the mortgage loans. Under SFAS 65, only purchased mortgage servicing rights were permitted to be recognized as separate assets. Capitalized mortgage servicing assets are reported in Other Assets and are amortized into noninterest revenue in proportion to, and over the period of, the estimated future net servicing income stream of the underlying mortgage loans. SFAS 122 requires that capitalized mortgage servicing rights be assessed for impairment based on the fair value of those rights. The Corporation's policy for evaluating impairment is to stratify the mortgage servicing rights by interest rate bands. Fair value is determined considering market prices for similar assets or based on discounted cash flows using market based prepayment estimates for similar coupons and incremental direct and indirect costs.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FEE-BASED REVENUE</w:t>
      </w:r>
    </w:p>
    <w:p>
      <w:pPr>
        <w:spacing w:after="0" w:line="173"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Corporate finance and syndication fees primarily include fees received for managing and syndicating loan arrangements; providing financial advisory services in connection with leveraged buyouts, recapitalizations, and mergers and acquisitions; and arranging private placements and underwriting debt and equity securities.</w:t>
      </w:r>
    </w:p>
    <w:p>
      <w:pPr>
        <w:spacing w:after="0" w:line="165"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Trust and investment management fees primarily include fees received in connection with personal, corporate, and employee benefit trust and investment management activities.</w:t>
      </w:r>
    </w:p>
    <w:p>
      <w:pPr>
        <w:spacing w:after="0" w:line="163"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Credit card revenues primarily include fees received in connection with credit card activities such as annual, late payment, cash advance and interchange fees, as well as servicing fees earned in connection with securitization activities.</w:t>
      </w:r>
    </w:p>
    <w:p>
      <w:pPr>
        <w:spacing w:after="0" w:line="162"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Fees for other financial services primarily include fees received in connection with mortgage servicing, loan commitments, standby letters of credit, compensating balances and other fees.</w:t>
      </w:r>
    </w:p>
    <w:p>
      <w:pPr>
        <w:sectPr>
          <w:pgSz w:w="11900" w:h="16838" w:orient="portrait"/>
          <w:cols w:equalWidth="0" w:num="1">
            <w:col w:w="10239"/>
          </w:cols>
          <w:pgMar w:left="220" w:top="285" w:right="1440" w:bottom="0" w:gutter="0" w:footer="0" w:header="0"/>
        </w:sectPr>
      </w:pPr>
    </w:p>
    <w:bookmarkStart w:id="73" w:name="page74"/>
    <w:bookmarkEnd w:id="73"/>
    <w:p>
      <w:pPr>
        <w:ind w:right="3519" w:firstLine="431"/>
        <w:spacing w:after="0" w:line="251" w:lineRule="auto"/>
        <w:rPr>
          <w:sz w:val="20"/>
          <w:szCs w:val="20"/>
          <w:color w:val="auto"/>
        </w:rPr>
      </w:pPr>
      <w:r>
        <w:rPr>
          <w:rFonts w:ascii="Courier New" w:cs="Courier New" w:eastAsia="Courier New" w:hAnsi="Courier New"/>
          <w:sz w:val="14"/>
          <w:szCs w:val="14"/>
          <w:color w:val="auto"/>
        </w:rPr>
        <w:t>Corporate finance and syndication fees are recognized when services to which they relate have been provided. In addition, recognition of syndication fees is subject to certain tests being satisfied. Trust and investment management fees and fees for other financial services are generally recognized over the period</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141"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40</w:t>
      </w:r>
    </w:p>
    <w:p>
      <w:pPr>
        <w:spacing w:after="0" w:line="7"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related service is provided. Credit card revenues are generally recognized as billed, except for annual fees, which are recognized over a twelve-month period.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Corporation recognizes both the current and deferred tax consequences of all transactions that have been recognized in the financial statements. Calculations are based on the provisions of enacted tax laws and the tax rates in effect for current and future years. The deferred tax liability (asset) is determined based on enacted tax rates which will be in effect when the underlying items of income and expense are expected to be reported to the taxing authorities. Net deferred tax assets, whose realization is dependent on taxable earnings of future years, are recognized when a more-likely-than-not criterion is met. Annual deferred tax expense (benefit) is equal to the change in the deferred tax liability (asset) account from the beginning to the end of the year. A current tax liability (asset) is recognized for the estimated taxes payable or refundable for the current year.</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Primary earnings per share is computed by dividing net income after deducting preferred stock dividends by average common and common equivalent shares outstanding, which reflect the dilutive effect of stock options and warrants during the respective period. The dilutive effect of stock options and warrants is computed under the treasury stock method using the average market price of the Corporation's common stock for the period.</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Earnings per common share, assuming full dilution, is computed based on the average number of common shares outstanding during the period, including the dilutive effect of stock options, warrants, and any convertible preferred stock outstanding during the period. The dilutive effect of outstanding stock options and warrants is computed using the greater of the closing market price or the average market price of the Corporation's common stock for the period. Any stock options or warrants exercised or any preferred stock converted are assumed to have occurred at the beginning of the period. Net income applicable to common stock is adjusted for dividends on the convertible preferred stock.</w:t>
      </w:r>
    </w:p>
    <w:p>
      <w:pPr>
        <w:spacing w:after="0" w:line="164"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During 1995, the Corporation changed its reporting of earnings per share ("EPS") for all periods from "simple" EPS (which is based solely on the average number of common shares outstanding) to reporting "primary" and "fully-diluted" EPS. Previously, the Corporation reported simple EPS, since the differences between simple EPS and primary EPS or simple EPS and fully-diluted EPS were not material (less than 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STATEMENT OF CASH FLOWS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For purposes of preparing the Consolidated Statement of Cash Flows, the Corporation defines cash and cash equivalents as those amounts included in the balance sheet caption Cash and Due from Banks. Cash flows from loans and deposits are reported on a net basis. Changes in assets and liabilities are net of the effects of sales and acquisitions.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MERGER BETWEEN CHASE AND CHEMICAL</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On March 31, 1996, Chase merged with and into Chemical (the "merger") resulting in a corporation with over $300 billion in total assets and $20 billion in shareholders' equity.</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terms of the merger agreement, 183 million shares of the Corporation's common stock were issued in exchange for all of the outstanding shares of Chase's common stock (based on an exchange ratio of 1.04 shares of the Corporation's common stock for each share of Chase's common stock). All of Chase's series of preferred stock were exchanged on a one-for-one basis for a corresponding series of the Corporation's preferred stock having substantially the same terms as the Chase preferred stock so converted. The merger was accounted for as a pooling of interests.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connection with the merger, $1.9 billion of one-time merger-related costs have been identified, of which $1.65 billion was taken as a restructuring charge on March 31, 1996. The remaining $250 million will be substantially incurred over the next two years as these costs do not qualify for immediate recognition under a recently issued accounting pronouncement. These costs will be reflected in the restructuring charge caption when incurred. The $1.9 billion of merger-related costs reflects severance and other termination-related costs to be incurred in connection with anticipated staff reductions (approximately $600 million), costs in connection with planned dispositions of certain facilities, premises and equipment (approximately $700 million), and other merger-related expenses, including costs to eliminate redundant back office and other operations of Chemical and Chase and other expenses related directly to the merger (approximately $600 million).</w:t>
      </w:r>
    </w:p>
    <w:p>
      <w:pPr>
        <w:sectPr>
          <w:pgSz w:w="11900" w:h="16838" w:orient="portrait"/>
          <w:cols w:equalWidth="0" w:num="1">
            <w:col w:w="10239"/>
          </w:cols>
          <w:pgMar w:left="220" w:top="285" w:right="1440" w:bottom="1440" w:gutter="0" w:footer="0" w:header="0"/>
        </w:sectPr>
      </w:pPr>
    </w:p>
    <w:p>
      <w:pPr>
        <w:spacing w:after="0" w:line="163"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285" w:right="1440" w:bottom="1440" w:gutter="0" w:footer="0" w:header="0"/>
          <w:type w:val="continuous"/>
        </w:sectPr>
      </w:pPr>
    </w:p>
    <w:bookmarkStart w:id="75" w:name="page76"/>
    <w:bookmarkEnd w:id="75"/>
    <w:p>
      <w:pPr>
        <w:ind w:left="260"/>
        <w:spacing w:after="0"/>
        <w:rPr>
          <w:sz w:val="20"/>
          <w:szCs w:val="20"/>
          <w:color w:val="auto"/>
        </w:rPr>
      </w:pPr>
      <w:r>
        <w:rPr>
          <w:rFonts w:ascii="Courier New" w:cs="Courier New" w:eastAsia="Courier New" w:hAnsi="Courier New"/>
          <w:sz w:val="14"/>
          <w:szCs w:val="14"/>
          <w:color w:val="auto"/>
        </w:rPr>
        <w:t>41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TRADING ACTIVITIES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Corporation uses its trading assets and liabilities to meet the financial needs of its customers and to generate revenue through its trading activities. The Corporation generates such trading revenue through market-making, sales, arbitrage and, to a lesser degree, positioning. A description of the classes of derivative and foreign exchange instruments used in the Corporation's trading activities as well as the credit and market risk factors involved in such activities are disclosed in Note Eighteen.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 REVENUE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table sets forth the components of total trading-related revenue.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Trading Revenue</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$1,016</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$1,173</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$1,769</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Net Interest Income Impact(a)</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442</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166</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80" w:type="dxa"/>
            <w:vAlign w:val="bottom"/>
            <w:gridSpan w:val="2"/>
          </w:tcPr>
          <w:p>
            <w:pPr>
              <w:spacing w:after="0"/>
              <w:rPr>
                <w:sz w:val="20"/>
                <w:szCs w:val="20"/>
                <w:color w:val="auto"/>
              </w:rPr>
            </w:pPr>
            <w:r>
              <w:rPr>
                <w:rFonts w:ascii="Courier New" w:cs="Courier New" w:eastAsia="Courier New" w:hAnsi="Courier New"/>
                <w:sz w:val="14"/>
                <w:szCs w:val="14"/>
                <w:color w:val="auto"/>
              </w:rPr>
              <w:t>Total Trading-Related Revenue</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$1,458</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$1,339</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$1,896</w:t>
            </w:r>
          </w:p>
        </w:tc>
      </w:tr>
    </w:tbl>
    <w:p>
      <w:pPr>
        <w:spacing w:after="0" w:line="4" w:lineRule="exact"/>
        <w:rPr>
          <w:sz w:val="20"/>
          <w:szCs w:val="20"/>
          <w:color w:val="auto"/>
        </w:rPr>
      </w:pPr>
    </w:p>
    <w:p>
      <w:pPr>
        <w:ind w:left="180" w:hanging="172"/>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Product Diversification:</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Interest Rate Contracts(b)</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445</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492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640</w:t>
            </w: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Foreign Exchange Contracts(c)</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584</w:t>
            </w:r>
          </w:p>
        </w:tc>
        <w:tc>
          <w:tcPr>
            <w:tcW w:w="1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431(e)</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668</w:t>
            </w:r>
          </w:p>
        </w:tc>
      </w:tr>
      <w:tr>
        <w:trPr>
          <w:trHeight w:val="166"/>
        </w:trPr>
        <w:tc>
          <w:tcPr>
            <w:tcW w:w="3180" w:type="dxa"/>
            <w:vAlign w:val="bottom"/>
          </w:tcPr>
          <w:p>
            <w:pPr>
              <w:spacing w:after="0"/>
              <w:rPr>
                <w:sz w:val="20"/>
                <w:szCs w:val="20"/>
                <w:color w:val="auto"/>
              </w:rPr>
            </w:pPr>
            <w:r>
              <w:rPr>
                <w:rFonts w:ascii="Courier New" w:cs="Courier New" w:eastAsia="Courier New" w:hAnsi="Courier New"/>
                <w:sz w:val="14"/>
                <w:szCs w:val="14"/>
                <w:color w:val="auto"/>
              </w:rPr>
              <w:t>Debt Instruments and Other(d)</w:t>
            </w:r>
          </w:p>
        </w:tc>
        <w:tc>
          <w:tcPr>
            <w:tcW w:w="1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429</w:t>
            </w:r>
          </w:p>
        </w:tc>
        <w:tc>
          <w:tcPr>
            <w:tcW w:w="12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5080" w:val="left"/>
          <w:tab w:leader="none" w:pos="6360" w:val="left"/>
        </w:tabs>
        <w:rPr>
          <w:sz w:val="20"/>
          <w:szCs w:val="20"/>
          <w:color w:val="auto"/>
        </w:rPr>
      </w:pPr>
      <w:r>
        <w:rPr>
          <w:rFonts w:ascii="Courier New" w:cs="Courier New" w:eastAsia="Courier New" w:hAnsi="Courier New"/>
          <w:sz w:val="14"/>
          <w:szCs w:val="14"/>
          <w:color w:val="auto"/>
        </w:rPr>
        <w:t>Total Trading-Related Revenue</w:t>
      </w:r>
      <w:r>
        <w:rPr>
          <w:sz w:val="20"/>
          <w:szCs w:val="20"/>
          <w:color w:val="auto"/>
        </w:rPr>
        <w:tab/>
      </w:r>
      <w:r>
        <w:rPr>
          <w:rFonts w:ascii="Courier New" w:cs="Courier New" w:eastAsia="Courier New" w:hAnsi="Courier New"/>
          <w:sz w:val="14"/>
          <w:szCs w:val="14"/>
          <w:color w:val="auto"/>
        </w:rPr>
        <w:t>$1,458</w:t>
      </w:r>
      <w:r>
        <w:rPr>
          <w:sz w:val="20"/>
          <w:szCs w:val="20"/>
          <w:color w:val="auto"/>
        </w:rPr>
        <w:tab/>
      </w:r>
      <w:r>
        <w:rPr>
          <w:rFonts w:ascii="Courier New" w:cs="Courier New" w:eastAsia="Courier New" w:hAnsi="Courier New"/>
          <w:sz w:val="14"/>
          <w:szCs w:val="14"/>
          <w:color w:val="auto"/>
        </w:rPr>
        <w:t>$1,339</w:t>
      </w:r>
      <w:r>
        <w:rPr>
          <w:sz w:val="20"/>
          <w:szCs w:val="20"/>
          <w:color w:val="auto"/>
        </w:rPr>
        <w:tab/>
      </w:r>
      <w:r>
        <w:rPr>
          <w:rFonts w:ascii="Courier New" w:cs="Courier New" w:eastAsia="Courier New" w:hAnsi="Courier New"/>
          <w:sz w:val="14"/>
          <w:szCs w:val="14"/>
          <w:color w:val="auto"/>
        </w:rPr>
        <w:t>$1,896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419" w:firstLine="8"/>
        <w:spacing w:after="0" w:line="250" w:lineRule="auto"/>
        <w:tabs>
          <w:tab w:leader="none" w:pos="344"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interest income attributable to trading activities includes accruals on interest-earning and interest-bearing trading-related positions as well as a management allocation reflecting the funding cost or benefit associated with trading positions.</w:t>
      </w:r>
    </w:p>
    <w:p>
      <w:pPr>
        <w:spacing w:after="0" w:line="1" w:lineRule="exact"/>
        <w:rPr>
          <w:rFonts w:ascii="Courier New" w:cs="Courier New" w:eastAsia="Courier New" w:hAnsi="Courier New"/>
          <w:sz w:val="14"/>
          <w:szCs w:val="14"/>
          <w:color w:val="auto"/>
        </w:rPr>
      </w:pPr>
    </w:p>
    <w:p>
      <w:pPr>
        <w:ind w:right="3519" w:firstLine="8"/>
        <w:spacing w:after="0" w:line="250" w:lineRule="auto"/>
        <w:tabs>
          <w:tab w:leader="none" w:pos="344"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interest rate swaps, cross-currency interest rate swaps, foreign exchange forward contracts, interest rate futures, and forward rate agreements and related hedges.</w:t>
      </w:r>
    </w:p>
    <w:p>
      <w:pPr>
        <w:spacing w:after="0" w:line="1"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foreign exchange spot and option contracts.</w:t>
      </w:r>
    </w:p>
    <w:p>
      <w:pPr>
        <w:spacing w:after="0" w:line="7" w:lineRule="exact"/>
        <w:rPr>
          <w:rFonts w:ascii="Courier New" w:cs="Courier New" w:eastAsia="Courier New" w:hAnsi="Courier New"/>
          <w:sz w:val="14"/>
          <w:szCs w:val="14"/>
          <w:color w:val="auto"/>
        </w:rPr>
      </w:pPr>
    </w:p>
    <w:p>
      <w:pPr>
        <w:jc w:val="both"/>
        <w:ind w:right="3519" w:firstLine="8"/>
        <w:spacing w:after="0" w:line="250" w:lineRule="auto"/>
        <w:tabs>
          <w:tab w:leader="none" w:pos="344"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U.S. and foreign government and government agency securities, corporate debt securities, emerging markets debt instruments, debt-related derivatives, equity securities, equity derivatives, and commodity derivatives.</w:t>
      </w:r>
    </w:p>
    <w:p>
      <w:pPr>
        <w:spacing w:after="0" w:line="1" w:lineRule="exact"/>
        <w:rPr>
          <w:rFonts w:ascii="Courier New" w:cs="Courier New" w:eastAsia="Courier New" w:hAnsi="Courier New"/>
          <w:sz w:val="14"/>
          <w:szCs w:val="14"/>
          <w:color w:val="auto"/>
        </w:rPr>
      </w:pPr>
    </w:p>
    <w:p>
      <w:pPr>
        <w:ind w:right="4119" w:firstLine="8"/>
        <w:spacing w:after="0" w:line="255" w:lineRule="auto"/>
        <w:tabs>
          <w:tab w:leader="none" w:pos="344"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$70 million reduction as a result of losses sustained from unauthorized foreign exchange transactions involving the Mexican peso.</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TRADING ASSETS AND LIABILITIES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Trading assets include debt and equity instruments and risk management instruments with positive fair values. Trading liabilities are comprised of securities sold, not yet purchased and risk management instruments with negative fair values. Trading assets and trading liabilities (which are carried at estimated fair value, after taking into account the effects of legally enforceable master netting agreements on risk management instruments) are presented in the following table for the dates indicated.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DECEMBER 31, (IN MILLIONS)</w:t>
            </w:r>
          </w:p>
        </w:tc>
        <w:tc>
          <w:tcPr>
            <w:tcW w:w="2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Trading Assets - Debt and Equity Instruments:</w:t>
            </w: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U.S. Government, Federal Agencies</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060" w:type="dxa"/>
            <w:vAlign w:val="bottom"/>
          </w:tcPr>
          <w:p>
            <w:pPr>
              <w:ind w:left="360"/>
              <w:spacing w:after="0"/>
              <w:rPr>
                <w:sz w:val="20"/>
                <w:szCs w:val="20"/>
                <w:color w:val="auto"/>
              </w:rPr>
            </w:pPr>
            <w:r>
              <w:rPr>
                <w:rFonts w:ascii="Courier New" w:cs="Courier New" w:eastAsia="Courier New" w:hAnsi="Courier New"/>
                <w:sz w:val="14"/>
                <w:szCs w:val="14"/>
                <w:color w:val="auto"/>
              </w:rPr>
              <w:t>Municipal Securities</w:t>
            </w:r>
          </w:p>
        </w:tc>
        <w:tc>
          <w:tcPr>
            <w:tcW w:w="22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$ 9,601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$ 4,001</w:t>
            </w: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Certificates of Deposit, Bankers'</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Acceptances,</w:t>
            </w: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060" w:type="dxa"/>
            <w:vAlign w:val="bottom"/>
          </w:tcPr>
          <w:p>
            <w:pPr>
              <w:ind w:left="360"/>
              <w:spacing w:after="0"/>
              <w:rPr>
                <w:sz w:val="20"/>
                <w:szCs w:val="20"/>
                <w:color w:val="auto"/>
              </w:rPr>
            </w:pPr>
            <w:r>
              <w:rPr>
                <w:rFonts w:ascii="Courier New" w:cs="Courier New" w:eastAsia="Courier New" w:hAnsi="Courier New"/>
                <w:sz w:val="14"/>
                <w:szCs w:val="14"/>
                <w:color w:val="auto"/>
              </w:rPr>
              <w:t>and Commercial Paper</w:t>
            </w:r>
          </w:p>
        </w:tc>
        <w:tc>
          <w:tcPr>
            <w:tcW w:w="22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2,560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2,381</w:t>
            </w: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Debt Securities Issued by Foreign</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Governments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6,318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4,078</w:t>
            </w: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Debt Securities Issued by Foreign</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Financial Institutions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3,467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3,356</w:t>
            </w: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Loans</w:t>
            </w:r>
          </w:p>
        </w:tc>
        <w:tc>
          <w:tcPr>
            <w:tcW w:w="22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894</w:t>
            </w: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Corporate Securities</w:t>
            </w:r>
          </w:p>
        </w:tc>
        <w:tc>
          <w:tcPr>
            <w:tcW w:w="22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2,224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2,075</w:t>
            </w: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228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1,376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Total Trading Assets-Debt and Equity Instruments(a)(b)</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$26,212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$17,926</w:t>
            </w:r>
          </w:p>
        </w:tc>
      </w:tr>
    </w:tbl>
    <w:p>
      <w:pPr>
        <w:spacing w:after="0" w:line="4" w:lineRule="exact"/>
        <w:rPr>
          <w:sz w:val="20"/>
          <w:szCs w:val="20"/>
          <w:color w:val="auto"/>
        </w:rPr>
      </w:pPr>
    </w:p>
    <w:p>
      <w:pPr>
        <w:ind w:left="180" w:hanging="172"/>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Trading Assets - Risk Management Instruments: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020" w:type="dxa"/>
            <w:vAlign w:val="bottom"/>
          </w:tcPr>
          <w:p>
            <w:pPr>
              <w:spacing w:after="0"/>
              <w:rPr>
                <w:sz w:val="20"/>
                <w:szCs w:val="20"/>
                <w:color w:val="auto"/>
              </w:rPr>
            </w:pPr>
            <w:r>
              <w:rPr>
                <w:rFonts w:ascii="Courier New" w:cs="Courier New" w:eastAsia="Courier New" w:hAnsi="Courier New"/>
                <w:sz w:val="14"/>
                <w:szCs w:val="14"/>
                <w:color w:val="auto"/>
              </w:rPr>
              <w:t>Interest Rate Contracts</w:t>
            </w:r>
          </w:p>
        </w:tc>
        <w:tc>
          <w:tcPr>
            <w:tcW w:w="2580" w:type="dxa"/>
            <w:vAlign w:val="bottom"/>
          </w:tcPr>
          <w:p>
            <w:pPr>
              <w:spacing w:after="0"/>
              <w:rPr>
                <w:sz w:val="14"/>
                <w:szCs w:val="14"/>
                <w:color w:val="auto"/>
              </w:rPr>
            </w:pPr>
          </w:p>
        </w:tc>
        <w:tc>
          <w:tcPr>
            <w:tcW w:w="1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$12,408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$10,684</w:t>
            </w:r>
          </w:p>
        </w:tc>
      </w:tr>
      <w:tr>
        <w:trPr>
          <w:trHeight w:val="166"/>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Foreign Exchange Contracts</w:t>
            </w:r>
          </w:p>
        </w:tc>
        <w:tc>
          <w:tcPr>
            <w:tcW w:w="1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12,384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14,597</w:t>
            </w:r>
          </w:p>
        </w:tc>
      </w:tr>
      <w:tr>
        <w:trPr>
          <w:trHeight w:val="166"/>
        </w:trPr>
        <w:tc>
          <w:tcPr>
            <w:tcW w:w="2020" w:type="dxa"/>
            <w:vAlign w:val="bottom"/>
          </w:tcPr>
          <w:p>
            <w:pPr>
              <w:spacing w:after="0"/>
              <w:rPr>
                <w:sz w:val="20"/>
                <w:szCs w:val="20"/>
                <w:color w:val="auto"/>
              </w:rPr>
            </w:pPr>
            <w:r>
              <w:rPr>
                <w:rFonts w:ascii="Courier New" w:cs="Courier New" w:eastAsia="Courier New" w:hAnsi="Courier New"/>
                <w:sz w:val="14"/>
                <w:szCs w:val="14"/>
                <w:color w:val="auto"/>
              </w:rPr>
              <w:t>Stock Index Options and</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Commodity Contracts</w:t>
            </w:r>
          </w:p>
        </w:tc>
        <w:tc>
          <w:tcPr>
            <w:tcW w:w="1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Total Trading Assets-Risk Management Instruments(c)</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$25,825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$25,985</w:t>
            </w:r>
          </w:p>
        </w:tc>
      </w:tr>
    </w:tbl>
    <w:p>
      <w:pPr>
        <w:spacing w:after="0" w:line="4" w:lineRule="exact"/>
        <w:rPr>
          <w:sz w:val="20"/>
          <w:szCs w:val="20"/>
          <w:color w:val="auto"/>
        </w:rPr>
      </w:pPr>
    </w:p>
    <w:p>
      <w:pPr>
        <w:ind w:left="180" w:hanging="172"/>
        <w:spacing w:after="0"/>
        <w:tabs>
          <w:tab w:leader="none" w:pos="1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Trading Liabilities - Risk Management Instruments: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020" w:type="dxa"/>
            <w:vAlign w:val="bottom"/>
          </w:tcPr>
          <w:p>
            <w:pPr>
              <w:spacing w:after="0"/>
              <w:rPr>
                <w:sz w:val="20"/>
                <w:szCs w:val="20"/>
                <w:color w:val="auto"/>
              </w:rPr>
            </w:pPr>
            <w:r>
              <w:rPr>
                <w:rFonts w:ascii="Courier New" w:cs="Courier New" w:eastAsia="Courier New" w:hAnsi="Courier New"/>
                <w:sz w:val="14"/>
                <w:szCs w:val="14"/>
                <w:color w:val="auto"/>
              </w:rPr>
              <w:t>Interest Rate Contracts</w:t>
            </w:r>
          </w:p>
        </w:tc>
        <w:tc>
          <w:tcPr>
            <w:tcW w:w="2580" w:type="dxa"/>
            <w:vAlign w:val="bottom"/>
          </w:tcPr>
          <w:p>
            <w:pPr>
              <w:spacing w:after="0"/>
              <w:rPr>
                <w:sz w:val="14"/>
                <w:szCs w:val="14"/>
                <w:color w:val="auto"/>
              </w:rPr>
            </w:pPr>
          </w:p>
        </w:tc>
        <w:tc>
          <w:tcPr>
            <w:tcW w:w="1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$13,975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$ 9,413</w:t>
            </w:r>
          </w:p>
        </w:tc>
      </w:tr>
      <w:tr>
        <w:trPr>
          <w:trHeight w:val="166"/>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Foreign Exchange Contracts</w:t>
            </w:r>
          </w:p>
        </w:tc>
        <w:tc>
          <w:tcPr>
            <w:tcW w:w="1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14,078</w:t>
            </w:r>
          </w:p>
        </w:tc>
      </w:tr>
      <w:tr>
        <w:trPr>
          <w:trHeight w:val="166"/>
        </w:trPr>
        <w:tc>
          <w:tcPr>
            <w:tcW w:w="2020" w:type="dxa"/>
            <w:vAlign w:val="bottom"/>
          </w:tcPr>
          <w:p>
            <w:pPr>
              <w:spacing w:after="0"/>
              <w:rPr>
                <w:sz w:val="20"/>
                <w:szCs w:val="20"/>
                <w:color w:val="auto"/>
              </w:rPr>
            </w:pPr>
            <w:r>
              <w:rPr>
                <w:rFonts w:ascii="Courier New" w:cs="Courier New" w:eastAsia="Courier New" w:hAnsi="Courier New"/>
                <w:sz w:val="14"/>
                <w:szCs w:val="14"/>
                <w:color w:val="auto"/>
              </w:rPr>
              <w:t>Stock Index Options and</w:t>
            </w:r>
          </w:p>
        </w:tc>
        <w:tc>
          <w:tcPr>
            <w:tcW w:w="2580" w:type="dxa"/>
            <w:vAlign w:val="bottom"/>
          </w:tcPr>
          <w:p>
            <w:pPr>
              <w:ind w:left="40"/>
              <w:spacing w:after="0"/>
              <w:rPr>
                <w:sz w:val="20"/>
                <w:szCs w:val="20"/>
                <w:color w:val="auto"/>
              </w:rPr>
            </w:pPr>
            <w:r>
              <w:rPr>
                <w:rFonts w:ascii="Courier New" w:cs="Courier New" w:eastAsia="Courier New" w:hAnsi="Courier New"/>
                <w:sz w:val="14"/>
                <w:szCs w:val="14"/>
                <w:color w:val="auto"/>
              </w:rPr>
              <w:t>Commodity Contracts</w:t>
            </w:r>
          </w:p>
        </w:tc>
        <w:tc>
          <w:tcPr>
            <w:tcW w:w="1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Trading Liabilities-Risk Management Instruments(c)</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$28,101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$23,951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680" w:val="left"/>
          <w:tab w:leader="none" w:pos="6540" w:val="left"/>
        </w:tabs>
        <w:rPr>
          <w:sz w:val="20"/>
          <w:szCs w:val="20"/>
          <w:color w:val="auto"/>
        </w:rPr>
      </w:pPr>
      <w:r>
        <w:rPr>
          <w:rFonts w:ascii="Courier New" w:cs="Courier New" w:eastAsia="Courier New" w:hAnsi="Courier New"/>
          <w:sz w:val="14"/>
          <w:szCs w:val="14"/>
          <w:color w:val="auto"/>
        </w:rPr>
        <w:t>Securities Sold, Not Yet Purchased</w:t>
      </w:r>
      <w:r>
        <w:rPr>
          <w:sz w:val="20"/>
          <w:szCs w:val="20"/>
          <w:color w:val="auto"/>
        </w:rPr>
        <w:tab/>
      </w:r>
      <w:r>
        <w:rPr>
          <w:rFonts w:ascii="Courier New" w:cs="Courier New" w:eastAsia="Courier New" w:hAnsi="Courier New"/>
          <w:sz w:val="14"/>
          <w:szCs w:val="14"/>
          <w:color w:val="auto"/>
        </w:rPr>
        <w:t>$ 6,240</w:t>
      </w:r>
      <w:r>
        <w:rPr>
          <w:sz w:val="20"/>
          <w:szCs w:val="20"/>
          <w:color w:val="auto"/>
        </w:rPr>
        <w:tab/>
      </w:r>
      <w:r>
        <w:rPr>
          <w:rFonts w:ascii="Courier New" w:cs="Courier New" w:eastAsia="Courier New" w:hAnsi="Courier New"/>
          <w:sz w:val="14"/>
          <w:szCs w:val="14"/>
          <w:color w:val="auto"/>
        </w:rPr>
        <w:t>$ 6,405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680" w:val="left"/>
          <w:tab w:leader="none" w:pos="6540" w:val="left"/>
        </w:tabs>
        <w:rPr>
          <w:sz w:val="20"/>
          <w:szCs w:val="20"/>
          <w:color w:val="auto"/>
        </w:rPr>
      </w:pPr>
      <w:r>
        <w:rPr>
          <w:rFonts w:ascii="Courier New" w:cs="Courier New" w:eastAsia="Courier New" w:hAnsi="Courier New"/>
          <w:sz w:val="14"/>
          <w:szCs w:val="14"/>
          <w:color w:val="auto"/>
        </w:rPr>
        <w:t>Total Trading Liabilities</w:t>
      </w:r>
      <w:r>
        <w:rPr>
          <w:sz w:val="20"/>
          <w:szCs w:val="20"/>
          <w:color w:val="auto"/>
        </w:rPr>
        <w:tab/>
      </w:r>
      <w:r>
        <w:rPr>
          <w:rFonts w:ascii="Courier New" w:cs="Courier New" w:eastAsia="Courier New" w:hAnsi="Courier New"/>
          <w:sz w:val="14"/>
          <w:szCs w:val="14"/>
          <w:color w:val="auto"/>
        </w:rPr>
        <w:t>$34,341</w:t>
      </w:r>
      <w:r>
        <w:rPr>
          <w:sz w:val="20"/>
          <w:szCs w:val="20"/>
          <w:color w:val="auto"/>
        </w:rPr>
        <w:tab/>
      </w:r>
      <w:r>
        <w:rPr>
          <w:rFonts w:ascii="Courier New" w:cs="Courier New" w:eastAsia="Courier New" w:hAnsi="Courier New"/>
          <w:sz w:val="14"/>
          <w:szCs w:val="14"/>
          <w:color w:val="auto"/>
        </w:rPr>
        <w:t>$30,356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285" w:right="1440" w:bottom="0" w:gutter="0" w:footer="0" w:header="0"/>
        </w:sectPr>
      </w:pPr>
    </w:p>
    <w:bookmarkStart w:id="76" w:name="page77"/>
    <w:bookmarkEnd w:id="76"/>
    <w:p>
      <w:pPr>
        <w:ind w:right="3519" w:firstLine="8"/>
        <w:spacing w:after="0" w:line="250" w:lineRule="auto"/>
        <w:tabs>
          <w:tab w:leader="none" w:pos="344"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emerging markets instruments of $1,301 million in 1995 and $1,350 million in 1994.</w:t>
      </w:r>
    </w:p>
    <w:p>
      <w:pPr>
        <w:ind w:right="3519" w:firstLine="8"/>
        <w:spacing w:after="0" w:line="250" w:lineRule="auto"/>
        <w:tabs>
          <w:tab w:leader="none" w:pos="344"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fair value of Trading Assets - Debt and Equity Instruments was $20,935 million during 1995 and $19,436 million during 1994.</w:t>
      </w:r>
    </w:p>
    <w:p>
      <w:pPr>
        <w:ind w:right="3419" w:firstLine="8"/>
        <w:spacing w:after="0" w:line="251" w:lineRule="auto"/>
        <w:tabs>
          <w:tab w:leader="none" w:pos="344"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fair value of Trading Assets - Risk Management Instruments and Trading Liabilities - Risk Management Instruments was $30,397 million and $31,665 million, respectively, during 1995. The average fair value of Trading Assets - Risk Management Instruments and Trading Liabilities - Risk Management Instruments was $27,956 million and $25,918 million, respectively, during 1994.</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141"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42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SECURITIES</w:t>
      </w:r>
    </w:p>
    <w:p>
      <w:pPr>
        <w:spacing w:after="0" w:line="173" w:lineRule="exact"/>
        <w:rPr>
          <w:sz w:val="20"/>
          <w:szCs w:val="20"/>
          <w:color w:val="auto"/>
        </w:rPr>
      </w:pPr>
    </w:p>
    <w:p>
      <w:pPr>
        <w:ind w:right="4560"/>
        <w:spacing w:after="0" w:line="252" w:lineRule="auto"/>
        <w:rPr>
          <w:sz w:val="20"/>
          <w:szCs w:val="20"/>
          <w:color w:val="auto"/>
        </w:rPr>
      </w:pPr>
      <w:r>
        <w:rPr>
          <w:rFonts w:ascii="Courier New" w:cs="Courier New" w:eastAsia="Courier New" w:hAnsi="Courier New"/>
          <w:sz w:val="14"/>
          <w:szCs w:val="14"/>
          <w:color w:val="auto"/>
        </w:rPr>
        <w:t>See Note One for a discussion of the accounting policies relating to securities. The amortized cost and estimated fair value of available-for-sale securities and held-to-maturity securities, including the impact of related derivatives, were as follows for the dates indicated:</w:t>
      </w:r>
    </w:p>
    <w:p>
      <w:pPr>
        <w:spacing w:after="0" w:line="200" w:lineRule="exact"/>
        <w:rPr>
          <w:sz w:val="20"/>
          <w:szCs w:val="20"/>
          <w:color w:val="auto"/>
        </w:rPr>
      </w:pPr>
    </w:p>
    <w:p>
      <w:pPr>
        <w:spacing w:after="0" w:line="293" w:lineRule="exact"/>
        <w:rPr>
          <w:sz w:val="20"/>
          <w:szCs w:val="20"/>
          <w:color w:val="auto"/>
        </w:rPr>
      </w:pPr>
    </w:p>
    <w:p>
      <w:pPr>
        <w:ind w:left="5100"/>
        <w:spacing w:after="0"/>
        <w:tabs>
          <w:tab w:leader="none" w:pos="6020" w:val="left"/>
          <w:tab w:leader="none" w:pos="8780" w:val="left"/>
          <w:tab w:leader="none" w:pos="9800" w:val="left"/>
        </w:tabs>
        <w:rPr>
          <w:sz w:val="20"/>
          <w:szCs w:val="20"/>
          <w:color w:val="auto"/>
        </w:rPr>
      </w:pPr>
      <w:r>
        <w:rPr>
          <w:rFonts w:ascii="Courier New" w:cs="Courier New" w:eastAsia="Courier New" w:hAnsi="Courier New"/>
          <w:sz w:val="14"/>
          <w:szCs w:val="14"/>
          <w:color w:val="auto"/>
        </w:rPr>
        <w:t>GROSS</w:t>
      </w:r>
      <w:r>
        <w:rPr>
          <w:sz w:val="20"/>
          <w:szCs w:val="20"/>
          <w:color w:val="auto"/>
        </w:rPr>
        <w:tab/>
      </w:r>
      <w:r>
        <w:rPr>
          <w:rFonts w:ascii="Courier New" w:cs="Courier New" w:eastAsia="Courier New" w:hAnsi="Courier New"/>
          <w:sz w:val="14"/>
          <w:szCs w:val="14"/>
          <w:color w:val="auto"/>
        </w:rPr>
        <w:t>GROSS</w:t>
      </w:r>
      <w:r>
        <w:rPr>
          <w:sz w:val="20"/>
          <w:szCs w:val="20"/>
          <w:color w:val="auto"/>
        </w:rPr>
        <w:tab/>
      </w:r>
      <w:r>
        <w:rPr>
          <w:rFonts w:ascii="Courier New" w:cs="Courier New" w:eastAsia="Courier New" w:hAnsi="Courier New"/>
          <w:sz w:val="14"/>
          <w:szCs w:val="14"/>
          <w:color w:val="auto"/>
        </w:rPr>
        <w:t>GROSS</w:t>
      </w:r>
      <w:r>
        <w:rPr>
          <w:sz w:val="20"/>
          <w:szCs w:val="20"/>
          <w:color w:val="auto"/>
        </w:rPr>
        <w:tab/>
      </w:r>
      <w:r>
        <w:rPr>
          <w:rFonts w:ascii="Courier New" w:cs="Courier New" w:eastAsia="Courier New" w:hAnsi="Courier New"/>
          <w:sz w:val="14"/>
          <w:szCs w:val="14"/>
          <w:color w:val="auto"/>
        </w:rPr>
        <w:t>GROSS</w:t>
      </w:r>
    </w:p>
    <w:p>
      <w:pPr>
        <w:spacing w:after="0" w:line="7" w:lineRule="exact"/>
        <w:rPr>
          <w:sz w:val="20"/>
          <w:szCs w:val="20"/>
          <w:color w:val="auto"/>
        </w:rPr>
      </w:pPr>
    </w:p>
    <w:p>
      <w:pPr>
        <w:ind w:left="4060"/>
        <w:spacing w:after="0"/>
        <w:tabs>
          <w:tab w:leader="none" w:pos="6960" w:val="left"/>
          <w:tab w:leader="none" w:pos="7660" w:val="left"/>
          <w:tab w:leader="none" w:pos="8600" w:val="left"/>
          <w:tab w:leader="none" w:pos="9640" w:val="left"/>
          <w:tab w:leader="none" w:pos="10840" w:val="left"/>
        </w:tabs>
        <w:rPr>
          <w:sz w:val="20"/>
          <w:szCs w:val="20"/>
          <w:color w:val="auto"/>
        </w:rPr>
      </w:pPr>
      <w:r>
        <w:rPr>
          <w:rFonts w:ascii="Courier New" w:cs="Courier New" w:eastAsia="Courier New" w:hAnsi="Courier New"/>
          <w:sz w:val="14"/>
          <w:szCs w:val="14"/>
          <w:color w:val="auto"/>
        </w:rPr>
        <w:t>AMORTIZED UNREALIZED UNREALIZED</w:t>
      </w:r>
      <w:r>
        <w:rPr>
          <w:sz w:val="20"/>
          <w:szCs w:val="20"/>
          <w:color w:val="auto"/>
        </w:rPr>
        <w:tab/>
      </w:r>
      <w:r>
        <w:rPr>
          <w:rFonts w:ascii="Courier New" w:cs="Courier New" w:eastAsia="Courier New" w:hAnsi="Courier New"/>
          <w:sz w:val="14"/>
          <w:szCs w:val="14"/>
          <w:color w:val="auto"/>
        </w:rPr>
        <w:t>FAIR</w:t>
      </w:r>
      <w:r>
        <w:rPr>
          <w:sz w:val="20"/>
          <w:szCs w:val="20"/>
          <w:color w:val="auto"/>
        </w:rPr>
        <w:tab/>
      </w:r>
      <w:r>
        <w:rPr>
          <w:rFonts w:ascii="Courier New" w:cs="Courier New" w:eastAsia="Courier New" w:hAnsi="Courier New"/>
          <w:sz w:val="14"/>
          <w:szCs w:val="14"/>
          <w:color w:val="auto"/>
        </w:rPr>
        <w:t>AMORTIZED</w:t>
        <w:tab/>
        <w:t>UNREALIZED</w:t>
        <w:tab/>
        <w:t>UNREALIZED</w:t>
      </w:r>
      <w:r>
        <w:rPr>
          <w:sz w:val="20"/>
          <w:szCs w:val="20"/>
          <w:color w:val="auto"/>
        </w:rPr>
        <w:tab/>
      </w:r>
      <w:r>
        <w:rPr>
          <w:rFonts w:ascii="Courier New" w:cs="Courier New" w:eastAsia="Courier New" w:hAnsi="Courier New"/>
          <w:sz w:val="14"/>
          <w:szCs w:val="14"/>
          <w:color w:val="auto"/>
        </w:rPr>
        <w:t>FAIR</w:t>
      </w:r>
    </w:p>
    <w:p>
      <w:pPr>
        <w:spacing w:after="0" w:line="7" w:lineRule="exact"/>
        <w:rPr>
          <w:sz w:val="20"/>
          <w:szCs w:val="20"/>
          <w:color w:val="auto"/>
        </w:rPr>
      </w:pPr>
    </w:p>
    <w:p>
      <w:pPr>
        <w:ind w:left="4220"/>
        <w:spacing w:after="0"/>
        <w:tabs>
          <w:tab w:leader="none" w:pos="5080" w:val="left"/>
          <w:tab w:leader="none" w:pos="6020" w:val="left"/>
          <w:tab w:leader="none" w:pos="6880" w:val="left"/>
          <w:tab w:leader="none" w:pos="7820" w:val="left"/>
          <w:tab w:leader="none" w:pos="8780" w:val="left"/>
          <w:tab w:leader="none" w:pos="9800" w:val="left"/>
          <w:tab w:leader="none" w:pos="10660" w:val="left"/>
        </w:tabs>
        <w:rPr>
          <w:sz w:val="20"/>
          <w:szCs w:val="20"/>
          <w:color w:val="auto"/>
        </w:rPr>
      </w:pP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GAINS</w:t>
      </w:r>
      <w:r>
        <w:rPr>
          <w:sz w:val="20"/>
          <w:szCs w:val="20"/>
          <w:color w:val="auto"/>
        </w:rPr>
        <w:tab/>
      </w:r>
      <w:r>
        <w:rPr>
          <w:rFonts w:ascii="Courier New" w:cs="Courier New" w:eastAsia="Courier New" w:hAnsi="Courier New"/>
          <w:sz w:val="14"/>
          <w:szCs w:val="14"/>
          <w:color w:val="auto"/>
        </w:rPr>
        <w:t>LOSSES</w:t>
      </w:r>
      <w:r>
        <w:rPr>
          <w:sz w:val="20"/>
          <w:szCs w:val="20"/>
          <w:color w:val="auto"/>
        </w:rPr>
        <w:tab/>
      </w:r>
      <w:r>
        <w:rPr>
          <w:rFonts w:ascii="Courier New" w:cs="Courier New" w:eastAsia="Courier New" w:hAnsi="Courier New"/>
          <w:sz w:val="14"/>
          <w:szCs w:val="14"/>
          <w:color w:val="auto"/>
        </w:rPr>
        <w:t>VALUE(A)</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GAINS</w:t>
      </w:r>
      <w:r>
        <w:rPr>
          <w:sz w:val="20"/>
          <w:szCs w:val="20"/>
          <w:color w:val="auto"/>
        </w:rPr>
        <w:tab/>
      </w:r>
      <w:r>
        <w:rPr>
          <w:rFonts w:ascii="Courier New" w:cs="Courier New" w:eastAsia="Courier New" w:hAnsi="Courier New"/>
          <w:sz w:val="14"/>
          <w:szCs w:val="14"/>
          <w:color w:val="auto"/>
        </w:rPr>
        <w:t>LOSSES</w:t>
      </w:r>
      <w:r>
        <w:rPr>
          <w:sz w:val="20"/>
          <w:szCs w:val="20"/>
          <w:color w:val="auto"/>
        </w:rPr>
        <w:tab/>
      </w:r>
      <w:r>
        <w:rPr>
          <w:rFonts w:ascii="Courier New" w:cs="Courier New" w:eastAsia="Courier New" w:hAnsi="Courier New"/>
          <w:sz w:val="14"/>
          <w:szCs w:val="14"/>
          <w:color w:val="auto"/>
        </w:rPr>
        <w:t>VALUE(A)</w:t>
      </w:r>
    </w:p>
    <w:p>
      <w:pPr>
        <w:spacing w:after="0" w:line="7" w:lineRule="exact"/>
        <w:rPr>
          <w:sz w:val="20"/>
          <w:szCs w:val="20"/>
          <w:color w:val="auto"/>
        </w:rPr>
      </w:pPr>
    </w:p>
    <w:p>
      <w:pPr>
        <w:spacing w:after="0"/>
        <w:tabs>
          <w:tab w:leader="none" w:pos="5580" w:val="left"/>
          <w:tab w:leader="none" w:pos="9380" w:val="left"/>
        </w:tabs>
        <w:rPr>
          <w:sz w:val="20"/>
          <w:szCs w:val="20"/>
          <w:color w:val="auto"/>
        </w:rPr>
      </w:pPr>
      <w:r>
        <w:rPr>
          <w:rFonts w:ascii="Courier New" w:cs="Courier New" w:eastAsia="Courier New" w:hAnsi="Courier New"/>
          <w:sz w:val="14"/>
          <w:szCs w:val="14"/>
          <w:color w:val="auto"/>
        </w:rPr>
        <w:t>DECEMBER 31, (IN MILLIONS)</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Available-for-Sale Securities</w:t>
            </w: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U.S. Government and Federal Agency/Corporation Obligations:</w:t>
            </w: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Mortgage-Backed Securities</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$19,029</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$205</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$19,232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$ 8,203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$ 8,162</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Collateralized Mortgage Obligations</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1,132</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898</w:t>
            </w:r>
          </w:p>
        </w:tc>
      </w:tr>
      <w:tr>
        <w:trPr>
          <w:trHeight w:val="166"/>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Other, primarily U.S. Treasuries</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5,020</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4,971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8,859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430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8,481</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Obligations of State and Political Subdivisions</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633</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88</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Debt Securities Issued by Foreign Governments</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8,084</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146</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8,172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3,561</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3,428</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Corporate Debt Securities</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716</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494</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Collateralized Mortgage Obligations(b)</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246</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336</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999</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662</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748</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 primarily Asset-Backed Securities</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853</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515</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Available-for-Sale Securities</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$36,712</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$658</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$37,141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$23,654</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$745</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$23,140</w:t>
            </w:r>
          </w:p>
        </w:tc>
      </w:tr>
    </w:tbl>
    <w:p>
      <w:pPr>
        <w:spacing w:after="0" w:line="4" w:lineRule="exact"/>
        <w:rPr>
          <w:sz w:val="20"/>
          <w:szCs w:val="20"/>
          <w:color w:val="auto"/>
        </w:rPr>
      </w:pPr>
    </w:p>
    <w:p>
      <w:pPr>
        <w:ind w:left="180" w:hanging="172"/>
        <w:spacing w:after="0"/>
        <w:tabs>
          <w:tab w:leader="none" w:pos="1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Held-to-Maturity Securities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U.S. Government and Federal Agency/Corporation Obligations: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Mortgage-Backed Securities</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$ 1,782</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$ 1,805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$ 3,749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214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$ 3,535</w:t>
            </w:r>
          </w:p>
        </w:tc>
      </w:tr>
      <w:tr>
        <w:trPr>
          <w:trHeight w:val="166"/>
        </w:trPr>
        <w:tc>
          <w:tcPr>
            <w:tcW w:w="4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Collateralized Mortgage Obligations</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2,624</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2,629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4,189</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3,936</w:t>
            </w:r>
          </w:p>
        </w:tc>
      </w:tr>
      <w:tr>
        <w:trPr>
          <w:trHeight w:val="166"/>
        </w:trPr>
        <w:tc>
          <w:tcPr>
            <w:tcW w:w="4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 primarily U.S. Treasuries</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82</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245</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243</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Obligations of</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State and Political Subdivisions</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453</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Debt Securities Issued by Foreign Governments</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734</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726</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Corporate Debt</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Collateralized</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Mortgage Obligations(b)</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170</w:t>
            </w:r>
          </w:p>
        </w:tc>
      </w:tr>
      <w:tr>
        <w:trPr>
          <w:trHeight w:val="166"/>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Other, primarily Asset-Backed Securities</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120" w:val="left"/>
          <w:tab w:leader="none" w:pos="5240" w:val="left"/>
          <w:tab w:leader="none" w:pos="6100" w:val="left"/>
          <w:tab w:leader="none" w:pos="6360" w:val="left"/>
          <w:tab w:leader="none" w:pos="6800" w:val="left"/>
          <w:tab w:leader="none" w:pos="7660" w:val="left"/>
          <w:tab w:leader="none" w:pos="8780" w:val="left"/>
          <w:tab w:leader="none" w:pos="9040" w:val="left"/>
          <w:tab w:leader="none" w:pos="9640" w:val="left"/>
          <w:tab w:leader="none" w:pos="9900" w:val="left"/>
          <w:tab w:leader="none" w:pos="10500" w:val="left"/>
        </w:tabs>
        <w:rPr>
          <w:sz w:val="20"/>
          <w:szCs w:val="20"/>
          <w:color w:val="auto"/>
        </w:rPr>
      </w:pPr>
      <w:r>
        <w:rPr>
          <w:rFonts w:ascii="Courier New" w:cs="Courier New" w:eastAsia="Courier New" w:hAnsi="Courier New"/>
          <w:sz w:val="14"/>
          <w:szCs w:val="14"/>
          <w:color w:val="auto"/>
        </w:rPr>
        <w:t>Total Held-to-Maturity Securities</w:t>
      </w:r>
      <w:r>
        <w:rPr>
          <w:sz w:val="20"/>
          <w:szCs w:val="20"/>
          <w:color w:val="auto"/>
        </w:rPr>
        <w:tab/>
      </w:r>
      <w:r>
        <w:rPr>
          <w:rFonts w:ascii="Courier New" w:cs="Courier New" w:eastAsia="Courier New" w:hAnsi="Courier New"/>
          <w:sz w:val="14"/>
          <w:szCs w:val="14"/>
          <w:color w:val="auto"/>
        </w:rPr>
        <w:t>$ 4,628</w:t>
      </w:r>
      <w:r>
        <w:rPr>
          <w:sz w:val="20"/>
          <w:szCs w:val="20"/>
          <w:color w:val="auto"/>
        </w:rPr>
        <w:tab/>
      </w:r>
      <w:r>
        <w:rPr>
          <w:rFonts w:ascii="Courier New" w:cs="Courier New" w:eastAsia="Courier New" w:hAnsi="Courier New"/>
          <w:sz w:val="14"/>
          <w:szCs w:val="14"/>
          <w:color w:val="auto"/>
        </w:rPr>
        <w:t>$ 38</w:t>
      </w:r>
      <w:r>
        <w:rPr>
          <w:sz w:val="20"/>
          <w:szCs w:val="20"/>
          <w:color w:val="auto"/>
        </w:rPr>
        <w:tab/>
      </w:r>
      <w:r>
        <w:rPr>
          <w:rFonts w:ascii="Courier New" w:cs="Courier New" w:eastAsia="Courier New" w:hAnsi="Courier New"/>
          <w:sz w:val="14"/>
          <w:szCs w:val="14"/>
          <w:color w:val="auto"/>
        </w:rPr>
        <w:t>$</w:t>
        <w:tab/>
        <w:t>7</w:t>
      </w:r>
      <w:r>
        <w:rPr>
          <w:sz w:val="20"/>
          <w:szCs w:val="20"/>
          <w:color w:val="auto"/>
        </w:rPr>
        <w:tab/>
      </w:r>
      <w:r>
        <w:rPr>
          <w:rFonts w:ascii="Courier New" w:cs="Courier New" w:eastAsia="Courier New" w:hAnsi="Courier New"/>
          <w:sz w:val="14"/>
          <w:szCs w:val="14"/>
          <w:color w:val="auto"/>
        </w:rPr>
        <w:t>$ 4,659</w:t>
      </w:r>
      <w:r>
        <w:rPr>
          <w:sz w:val="20"/>
          <w:szCs w:val="20"/>
          <w:color w:val="auto"/>
        </w:rPr>
        <w:tab/>
      </w:r>
      <w:r>
        <w:rPr>
          <w:rFonts w:ascii="Courier New" w:cs="Courier New" w:eastAsia="Courier New" w:hAnsi="Courier New"/>
          <w:sz w:val="14"/>
          <w:szCs w:val="14"/>
          <w:color w:val="auto"/>
        </w:rPr>
        <w:t>$10,650</w:t>
      </w:r>
      <w:r>
        <w:rPr>
          <w:sz w:val="20"/>
          <w:szCs w:val="20"/>
          <w:color w:val="auto"/>
        </w:rPr>
        <w:tab/>
      </w:r>
      <w:r>
        <w:rPr>
          <w:rFonts w:ascii="Courier New" w:cs="Courier New" w:eastAsia="Courier New" w:hAnsi="Courier New"/>
          <w:sz w:val="14"/>
          <w:szCs w:val="14"/>
          <w:color w:val="auto"/>
        </w:rPr>
        <w:t>$</w:t>
        <w:tab/>
        <w:t>9</w:t>
      </w:r>
      <w:r>
        <w:rPr>
          <w:sz w:val="20"/>
          <w:szCs w:val="20"/>
          <w:color w:val="auto"/>
        </w:rPr>
        <w:tab/>
      </w:r>
      <w:r>
        <w:rPr>
          <w:rFonts w:ascii="Courier New" w:cs="Courier New" w:eastAsia="Courier New" w:hAnsi="Courier New"/>
          <w:sz w:val="14"/>
          <w:szCs w:val="14"/>
          <w:color w:val="auto"/>
        </w:rPr>
        <w:t>$</w:t>
        <w:tab/>
        <w:t>499</w:t>
      </w:r>
      <w:r>
        <w:rPr>
          <w:sz w:val="20"/>
          <w:szCs w:val="20"/>
          <w:color w:val="auto"/>
        </w:rPr>
        <w:tab/>
      </w:r>
      <w:r>
        <w:rPr>
          <w:rFonts w:ascii="Courier New" w:cs="Courier New" w:eastAsia="Courier New" w:hAnsi="Courier New"/>
          <w:sz w:val="14"/>
          <w:szCs w:val="14"/>
          <w:color w:val="auto"/>
        </w:rPr>
        <w:t>$10,160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560" w:firstLine="8"/>
        <w:spacing w:after="0" w:line="250" w:lineRule="auto"/>
        <w:tabs>
          <w:tab w:leader="none" w:pos="344"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Corporation's portfolio of securities generally consists of investment-grade securities. The fair value of actively-traded securities is determined by the secondary market, while the fair value for non-actively-traded securities is based on independent broker quotations.</w:t>
      </w:r>
    </w:p>
    <w:p>
      <w:pPr>
        <w:spacing w:after="0" w:line="1" w:lineRule="exact"/>
        <w:rPr>
          <w:rFonts w:ascii="Courier New" w:cs="Courier New" w:eastAsia="Courier New" w:hAnsi="Courier New"/>
          <w:sz w:val="14"/>
          <w:szCs w:val="14"/>
          <w:color w:val="auto"/>
        </w:rPr>
      </w:pPr>
    </w:p>
    <w:p>
      <w:pPr>
        <w:ind w:right="4740" w:firstLine="8"/>
        <w:spacing w:after="0" w:line="252" w:lineRule="auto"/>
        <w:tabs>
          <w:tab w:leader="none" w:pos="344"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Collateralized mortgage obligations of private issuers generally have underlying collateral consisting of obligations of U.S. Government and Federal agencies and corporations.</w:t>
      </w:r>
    </w:p>
    <w:p>
      <w:pPr>
        <w:spacing w:after="0" w:line="163" w:lineRule="exact"/>
        <w:rPr>
          <w:sz w:val="20"/>
          <w:szCs w:val="20"/>
          <w:color w:val="auto"/>
        </w:rPr>
      </w:pPr>
    </w:p>
    <w:p>
      <w:pPr>
        <w:ind w:right="4640" w:firstLine="431"/>
        <w:spacing w:after="0" w:line="251" w:lineRule="auto"/>
        <w:rPr>
          <w:sz w:val="20"/>
          <w:szCs w:val="20"/>
          <w:color w:val="auto"/>
        </w:rPr>
      </w:pPr>
      <w:r>
        <w:rPr>
          <w:rFonts w:ascii="Courier New" w:cs="Courier New" w:eastAsia="Courier New" w:hAnsi="Courier New"/>
          <w:sz w:val="14"/>
          <w:szCs w:val="14"/>
          <w:color w:val="auto"/>
        </w:rPr>
        <w:t>Cash proceeds from the sale of available-for-sale securities during 1995, 1994 and 1993 were $54,290 million, $23,086 million and $12,027 million, respectively. Net gains from available-for-sale securities sold in 1995, 1994 and 1993 amounted to $130 million (gross gains of $570 million and gross losses of $440 million), $65 million (gross gains of $157 million and gross losses of $92 million) and $186 million (gross gains of $237 million and gross losses of $51 million), respectively. There were no sales of held-to-maturity securities during 1995 and 1994. During 1995, early redemption of certain held-to-maturity securities by their issuers resulted in a $2 million gain. Cash proceeds from the sales of held-to-maturity securities during 1993 were $152 million. Gross gains from held-to-maturity securities sold in 1993 amounted to $3 million (there were no losses from sales of such securities in 1993).</w:t>
      </w:r>
    </w:p>
    <w:p>
      <w:pPr>
        <w:spacing w:after="0" w:line="163" w:lineRule="exact"/>
        <w:rPr>
          <w:sz w:val="20"/>
          <w:szCs w:val="20"/>
          <w:color w:val="auto"/>
        </w:rPr>
      </w:pPr>
    </w:p>
    <w:p>
      <w:pPr>
        <w:ind w:right="4560" w:firstLine="431"/>
        <w:spacing w:after="0" w:line="251" w:lineRule="auto"/>
        <w:rPr>
          <w:sz w:val="20"/>
          <w:szCs w:val="20"/>
          <w:color w:val="auto"/>
        </w:rPr>
      </w:pPr>
      <w:r>
        <w:rPr>
          <w:rFonts w:ascii="Courier New" w:cs="Courier New" w:eastAsia="Courier New" w:hAnsi="Courier New"/>
          <w:sz w:val="14"/>
          <w:szCs w:val="14"/>
          <w:color w:val="auto"/>
        </w:rPr>
        <w:t>During the fourth quarter of 1995, the Financial Accounting Standards Board issued Financial Accounting Series Special Report, "A Guide to Implementation of Statement 115 on Accounting for Certain Investments in Debt and Equity Securities" ("SFAS 115 Implementation Guide"). In accordance with the adoption of the Implementation Guide, the Corporation reassessed the classification of all securities held. The result of the one-time reassessment was the reclassification of $4.7 billion of held-to-maturity securities to available-for-sale securities and $11 million of held-to-maturity securities to trading assets. Unrealized net gains related to the transfer of held-to-maturity securities to available-for-sale securities were $21 million after-tax. The amortized cost of held-to-maturity securities transferred to trading assets approximated the fair value. See Note Five for a discussion of loans accounted for pursuant to SFAS 115.</w:t>
      </w:r>
    </w:p>
    <w:p>
      <w:pPr>
        <w:spacing w:after="0" w:line="329" w:lineRule="exact"/>
        <w:rPr>
          <w:sz w:val="20"/>
          <w:szCs w:val="20"/>
          <w:color w:val="auto"/>
        </w:rPr>
      </w:pPr>
    </w:p>
    <w:p>
      <w:pPr>
        <w:ind w:right="4560" w:firstLine="431"/>
        <w:spacing w:after="0" w:line="252" w:lineRule="auto"/>
        <w:rPr>
          <w:sz w:val="20"/>
          <w:szCs w:val="20"/>
          <w:color w:val="auto"/>
        </w:rPr>
      </w:pPr>
      <w:r>
        <w:rPr>
          <w:rFonts w:ascii="Courier New" w:cs="Courier New" w:eastAsia="Courier New" w:hAnsi="Courier New"/>
          <w:sz w:val="14"/>
          <w:szCs w:val="14"/>
          <w:color w:val="auto"/>
        </w:rPr>
        <w:t>The amortized cost, estimated fair value, and average yield at December 31, 1995 of the Corporation's available-for-sale and held-to-maturity securities by contractual maturity range and type of security are presented in the table which follows:</w:t>
      </w:r>
    </w:p>
    <w:p>
      <w:pPr>
        <w:sectPr>
          <w:pgSz w:w="11900" w:h="16838" w:orient="portrait"/>
          <w:cols w:equalWidth="0" w:num="1">
            <w:col w:w="11460"/>
          </w:cols>
          <w:pgMar w:left="220" w:top="285" w:right="219" w:bottom="1440" w:gutter="0" w:footer="0" w:header="0"/>
        </w:sectPr>
      </w:pPr>
    </w:p>
    <w:p>
      <w:pPr>
        <w:spacing w:after="0" w:line="162"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11460"/>
          </w:cols>
          <w:pgMar w:left="220" w:top="285" w:right="219" w:bottom="1440" w:gutter="0" w:footer="0" w:header="0"/>
          <w:type w:val="continuous"/>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43</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NOTES TO</w:t>
            </w: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FINANCIAL</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STATEMENTS</w:t>
            </w: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663"/>
        </w:trPr>
        <w:tc>
          <w:tcPr>
            <w:tcW w:w="740" w:type="dxa"/>
            <w:vAlign w:val="bottom"/>
          </w:tcPr>
          <w:p>
            <w:pPr>
              <w:spacing w:after="0"/>
              <w:rPr>
                <w:sz w:val="20"/>
                <w:szCs w:val="20"/>
                <w:color w:val="auto"/>
              </w:rPr>
            </w:pPr>
            <w:r>
              <w:rPr>
                <w:rFonts w:ascii="Courier New" w:cs="Courier New" w:eastAsia="Courier New" w:hAnsi="Courier New"/>
                <w:sz w:val="14"/>
                <w:szCs w:val="14"/>
                <w:color w:val="auto"/>
              </w:rPr>
              <w:t>MATURITY</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SCHEDULE</w:t>
            </w: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AVAILABLE-FOR-SALE SECURITIES</w:t>
            </w:r>
          </w:p>
        </w:tc>
        <w:tc>
          <w:tcPr>
            <w:tcW w:w="15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DUE IN 1</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DUE AFTER</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1640" w:type="dxa"/>
            <w:vAlign w:val="bottom"/>
          </w:tcPr>
          <w:p>
            <w:pPr>
              <w:ind w:left="120"/>
              <w:spacing w:after="0"/>
              <w:rPr>
                <w:sz w:val="20"/>
                <w:szCs w:val="20"/>
                <w:color w:val="auto"/>
              </w:rPr>
            </w:pPr>
            <w:r>
              <w:rPr>
                <w:rFonts w:ascii="Courier New" w:cs="Courier New" w:eastAsia="Courier New" w:hAnsi="Courier New"/>
                <w:sz w:val="14"/>
                <w:szCs w:val="14"/>
                <w:color w:val="auto"/>
              </w:rPr>
              <w:t>DUE AFTER 5</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DUE AFTER</w:t>
            </w:r>
          </w:p>
        </w:tc>
        <w:tc>
          <w:tcPr>
            <w:tcW w:w="600" w:type="dxa"/>
            <w:vAlign w:val="bottom"/>
          </w:tcPr>
          <w:p>
            <w:pPr>
              <w:spacing w:after="0"/>
              <w:rPr>
                <w:sz w:val="24"/>
                <w:szCs w:val="2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31, 1995</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(IN MILLIONS,</w:t>
            </w:r>
          </w:p>
        </w:tc>
        <w:tc>
          <w:tcPr>
            <w:tcW w:w="1940" w:type="dxa"/>
            <w:vAlign w:val="bottom"/>
          </w:tcPr>
          <w:p>
            <w:pPr>
              <w:ind w:left="40"/>
              <w:spacing w:after="0"/>
              <w:rPr>
                <w:sz w:val="20"/>
                <w:szCs w:val="20"/>
                <w:color w:val="auto"/>
              </w:rPr>
            </w:pPr>
            <w:r>
              <w:rPr>
                <w:rFonts w:ascii="Courier New" w:cs="Courier New" w:eastAsia="Courier New" w:hAnsi="Courier New"/>
                <w:sz w:val="14"/>
                <w:szCs w:val="14"/>
                <w:color w:val="auto"/>
              </w:rPr>
              <w:t>EXCEPT YIELDS)</w:t>
            </w:r>
          </w:p>
        </w:tc>
        <w:tc>
          <w:tcPr>
            <w:tcW w:w="150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YEAR OR LESS</w:t>
            </w:r>
          </w:p>
        </w:tc>
        <w:tc>
          <w:tcPr>
            <w:tcW w:w="960" w:type="dxa"/>
            <w:vAlign w:val="bottom"/>
          </w:tcPr>
          <w:p>
            <w:pPr>
              <w:ind w:left="140"/>
              <w:spacing w:after="0"/>
              <w:rPr>
                <w:sz w:val="20"/>
                <w:szCs w:val="20"/>
                <w:color w:val="auto"/>
              </w:rPr>
            </w:pPr>
            <w:r>
              <w:rPr>
                <w:rFonts w:ascii="Courier New" w:cs="Courier New" w:eastAsia="Courier New" w:hAnsi="Courier New"/>
                <w:sz w:val="14"/>
                <w:szCs w:val="14"/>
                <w:color w:val="auto"/>
              </w:rPr>
              <w:t>THROUGH 5</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640" w:type="dxa"/>
            <w:vAlign w:val="bottom"/>
          </w:tcPr>
          <w:p>
            <w:pPr>
              <w:ind w:left="120"/>
              <w:spacing w:after="0"/>
              <w:rPr>
                <w:sz w:val="20"/>
                <w:szCs w:val="20"/>
                <w:color w:val="auto"/>
              </w:rPr>
            </w:pPr>
            <w:r>
              <w:rPr>
                <w:rFonts w:ascii="Courier New" w:cs="Courier New" w:eastAsia="Courier New" w:hAnsi="Courier New"/>
                <w:sz w:val="14"/>
                <w:szCs w:val="14"/>
                <w:color w:val="auto"/>
              </w:rPr>
              <w:t>THROUGH 10 YEARS</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10 YEARS(A)</w:t>
            </w: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w w:val="95"/>
              </w:rPr>
              <w:t>TOTAL</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U.S. Government and Federal Agency/Corporation Obligations:</w:t>
            </w: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Amortized Cost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$1,856</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$2,365</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$2,302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$18,658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$25,181</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Fair Value</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2,085</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2,120</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2,261</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18,861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25,327</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Average Yield(b)</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6.50%</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5.42%</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5.70%</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6.96%</w:t>
            </w:r>
          </w:p>
        </w:tc>
      </w:tr>
    </w:tbl>
    <w:p>
      <w:pPr>
        <w:spacing w:after="0" w:line="4" w:lineRule="exact"/>
        <w:rPr>
          <w:sz w:val="20"/>
          <w:szCs w:val="20"/>
          <w:color w:val="auto"/>
        </w:rPr>
      </w:pPr>
    </w:p>
    <w:p>
      <w:pPr>
        <w:ind w:left="180" w:hanging="172"/>
        <w:spacing w:after="0"/>
        <w:tabs>
          <w:tab w:leader="none" w:pos="1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State and Political Subdivisions: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Amortized Cost</w:t>
            </w:r>
          </w:p>
        </w:tc>
        <w:tc>
          <w:tcPr>
            <w:tcW w:w="2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389</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94</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60</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633</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Fair Value</w:t>
            </w:r>
          </w:p>
        </w:tc>
        <w:tc>
          <w:tcPr>
            <w:tcW w:w="2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w:t>
            </w:r>
          </w:p>
        </w:tc>
        <w:tc>
          <w:tcPr>
            <w:tcW w:w="5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639</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Average Yield(b)</w:t>
            </w:r>
          </w:p>
        </w:tc>
        <w:tc>
          <w:tcPr>
            <w:tcW w:w="2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4.06%</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6.81%</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6.63%</w:t>
            </w:r>
          </w:p>
        </w:tc>
        <w:tc>
          <w:tcPr>
            <w:tcW w:w="5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5.05%</w:t>
            </w:r>
          </w:p>
        </w:tc>
      </w:tr>
    </w:tbl>
    <w:p>
      <w:pPr>
        <w:spacing w:after="0" w:line="4" w:lineRule="exact"/>
        <w:rPr>
          <w:sz w:val="20"/>
          <w:szCs w:val="20"/>
          <w:color w:val="auto"/>
        </w:rPr>
      </w:pPr>
    </w:p>
    <w:p>
      <w:pPr>
        <w:ind w:left="180" w:hanging="172"/>
        <w:spacing w:after="0"/>
        <w:tabs>
          <w:tab w:leader="none" w:pos="1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Other:(c)</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Amortized Cost</w:t>
            </w:r>
          </w:p>
        </w:tc>
        <w:tc>
          <w:tcPr>
            <w:tcW w:w="2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$2,466</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$4,911</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$2,160</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$ 1,361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$10,898</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Fair Value</w:t>
            </w:r>
          </w:p>
        </w:tc>
        <w:tc>
          <w:tcPr>
            <w:tcW w:w="2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2,470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5,014</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2,168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1,523</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11,175</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Average Yield(b)</w:t>
            </w:r>
          </w:p>
        </w:tc>
        <w:tc>
          <w:tcPr>
            <w:tcW w:w="28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6.88%</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6.51%</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7.91%</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6.48%</w:t>
            </w:r>
          </w:p>
        </w:tc>
      </w:tr>
    </w:tbl>
    <w:p>
      <w:pPr>
        <w:spacing w:after="0" w:line="4" w:lineRule="exact"/>
        <w:rPr>
          <w:sz w:val="20"/>
          <w:szCs w:val="20"/>
          <w:color w:val="auto"/>
        </w:rPr>
      </w:pPr>
    </w:p>
    <w:p>
      <w:pPr>
        <w:ind w:left="180" w:hanging="172"/>
        <w:spacing w:after="0"/>
        <w:tabs>
          <w:tab w:leader="none" w:pos="1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Available-for-Sale Securities: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Amortized Cost</w:t>
            </w:r>
          </w:p>
        </w:tc>
        <w:tc>
          <w:tcPr>
            <w:tcW w:w="2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$4,711</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$7,370</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$4,522</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$20,109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$36,712</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Fair Value</w:t>
            </w:r>
          </w:p>
        </w:tc>
        <w:tc>
          <w:tcPr>
            <w:tcW w:w="2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4,945</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7,231</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4,490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20,475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37,141</w:t>
            </w:r>
          </w:p>
        </w:tc>
      </w:tr>
      <w:tr>
        <w:trPr>
          <w:trHeight w:val="0"/>
        </w:trPr>
        <w:tc>
          <w:tcPr>
            <w:tcW w:w="3240" w:type="dxa"/>
            <w:vAlign w:val="bottom"/>
          </w:tcPr>
          <w:p>
            <w:pPr>
              <w:spacing w:after="0"/>
              <w:rPr>
                <w:sz w:val="20"/>
                <w:szCs w:val="20"/>
                <w:color w:val="auto"/>
              </w:rPr>
            </w:pPr>
            <w:r>
              <w:rPr>
                <w:rFonts w:ascii="Courier New" w:cs="Courier New" w:eastAsia="Courier New" w:hAnsi="Courier New"/>
                <w:sz w:val="14"/>
                <w:szCs w:val="14"/>
                <w:color w:val="auto"/>
              </w:rPr>
              <w:t>Average Yield(b)</w:t>
            </w:r>
          </w:p>
        </w:tc>
        <w:tc>
          <w:tcPr>
            <w:tcW w:w="28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6.50%</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6.16%</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6.77%</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6.79%</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4980" w:val="left"/>
          <w:tab w:leader="none" w:pos="6100" w:val="left"/>
          <w:tab w:leader="none" w:pos="7660" w:val="left"/>
          <w:tab w:leader="none" w:pos="9300" w:val="left"/>
        </w:tabs>
        <w:rPr>
          <w:sz w:val="20"/>
          <w:szCs w:val="20"/>
          <w:color w:val="auto"/>
        </w:rPr>
      </w:pPr>
      <w:r>
        <w:rPr>
          <w:rFonts w:ascii="Courier New" w:cs="Courier New" w:eastAsia="Courier New" w:hAnsi="Courier New"/>
          <w:sz w:val="14"/>
          <w:szCs w:val="14"/>
          <w:color w:val="auto"/>
        </w:rPr>
        <w:t>Maturity Schedule of Held-to-Maturity Securities</w:t>
      </w:r>
      <w:r>
        <w:rPr>
          <w:sz w:val="20"/>
          <w:szCs w:val="20"/>
          <w:color w:val="auto"/>
        </w:rPr>
        <w:tab/>
      </w:r>
      <w:r>
        <w:rPr>
          <w:rFonts w:ascii="Courier New" w:cs="Courier New" w:eastAsia="Courier New" w:hAnsi="Courier New"/>
          <w:sz w:val="14"/>
          <w:szCs w:val="14"/>
          <w:color w:val="auto"/>
        </w:rPr>
        <w:t>Due in 1</w:t>
      </w:r>
      <w:r>
        <w:rPr>
          <w:sz w:val="20"/>
          <w:szCs w:val="20"/>
          <w:color w:val="auto"/>
        </w:rPr>
        <w:tab/>
      </w:r>
      <w:r>
        <w:rPr>
          <w:rFonts w:ascii="Courier New" w:cs="Courier New" w:eastAsia="Courier New" w:hAnsi="Courier New"/>
          <w:sz w:val="14"/>
          <w:szCs w:val="14"/>
          <w:color w:val="auto"/>
        </w:rPr>
        <w:t>Due After 1</w:t>
      </w:r>
      <w:r>
        <w:rPr>
          <w:sz w:val="20"/>
          <w:szCs w:val="20"/>
          <w:color w:val="auto"/>
        </w:rPr>
        <w:tab/>
      </w:r>
      <w:r>
        <w:rPr>
          <w:rFonts w:ascii="Courier New" w:cs="Courier New" w:eastAsia="Courier New" w:hAnsi="Courier New"/>
          <w:sz w:val="14"/>
          <w:szCs w:val="14"/>
          <w:color w:val="auto"/>
        </w:rPr>
        <w:t>Due After 5</w:t>
      </w:r>
      <w:r>
        <w:rPr>
          <w:sz w:val="20"/>
          <w:szCs w:val="20"/>
          <w:color w:val="auto"/>
        </w:rPr>
        <w:tab/>
      </w:r>
      <w:r>
        <w:rPr>
          <w:rFonts w:ascii="Courier New" w:cs="Courier New" w:eastAsia="Courier New" w:hAnsi="Courier New"/>
          <w:sz w:val="14"/>
          <w:szCs w:val="14"/>
          <w:color w:val="auto"/>
        </w:rPr>
        <w:t>Due After</w:t>
      </w:r>
    </w:p>
    <w:p>
      <w:pPr>
        <w:spacing w:after="0" w:line="7" w:lineRule="exact"/>
        <w:rPr>
          <w:sz w:val="20"/>
          <w:szCs w:val="20"/>
          <w:color w:val="auto"/>
        </w:rPr>
      </w:pPr>
    </w:p>
    <w:p>
      <w:pPr>
        <w:spacing w:after="0"/>
        <w:tabs>
          <w:tab w:leader="none" w:pos="4720" w:val="left"/>
          <w:tab w:leader="none" w:pos="6020" w:val="left"/>
          <w:tab w:leader="none" w:pos="7560" w:val="left"/>
          <w:tab w:leader="none" w:pos="9200" w:val="left"/>
          <w:tab w:leader="none" w:pos="10500" w:val="left"/>
        </w:tabs>
        <w:rPr>
          <w:sz w:val="20"/>
          <w:szCs w:val="20"/>
          <w:color w:val="auto"/>
        </w:rPr>
      </w:pPr>
      <w:r>
        <w:rPr>
          <w:rFonts w:ascii="Courier New" w:cs="Courier New" w:eastAsia="Courier New" w:hAnsi="Courier New"/>
          <w:sz w:val="14"/>
          <w:szCs w:val="14"/>
          <w:color w:val="auto"/>
        </w:rPr>
        <w:t>December 31, 1995 (in millions, except yields)</w:t>
      </w:r>
      <w:r>
        <w:rPr>
          <w:sz w:val="20"/>
          <w:szCs w:val="20"/>
          <w:color w:val="auto"/>
        </w:rPr>
        <w:tab/>
      </w:r>
      <w:r>
        <w:rPr>
          <w:rFonts w:ascii="Courier New" w:cs="Courier New" w:eastAsia="Courier New" w:hAnsi="Courier New"/>
          <w:sz w:val="14"/>
          <w:szCs w:val="14"/>
          <w:color w:val="auto"/>
        </w:rPr>
        <w:t>Year or less</w:t>
      </w:r>
      <w:r>
        <w:rPr>
          <w:sz w:val="20"/>
          <w:szCs w:val="20"/>
          <w:color w:val="auto"/>
        </w:rPr>
        <w:tab/>
      </w:r>
      <w:r>
        <w:rPr>
          <w:rFonts w:ascii="Courier New" w:cs="Courier New" w:eastAsia="Courier New" w:hAnsi="Courier New"/>
          <w:sz w:val="14"/>
          <w:szCs w:val="14"/>
          <w:color w:val="auto"/>
        </w:rPr>
        <w:t>Through 5 Years</w:t>
      </w:r>
      <w:r>
        <w:rPr>
          <w:sz w:val="20"/>
          <w:szCs w:val="20"/>
          <w:color w:val="auto"/>
        </w:rPr>
        <w:tab/>
      </w:r>
      <w:r>
        <w:rPr>
          <w:rFonts w:ascii="Courier New" w:cs="Courier New" w:eastAsia="Courier New" w:hAnsi="Courier New"/>
          <w:sz w:val="14"/>
          <w:szCs w:val="14"/>
          <w:color w:val="auto"/>
        </w:rPr>
        <w:t>Through 10 Years</w:t>
      </w:r>
      <w:r>
        <w:rPr>
          <w:sz w:val="20"/>
          <w:szCs w:val="20"/>
          <w:color w:val="auto"/>
        </w:rPr>
        <w:tab/>
      </w:r>
      <w:r>
        <w:rPr>
          <w:rFonts w:ascii="Courier New" w:cs="Courier New" w:eastAsia="Courier New" w:hAnsi="Courier New"/>
          <w:sz w:val="14"/>
          <w:szCs w:val="14"/>
          <w:color w:val="auto"/>
        </w:rPr>
        <w:t>10 Years(a)</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U.S. Government and Federal Agency/Corporation Obligations:</w:t>
            </w:r>
          </w:p>
        </w:tc>
        <w:tc>
          <w:tcPr>
            <w:tcW w:w="1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Amortized Cost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81</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649</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936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$ 2,822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$ 4,488</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Fair Value</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81</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655</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942</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2,838</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4,516</w:t>
            </w:r>
          </w:p>
        </w:tc>
      </w:tr>
      <w:tr>
        <w:trPr>
          <w:trHeight w:val="166"/>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Average Yield(b)</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5.05%</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6.39%</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7.04%</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6.74%</w:t>
            </w:r>
          </w:p>
        </w:tc>
      </w:tr>
    </w:tbl>
    <w:p>
      <w:pPr>
        <w:spacing w:after="0" w:line="4" w:lineRule="exact"/>
        <w:rPr>
          <w:sz w:val="20"/>
          <w:szCs w:val="20"/>
          <w:color w:val="auto"/>
        </w:rPr>
      </w:pPr>
    </w:p>
    <w:p>
      <w:pPr>
        <w:ind w:left="180" w:hanging="172"/>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Other:(c)</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Amortized Cost</w:t>
            </w:r>
          </w:p>
        </w:tc>
        <w:tc>
          <w:tcPr>
            <w:tcW w:w="2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83</w:t>
            </w:r>
          </w:p>
        </w:tc>
        <w:tc>
          <w:tcPr>
            <w:tcW w:w="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140</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Fair Value</w:t>
            </w:r>
          </w:p>
        </w:tc>
        <w:tc>
          <w:tcPr>
            <w:tcW w:w="2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w:t>
            </w:r>
          </w:p>
        </w:tc>
        <w:tc>
          <w:tcPr>
            <w:tcW w:w="50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Average Yield(b)</w:t>
            </w:r>
          </w:p>
        </w:tc>
        <w:tc>
          <w:tcPr>
            <w:tcW w:w="28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6.50%</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7.28%</w:t>
            </w:r>
          </w:p>
        </w:tc>
        <w:tc>
          <w:tcPr>
            <w:tcW w:w="5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8.07%</w:t>
            </w:r>
          </w:p>
        </w:tc>
      </w:tr>
    </w:tbl>
    <w:p>
      <w:pPr>
        <w:spacing w:after="0" w:line="4" w:lineRule="exact"/>
        <w:rPr>
          <w:sz w:val="20"/>
          <w:szCs w:val="20"/>
          <w:color w:val="auto"/>
        </w:rPr>
      </w:pPr>
    </w:p>
    <w:p>
      <w:pPr>
        <w:ind w:left="180" w:hanging="172"/>
        <w:spacing w:after="0"/>
        <w:tabs>
          <w:tab w:leader="none" w:pos="1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Held-to-Maturity Securities: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Amortized Cost</w:t>
            </w:r>
          </w:p>
        </w:tc>
        <w:tc>
          <w:tcPr>
            <w:tcW w:w="2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81</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652</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$1,019</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$ 2,876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$ 4,628</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Fair Value</w:t>
            </w:r>
          </w:p>
        </w:tc>
        <w:tc>
          <w:tcPr>
            <w:tcW w:w="28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81</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658</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1,026</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2,894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4,659</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Average Yield(b)</w:t>
            </w:r>
          </w:p>
        </w:tc>
        <w:tc>
          <w:tcPr>
            <w:tcW w:w="28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5.05%</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6.39%</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7.06%</w:t>
            </w:r>
          </w:p>
        </w:tc>
        <w:tc>
          <w:tcPr>
            <w:tcW w:w="1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640" w:firstLine="8"/>
        <w:spacing w:after="0" w:line="250" w:lineRule="auto"/>
        <w:tabs>
          <w:tab w:leader="none" w:pos="344"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with no stated maturity are included with securities with a remaining maturity of ten years or more. Substantially all of the Corporation's mortgage-backed securities and CMOs are due in ten years or more based on contractual maturity. The estimated duration of mortgage-backed securities and CMOs, which reflects anticipated future prepayments based on a consensus of dealers in the market, is approximately 5 years.</w:t>
      </w:r>
    </w:p>
    <w:p>
      <w:pPr>
        <w:spacing w:after="0" w:line="2" w:lineRule="exact"/>
        <w:rPr>
          <w:rFonts w:ascii="Courier New" w:cs="Courier New" w:eastAsia="Courier New" w:hAnsi="Courier New"/>
          <w:sz w:val="14"/>
          <w:szCs w:val="14"/>
          <w:color w:val="auto"/>
        </w:rPr>
      </w:pPr>
    </w:p>
    <w:p>
      <w:pPr>
        <w:ind w:right="4560" w:firstLine="8"/>
        <w:spacing w:after="0" w:line="250" w:lineRule="auto"/>
        <w:tabs>
          <w:tab w:leader="none" w:pos="344"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yield is based on amortized cost balances at the end of the year. Yields are derived by dividing interest income, adjusted for the effect of related derivatives on available-for-sale securities and the amortization of premiums and accretion of discounts, by total amortized cost. Taxable-equivalent yields are used, where applicable.</w:t>
      </w:r>
    </w:p>
    <w:p>
      <w:pPr>
        <w:spacing w:after="0" w:line="2" w:lineRule="exact"/>
        <w:rPr>
          <w:rFonts w:ascii="Courier New" w:cs="Courier New" w:eastAsia="Courier New" w:hAnsi="Courier New"/>
          <w:sz w:val="14"/>
          <w:szCs w:val="14"/>
          <w:color w:val="auto"/>
        </w:rPr>
      </w:pPr>
    </w:p>
    <w:p>
      <w:pPr>
        <w:ind w:right="5080" w:firstLine="8"/>
        <w:spacing w:after="0" w:line="252" w:lineRule="auto"/>
        <w:tabs>
          <w:tab w:leader="none" w:pos="344"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investments in debt securities issued by foreign governments, corporate debt securities, collateralized mortgage obligations of private issuers, equity and other debt securities.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11460"/>
          </w:cols>
          <w:pgMar w:left="220" w:top="285" w:right="219" w:bottom="1440" w:gutter="0" w:footer="0" w:header="0"/>
        </w:sectPr>
      </w:pPr>
    </w:p>
    <w:bookmarkStart w:id="79" w:name="page80"/>
    <w:bookmarkEnd w:id="79"/>
    <w:p>
      <w:pPr>
        <w:jc w:val="center"/>
        <w:ind w:right="10760"/>
        <w:spacing w:after="0"/>
        <w:rPr>
          <w:sz w:val="20"/>
          <w:szCs w:val="20"/>
          <w:color w:val="auto"/>
        </w:rPr>
      </w:pPr>
      <w:r>
        <w:rPr>
          <w:rFonts w:ascii="Courier New" w:cs="Courier New" w:eastAsia="Courier New" w:hAnsi="Courier New"/>
          <w:sz w:val="14"/>
          <w:szCs w:val="14"/>
          <w:color w:val="auto"/>
        </w:rPr>
        <w:t>44</w:t>
      </w:r>
    </w:p>
    <w:p>
      <w:pPr>
        <w:spacing w:after="0" w:line="7" w:lineRule="exact"/>
        <w:rPr>
          <w:sz w:val="20"/>
          <w:szCs w:val="20"/>
          <w:color w:val="auto"/>
        </w:rPr>
      </w:pPr>
    </w:p>
    <w:p>
      <w:pPr>
        <w:jc w:val="center"/>
        <w:ind w:right="10760"/>
        <w:spacing w:after="0"/>
        <w:rPr>
          <w:sz w:val="20"/>
          <w:szCs w:val="20"/>
          <w:color w:val="auto"/>
        </w:rPr>
      </w:pPr>
      <w:r>
        <w:rPr>
          <w:rFonts w:ascii="Courier New" w:cs="Courier New" w:eastAsia="Courier New" w:hAnsi="Courier New"/>
          <w:sz w:val="14"/>
          <w:szCs w:val="14"/>
          <w:color w:val="auto"/>
        </w:rPr>
        <w:t>5. LOANS</w:t>
      </w:r>
    </w:p>
    <w:p>
      <w:pPr>
        <w:spacing w:after="0" w:line="7" w:lineRule="exact"/>
        <w:rPr>
          <w:sz w:val="20"/>
          <w:szCs w:val="20"/>
          <w:color w:val="auto"/>
        </w:rPr>
      </w:pPr>
    </w:p>
    <w:p>
      <w:pPr>
        <w:ind w:right="5000"/>
        <w:spacing w:after="0" w:line="255" w:lineRule="auto"/>
        <w:rPr>
          <w:sz w:val="20"/>
          <w:szCs w:val="20"/>
          <w:color w:val="auto"/>
        </w:rPr>
      </w:pPr>
      <w:r>
        <w:rPr>
          <w:rFonts w:ascii="Courier New" w:cs="Courier New" w:eastAsia="Courier New" w:hAnsi="Courier New"/>
          <w:sz w:val="14"/>
          <w:szCs w:val="14"/>
          <w:color w:val="auto"/>
        </w:rPr>
        <w:t>The composition of the loan portfolio at each of the dates indicated was as follows:</w:t>
      </w:r>
    </w:p>
    <w:p>
      <w:pPr>
        <w:spacing w:after="0" w:line="200" w:lineRule="exact"/>
        <w:rPr>
          <w:sz w:val="20"/>
          <w:szCs w:val="20"/>
          <w:color w:val="auto"/>
        </w:rPr>
      </w:pPr>
    </w:p>
    <w:p>
      <w:pPr>
        <w:spacing w:after="0" w:line="291" w:lineRule="exact"/>
        <w:rPr>
          <w:sz w:val="20"/>
          <w:szCs w:val="20"/>
          <w:color w:val="auto"/>
        </w:rPr>
      </w:pPr>
    </w:p>
    <w:p>
      <w:pPr>
        <w:ind w:left="4660"/>
        <w:spacing w:after="0"/>
        <w:tabs>
          <w:tab w:leader="none" w:pos="5840" w:val="left"/>
          <w:tab w:leader="none" w:pos="7060" w:val="left"/>
          <w:tab w:leader="none" w:pos="8080" w:val="left"/>
          <w:tab w:leader="none" w:pos="9200" w:val="left"/>
          <w:tab w:leader="none" w:pos="10320" w:val="left"/>
        </w:tabs>
        <w:rPr>
          <w:sz w:val="20"/>
          <w:szCs w:val="20"/>
          <w:color w:val="auto"/>
        </w:rPr>
      </w:pPr>
      <w:r>
        <w:rPr>
          <w:rFonts w:ascii="Courier New" w:cs="Courier New" w:eastAsia="Courier New" w:hAnsi="Courier New"/>
          <w:sz w:val="14"/>
          <w:szCs w:val="14"/>
          <w:color w:val="auto"/>
        </w:rPr>
        <w:t>DOMESTIC</w:t>
      </w:r>
      <w:r>
        <w:rPr>
          <w:sz w:val="20"/>
          <w:szCs w:val="20"/>
          <w:color w:val="auto"/>
        </w:rPr>
        <w:tab/>
      </w:r>
      <w:r>
        <w:rPr>
          <w:rFonts w:ascii="Courier New" w:cs="Courier New" w:eastAsia="Courier New" w:hAnsi="Courier New"/>
          <w:sz w:val="14"/>
          <w:szCs w:val="14"/>
          <w:color w:val="auto"/>
        </w:rPr>
        <w:t>FOREIGN</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DOMESTIC</w:t>
      </w:r>
      <w:r>
        <w:rPr>
          <w:sz w:val="20"/>
          <w:szCs w:val="20"/>
          <w:color w:val="auto"/>
        </w:rPr>
        <w:tab/>
      </w:r>
      <w:r>
        <w:rPr>
          <w:rFonts w:ascii="Courier New" w:cs="Courier New" w:eastAsia="Courier New" w:hAnsi="Courier New"/>
          <w:sz w:val="14"/>
          <w:szCs w:val="14"/>
          <w:color w:val="auto"/>
        </w:rPr>
        <w:t>FOREIGN</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tabs>
          <w:tab w:leader="none" w:pos="6020" w:val="left"/>
          <w:tab w:leader="none" w:pos="9300" w:val="left"/>
        </w:tabs>
        <w:rPr>
          <w:sz w:val="20"/>
          <w:szCs w:val="20"/>
          <w:color w:val="auto"/>
        </w:rPr>
      </w:pPr>
      <w:r>
        <w:rPr>
          <w:rFonts w:ascii="Courier New" w:cs="Courier New" w:eastAsia="Courier New" w:hAnsi="Courier New"/>
          <w:sz w:val="14"/>
          <w:szCs w:val="14"/>
          <w:color w:val="auto"/>
        </w:rPr>
        <w:t>DECEMBER 31, (IN MILLIONS)</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Commercial:</w:t>
            </w: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Commercial Real Estate</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6,662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810</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7,472</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7,705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786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8,491</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Commercial and Industrial</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32,972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20,936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53,908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30,990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18,490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49,480</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Financial Institutions</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5,766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5,422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11,188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5,277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5,591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10,868</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Foreign Governments and Official Institutions</w:t>
            </w:r>
          </w:p>
        </w:tc>
        <w:tc>
          <w:tcPr>
            <w:tcW w:w="13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6,076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6,076</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7,859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7,859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Commercial</w:t>
            </w:r>
          </w:p>
        </w:tc>
        <w:tc>
          <w:tcPr>
            <w:tcW w:w="24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45,400</w:t>
            </w:r>
          </w:p>
        </w:tc>
        <w:tc>
          <w:tcPr>
            <w:tcW w:w="1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33,244</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78,644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43,972</w:t>
            </w:r>
          </w:p>
        </w:tc>
        <w:tc>
          <w:tcPr>
            <w:tcW w:w="10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32,726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76,698</w:t>
            </w:r>
          </w:p>
        </w:tc>
      </w:tr>
    </w:tbl>
    <w:p>
      <w:pPr>
        <w:spacing w:after="0" w:line="4" w:lineRule="exact"/>
        <w:rPr>
          <w:sz w:val="20"/>
          <w:szCs w:val="20"/>
          <w:color w:val="auto"/>
        </w:rPr>
      </w:pPr>
    </w:p>
    <w:p>
      <w:pPr>
        <w:ind w:left="180" w:hanging="172"/>
        <w:spacing w:after="0"/>
        <w:tabs>
          <w:tab w:leader="none" w:pos="18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Consumer: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Residential Mortgage</w:t>
            </w:r>
          </w:p>
        </w:tc>
        <w:tc>
          <w:tcPr>
            <w:tcW w:w="2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34,118</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1,102</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35,220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28,865</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29,903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Credit Card</w:t>
            </w:r>
          </w:p>
        </w:tc>
        <w:tc>
          <w:tcPr>
            <w:tcW w:w="2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17,078</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493</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17,571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16,994</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17,384</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Auto Loans</w:t>
            </w:r>
          </w:p>
        </w:tc>
        <w:tc>
          <w:tcPr>
            <w:tcW w:w="2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6,360</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6,360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8,056</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8,056</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Other Consumer</w:t>
            </w:r>
          </w:p>
        </w:tc>
        <w:tc>
          <w:tcPr>
            <w:tcW w:w="24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12,040</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1,445</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13,485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9,843</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11,085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920" w:type="dxa"/>
            <w:vAlign w:val="bottom"/>
          </w:tcPr>
          <w:p>
            <w:pPr>
              <w:spacing w:after="0"/>
              <w:rPr>
                <w:sz w:val="20"/>
                <w:szCs w:val="20"/>
                <w:color w:val="auto"/>
              </w:rPr>
            </w:pPr>
            <w:r>
              <w:rPr>
                <w:rFonts w:ascii="Courier New" w:cs="Courier New" w:eastAsia="Courier New" w:hAnsi="Courier New"/>
                <w:sz w:val="14"/>
                <w:szCs w:val="14"/>
                <w:color w:val="auto"/>
              </w:rPr>
              <w:t>Total Consumer</w:t>
            </w:r>
          </w:p>
        </w:tc>
        <w:tc>
          <w:tcPr>
            <w:tcW w:w="2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69,596</w:t>
            </w:r>
          </w:p>
        </w:tc>
        <w:tc>
          <w:tcPr>
            <w:tcW w:w="10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3,040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72,636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63,758</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66,428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Total Loans</w:t>
            </w:r>
          </w:p>
        </w:tc>
        <w:tc>
          <w:tcPr>
            <w:tcW w:w="2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114,996</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36,284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151,280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107,730</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35,396</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143,126</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Unearned Income</w:t>
            </w:r>
          </w:p>
        </w:tc>
        <w:tc>
          <w:tcPr>
            <w:tcW w:w="2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(915)</w:t>
            </w:r>
          </w:p>
        </w:tc>
        <w:tc>
          <w:tcPr>
            <w:tcW w:w="10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(158)</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(1,073)</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(666)</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(229)</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(895)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3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Loans, Net of Unearned Income</w:t>
            </w:r>
          </w:p>
        </w:tc>
        <w:tc>
          <w:tcPr>
            <w:tcW w:w="20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$114,081</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$36,126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$150,207</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$107,064</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$35,167</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$142,231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3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560" w:firstLine="431"/>
        <w:spacing w:after="0" w:line="251" w:lineRule="auto"/>
        <w:rPr>
          <w:sz w:val="20"/>
          <w:szCs w:val="20"/>
          <w:color w:val="auto"/>
        </w:rPr>
      </w:pPr>
      <w:r>
        <w:rPr>
          <w:rFonts w:ascii="Courier New" w:cs="Courier New" w:eastAsia="Courier New" w:hAnsi="Courier New"/>
          <w:sz w:val="14"/>
          <w:szCs w:val="14"/>
          <w:color w:val="auto"/>
        </w:rPr>
        <w:t>Certain loans that meet the accounting definition of a security are classified as loans and are measured pursuant to SFAS 115, along with related derivatives. Bonds that have been issued by foreign governments (such as Mexico, Venezuela and Brazil) to financial institutions, including the Corporation, as part of a debt renegotiation (i.e., "Brady Bonds") are subject to the provisions of SFAS 115.</w:t>
      </w:r>
    </w:p>
    <w:p>
      <w:pPr>
        <w:spacing w:after="0" w:line="164" w:lineRule="exact"/>
        <w:rPr>
          <w:sz w:val="20"/>
          <w:szCs w:val="20"/>
          <w:color w:val="auto"/>
        </w:rPr>
      </w:pPr>
    </w:p>
    <w:p>
      <w:pPr>
        <w:ind w:right="4560" w:firstLine="431"/>
        <w:spacing w:after="0" w:line="251" w:lineRule="auto"/>
        <w:rPr>
          <w:sz w:val="20"/>
          <w:szCs w:val="20"/>
          <w:color w:val="auto"/>
        </w:rPr>
      </w:pPr>
      <w:r>
        <w:rPr>
          <w:rFonts w:ascii="Courier New" w:cs="Courier New" w:eastAsia="Courier New" w:hAnsi="Courier New"/>
          <w:sz w:val="14"/>
          <w:szCs w:val="14"/>
          <w:color w:val="auto"/>
        </w:rPr>
        <w:t>In connection with the adoption of the SFAS 115 Implementation Guide in the fourth quarter of 1995, the Corporation reassessed the classification of all securities held. The result of the one-time reassessment was the reclassification of the entire held-to-maturity portfolio of Brady Bonds, other loans, and related derivatives (measured pursuant to SFAS 115) to the available-for-sale category. The amount of the reclassification was $1,972 million at amortized cost. Unrealized net losses related to the transfer were $454 million after-tax.</w:t>
      </w:r>
    </w:p>
    <w:p>
      <w:pPr>
        <w:spacing w:after="0" w:line="330" w:lineRule="exact"/>
        <w:rPr>
          <w:sz w:val="20"/>
          <w:szCs w:val="20"/>
          <w:color w:val="auto"/>
        </w:rPr>
      </w:pPr>
    </w:p>
    <w:p>
      <w:pPr>
        <w:ind w:right="4560" w:firstLine="431"/>
        <w:spacing w:after="0" w:line="251" w:lineRule="auto"/>
        <w:rPr>
          <w:sz w:val="20"/>
          <w:szCs w:val="20"/>
          <w:color w:val="auto"/>
        </w:rPr>
      </w:pPr>
      <w:r>
        <w:rPr>
          <w:rFonts w:ascii="Courier New" w:cs="Courier New" w:eastAsia="Courier New" w:hAnsi="Courier New"/>
          <w:sz w:val="14"/>
          <w:szCs w:val="14"/>
          <w:color w:val="auto"/>
        </w:rPr>
        <w:t>A significant portion of the Brady Bonds within the available-for-sale portfolio are collateralized by zero-coupon U.S. Treasury obligations. Up to two years' interest on Brady Bonds is also collateralized by U.S. Treasury obligations. Management continually evaluates and monitors the ability of each of the countries within the portfolio to perform and believes that any unrealized losses on its available-for-sale portfolio are temporary in nature. The amortized cost and estimated fair value of loans measured pursuant to SFAS 115, including the impact of related derivatives, for the dates indicated were as follows: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GROSS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GROSS</w:t>
            </w:r>
          </w:p>
        </w:tc>
        <w:tc>
          <w:tcPr>
            <w:tcW w:w="640" w:type="dxa"/>
            <w:vAlign w:val="bottom"/>
          </w:tcPr>
          <w:p>
            <w:pPr>
              <w:spacing w:after="0"/>
              <w:rPr>
                <w:sz w:val="14"/>
                <w:szCs w:val="14"/>
                <w:color w:val="auto"/>
              </w:rPr>
            </w:pPr>
          </w:p>
        </w:tc>
      </w:tr>
      <w:tr>
        <w:trPr>
          <w:trHeight w:val="166"/>
        </w:trPr>
        <w:tc>
          <w:tcPr>
            <w:tcW w:w="3320" w:type="dxa"/>
            <w:vAlign w:val="bottom"/>
          </w:tcPr>
          <w:p>
            <w:pPr>
              <w:spacing w:after="0"/>
              <w:rPr>
                <w:sz w:val="14"/>
                <w:szCs w:val="14"/>
                <w:color w:val="auto"/>
              </w:rPr>
            </w:pPr>
          </w:p>
        </w:tc>
        <w:tc>
          <w:tcPr>
            <w:tcW w:w="1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AMORTIZED</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UNREALIZED</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UNREALIZED</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FAIR</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DECEMBER 31, 1995 (IN MILLIONS)</w:t>
            </w:r>
          </w:p>
        </w:tc>
        <w:tc>
          <w:tcPr>
            <w:tcW w:w="1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COST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GAINS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LOSSES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VALUE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Total (all Available-for-Sale)</w:t>
            </w:r>
          </w:p>
        </w:tc>
        <w:tc>
          <w:tcPr>
            <w:tcW w:w="17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$2,849</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$ 47</w:t>
            </w:r>
          </w:p>
        </w:tc>
        <w:tc>
          <w:tcPr>
            <w:tcW w:w="10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917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$1,979</w:t>
            </w:r>
          </w:p>
        </w:tc>
      </w:tr>
    </w:tbl>
    <w:p>
      <w:pPr>
        <w:spacing w:after="0" w:line="4" w:lineRule="exact"/>
        <w:rPr>
          <w:sz w:val="20"/>
          <w:szCs w:val="20"/>
          <w:color w:val="auto"/>
        </w:rPr>
      </w:pPr>
    </w:p>
    <w:p>
      <w:pPr>
        <w:ind w:left="180" w:hanging="172"/>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December 31, 1994</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Available-for-Sale</w:t>
            </w:r>
          </w:p>
        </w:tc>
        <w:tc>
          <w:tcPr>
            <w:tcW w:w="22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$2,158</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466</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$1,842</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Held-to-Maturity</w:t>
            </w:r>
          </w:p>
        </w:tc>
        <w:tc>
          <w:tcPr>
            <w:tcW w:w="22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1,998</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44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848</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1,160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2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2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$4,156</w:t>
            </w:r>
          </w:p>
        </w:tc>
        <w:tc>
          <w:tcPr>
            <w:tcW w:w="10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1,314</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2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560" w:firstLine="431"/>
        <w:spacing w:after="0" w:line="251" w:lineRule="auto"/>
        <w:rPr>
          <w:sz w:val="20"/>
          <w:szCs w:val="20"/>
          <w:color w:val="auto"/>
        </w:rPr>
      </w:pPr>
      <w:r>
        <w:rPr>
          <w:rFonts w:ascii="Courier New" w:cs="Courier New" w:eastAsia="Courier New" w:hAnsi="Courier New"/>
          <w:sz w:val="14"/>
          <w:szCs w:val="14"/>
          <w:color w:val="auto"/>
        </w:rPr>
        <w:t>The 1995 results included a net loss of $49 million (gross gains of $204 million and gross losses of $253 million) related to the disposition of emerging market securities previously recorded as available-for-sale. Such dispositions are part of the Corporation's ongoing efforts to manage its emerging markets exposure in its available-for-sale portfolio. The 1994 results included a net gain of $233 million (gross gains of $348 million and gross losses of $115 million) on the disposition of emerging market securities. Cash proceeds from the sales of these available-for-sale loans during 1995 and 1994 were $1,193 million and $1,079 million, respectively.</w:t>
      </w:r>
    </w:p>
    <w:p>
      <w:pPr>
        <w:sectPr>
          <w:pgSz w:w="11900" w:h="16838" w:orient="portrait"/>
          <w:cols w:equalWidth="0" w:num="1">
            <w:col w:w="11460"/>
          </w:cols>
          <w:pgMar w:left="220" w:top="285" w:right="219" w:bottom="1440" w:gutter="0" w:footer="0" w:header="0"/>
        </w:sectPr>
      </w:pPr>
    </w:p>
    <w:p>
      <w:pPr>
        <w:spacing w:after="0" w:line="16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1460"/>
          </w:cols>
          <w:pgMar w:left="220" w:top="285" w:right="219" w:bottom="1440" w:gutter="0" w:footer="0" w:header="0"/>
          <w:type w:val="continuous"/>
        </w:sectPr>
      </w:pPr>
    </w:p>
    <w:bookmarkStart w:id="80" w:name="page81"/>
    <w:bookmarkEnd w:id="80"/>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ALLOWANCE FOR CREDIT LOSSES</w:t>
      </w:r>
    </w:p>
    <w:p>
      <w:pPr>
        <w:spacing w:after="0" w:line="173" w:lineRule="exact"/>
        <w:rPr>
          <w:sz w:val="20"/>
          <w:szCs w:val="20"/>
          <w:color w:val="auto"/>
        </w:rPr>
      </w:pPr>
    </w:p>
    <w:p>
      <w:pPr>
        <w:ind w:right="3880"/>
        <w:spacing w:after="0" w:line="255" w:lineRule="auto"/>
        <w:rPr>
          <w:sz w:val="20"/>
          <w:szCs w:val="20"/>
          <w:color w:val="auto"/>
        </w:rPr>
      </w:pPr>
      <w:r>
        <w:rPr>
          <w:rFonts w:ascii="Courier New" w:cs="Courier New" w:eastAsia="Courier New" w:hAnsi="Courier New"/>
          <w:sz w:val="14"/>
          <w:szCs w:val="14"/>
          <w:color w:val="auto"/>
        </w:rPr>
        <w:t>The table below summarizes the changes in the allowance for credit losses during 1995, 1994 and 1993.</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26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1995</w:t>
            </w:r>
          </w:p>
        </w:tc>
        <w:tc>
          <w:tcPr>
            <w:tcW w:w="17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1994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Total Allowance</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at January</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$ 3,894</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$ 4,445</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$ 4,938</w:t>
            </w:r>
          </w:p>
        </w:tc>
      </w:tr>
      <w:tr>
        <w:trPr>
          <w:trHeight w:val="166"/>
        </w:trPr>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Provision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for</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Losses</w:t>
            </w:r>
          </w:p>
        </w:tc>
        <w:tc>
          <w:tcPr>
            <w:tcW w:w="3140" w:type="dxa"/>
            <w:vAlign w:val="bottom"/>
          </w:tcPr>
          <w:p>
            <w:pPr>
              <w:spacing w:after="0"/>
              <w:rPr>
                <w:sz w:val="14"/>
                <w:szCs w:val="14"/>
                <w:color w:val="auto"/>
              </w:rPr>
            </w:pP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758</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1,050</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2,254</w:t>
            </w:r>
          </w:p>
        </w:tc>
      </w:tr>
      <w:tr>
        <w:trPr>
          <w:trHeight w:val="166"/>
        </w:trPr>
        <w:tc>
          <w:tcPr>
            <w:tcW w:w="1000" w:type="dxa"/>
            <w:vAlign w:val="bottom"/>
          </w:tcPr>
          <w:p>
            <w:pPr>
              <w:ind w:left="180"/>
              <w:spacing w:after="0"/>
              <w:rPr>
                <w:sz w:val="20"/>
                <w:szCs w:val="20"/>
                <w:color w:val="auto"/>
              </w:rPr>
            </w:pPr>
            <w:r>
              <w:rPr>
                <w:rFonts w:ascii="Courier New" w:cs="Courier New" w:eastAsia="Courier New" w:hAnsi="Courier New"/>
                <w:sz w:val="14"/>
                <w:szCs w:val="14"/>
                <w:color w:val="auto"/>
              </w:rPr>
              <w:t>Provision</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 Loans Held</w:t>
            </w:r>
          </w:p>
        </w:tc>
        <w:tc>
          <w:tcPr>
            <w:tcW w:w="3140" w:type="dxa"/>
            <w:vAlign w:val="bottom"/>
          </w:tcPr>
          <w:p>
            <w:pPr>
              <w:ind w:left="40"/>
              <w:spacing w:after="0"/>
              <w:rPr>
                <w:sz w:val="20"/>
                <w:szCs w:val="20"/>
                <w:color w:val="auto"/>
              </w:rPr>
            </w:pPr>
            <w:r>
              <w:rPr>
                <w:rFonts w:ascii="Courier New" w:cs="Courier New" w:eastAsia="Courier New" w:hAnsi="Courier New"/>
                <w:sz w:val="14"/>
                <w:szCs w:val="14"/>
                <w:color w:val="auto"/>
              </w:rPr>
              <w:t>for Accelerated Disposition</w:t>
            </w: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566</w:t>
            </w:r>
          </w:p>
        </w:tc>
      </w:tr>
      <w:tr>
        <w:trPr>
          <w:trHeight w:val="166"/>
        </w:trPr>
        <w:tc>
          <w:tcPr>
            <w:tcW w:w="1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Charge-Offs</w:t>
            </w:r>
          </w:p>
        </w:tc>
        <w:tc>
          <w:tcPr>
            <w:tcW w:w="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(1,278)</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(1,970)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(3,135)</w:t>
            </w:r>
          </w:p>
        </w:tc>
      </w:tr>
      <w:tr>
        <w:trPr>
          <w:trHeight w:val="166"/>
        </w:trPr>
        <w:tc>
          <w:tcPr>
            <w:tcW w:w="13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Recoveries</w:t>
            </w:r>
          </w:p>
        </w:tc>
        <w:tc>
          <w:tcPr>
            <w:tcW w:w="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9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438</w:t>
            </w: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506</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500" w:type="dxa"/>
            <w:vAlign w:val="bottom"/>
          </w:tcPr>
          <w:p>
            <w:pPr>
              <w:spacing w:after="0"/>
              <w:rPr>
                <w:sz w:val="20"/>
                <w:szCs w:val="20"/>
                <w:color w:val="auto"/>
              </w:rPr>
            </w:pPr>
            <w:r>
              <w:rPr>
                <w:rFonts w:ascii="Courier New" w:cs="Courier New" w:eastAsia="Courier New" w:hAnsi="Courier New"/>
                <w:sz w:val="14"/>
                <w:szCs w:val="14"/>
                <w:color w:val="auto"/>
              </w:rPr>
              <w:t>Net Charge-Offs</w:t>
            </w:r>
          </w:p>
        </w:tc>
        <w:tc>
          <w:tcPr>
            <w:tcW w:w="20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4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(840)</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(1,464)</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(2,618)</w:t>
            </w:r>
          </w:p>
        </w:tc>
      </w:tr>
      <w:tr>
        <w:trPr>
          <w:trHeight w:val="166"/>
        </w:trPr>
        <w:tc>
          <w:tcPr>
            <w:tcW w:w="1500" w:type="dxa"/>
            <w:vAlign w:val="bottom"/>
          </w:tcPr>
          <w:p>
            <w:pPr>
              <w:spacing w:after="0"/>
              <w:rPr>
                <w:sz w:val="20"/>
                <w:szCs w:val="20"/>
                <w:color w:val="auto"/>
              </w:rPr>
            </w:pPr>
            <w:r>
              <w:rPr>
                <w:rFonts w:ascii="Courier New" w:cs="Courier New" w:eastAsia="Courier New" w:hAnsi="Courier New"/>
                <w:sz w:val="14"/>
                <w:szCs w:val="14"/>
                <w:color w:val="auto"/>
              </w:rPr>
              <w:t>Charge for Assets</w:t>
            </w:r>
          </w:p>
        </w:tc>
        <w:tc>
          <w:tcPr>
            <w:tcW w:w="2080" w:type="dxa"/>
            <w:vAlign w:val="bottom"/>
          </w:tcPr>
          <w:p>
            <w:pPr>
              <w:ind w:left="60"/>
              <w:spacing w:after="0"/>
              <w:rPr>
                <w:sz w:val="20"/>
                <w:szCs w:val="20"/>
                <w:color w:val="auto"/>
              </w:rPr>
            </w:pPr>
            <w:r>
              <w:rPr>
                <w:rFonts w:ascii="Courier New" w:cs="Courier New" w:eastAsia="Courier New" w:hAnsi="Courier New"/>
                <w:sz w:val="14"/>
                <w:szCs w:val="14"/>
                <w:color w:val="auto"/>
              </w:rPr>
              <w:t>Transferred to Held for</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Accelerated Disposition</w:t>
            </w: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(148)</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(701)</w:t>
            </w:r>
          </w:p>
        </w:tc>
      </w:tr>
      <w:tr>
        <w:trPr>
          <w:trHeight w:val="166"/>
        </w:trPr>
        <w:tc>
          <w:tcPr>
            <w:tcW w:w="1500" w:type="dxa"/>
            <w:vAlign w:val="bottom"/>
          </w:tcPr>
          <w:p>
            <w:pPr>
              <w:spacing w:after="0"/>
              <w:rPr>
                <w:sz w:val="20"/>
                <w:szCs w:val="20"/>
                <w:color w:val="auto"/>
              </w:rPr>
            </w:pPr>
            <w:r>
              <w:rPr>
                <w:rFonts w:ascii="Courier New" w:cs="Courier New" w:eastAsia="Courier New" w:hAnsi="Courier New"/>
                <w:sz w:val="14"/>
                <w:szCs w:val="14"/>
                <w:color w:val="auto"/>
              </w:rPr>
              <w:t>Allowance Related</w:t>
            </w:r>
          </w:p>
        </w:tc>
        <w:tc>
          <w:tcPr>
            <w:tcW w:w="2080" w:type="dxa"/>
            <w:vAlign w:val="bottom"/>
          </w:tcPr>
          <w:p>
            <w:pPr>
              <w:ind w:left="60"/>
              <w:spacing w:after="0"/>
              <w:rPr>
                <w:sz w:val="20"/>
                <w:szCs w:val="20"/>
                <w:color w:val="auto"/>
              </w:rPr>
            </w:pPr>
            <w:r>
              <w:rPr>
                <w:rFonts w:ascii="Courier New" w:cs="Courier New" w:eastAsia="Courier New" w:hAnsi="Courier New"/>
                <w:sz w:val="14"/>
                <w:szCs w:val="14"/>
                <w:color w:val="auto"/>
              </w:rPr>
              <w:t>to Purchased (Disposed)</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(31)(a)</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w:t>
            </w:r>
          </w:p>
        </w:tc>
      </w:tr>
      <w:tr>
        <w:trPr>
          <w:trHeight w:val="166"/>
        </w:trPr>
        <w:tc>
          <w:tcPr>
            <w:tcW w:w="5940" w:type="dxa"/>
            <w:vAlign w:val="bottom"/>
            <w:gridSpan w:val="3"/>
          </w:tcPr>
          <w:p>
            <w:pPr>
              <w:spacing w:after="0"/>
              <w:rPr>
                <w:sz w:val="20"/>
                <w:szCs w:val="20"/>
                <w:color w:val="auto"/>
              </w:rPr>
            </w:pPr>
            <w:r>
              <w:rPr>
                <w:rFonts w:ascii="Courier New" w:cs="Courier New" w:eastAsia="Courier New" w:hAnsi="Courier New"/>
                <w:sz w:val="14"/>
                <w:szCs w:val="14"/>
                <w:color w:val="auto"/>
              </w:rPr>
              <w:t>Foreign Exchange Translation Adjustment and Other</w:t>
            </w: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200" w:val="left"/>
          <w:tab w:leader="none" w:pos="7920" w:val="left"/>
          <w:tab w:leader="none" w:pos="9720" w:val="left"/>
        </w:tabs>
        <w:rPr>
          <w:sz w:val="20"/>
          <w:szCs w:val="20"/>
          <w:color w:val="auto"/>
        </w:rPr>
      </w:pPr>
      <w:r>
        <w:rPr>
          <w:rFonts w:ascii="Courier New" w:cs="Courier New" w:eastAsia="Courier New" w:hAnsi="Courier New"/>
          <w:sz w:val="14"/>
          <w:szCs w:val="14"/>
          <w:color w:val="auto"/>
        </w:rPr>
        <w:t>Total Allowance at December 31</w:t>
      </w:r>
      <w:r>
        <w:rPr>
          <w:sz w:val="20"/>
          <w:szCs w:val="20"/>
          <w:color w:val="auto"/>
        </w:rPr>
        <w:tab/>
      </w:r>
      <w:r>
        <w:rPr>
          <w:rFonts w:ascii="Courier New" w:cs="Courier New" w:eastAsia="Courier New" w:hAnsi="Courier New"/>
          <w:sz w:val="14"/>
          <w:szCs w:val="14"/>
          <w:color w:val="auto"/>
        </w:rPr>
        <w:t>$ 3,784</w:t>
      </w:r>
      <w:r>
        <w:rPr>
          <w:sz w:val="20"/>
          <w:szCs w:val="20"/>
          <w:color w:val="auto"/>
        </w:rPr>
        <w:tab/>
      </w:r>
      <w:r>
        <w:rPr>
          <w:rFonts w:ascii="Courier New" w:cs="Courier New" w:eastAsia="Courier New" w:hAnsi="Courier New"/>
          <w:sz w:val="14"/>
          <w:szCs w:val="14"/>
          <w:color w:val="auto"/>
        </w:rPr>
        <w:t>$ 3,894</w:t>
      </w:r>
      <w:r>
        <w:rPr>
          <w:sz w:val="20"/>
          <w:szCs w:val="20"/>
          <w:color w:val="auto"/>
        </w:rPr>
        <w:tab/>
      </w:r>
      <w:r>
        <w:rPr>
          <w:rFonts w:ascii="Courier New" w:cs="Courier New" w:eastAsia="Courier New" w:hAnsi="Courier New"/>
          <w:sz w:val="14"/>
          <w:szCs w:val="14"/>
          <w:color w:val="auto"/>
        </w:rPr>
        <w:t>$ 4,445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060" w:firstLine="8"/>
        <w:spacing w:after="0" w:line="255" w:lineRule="auto"/>
        <w:tabs>
          <w:tab w:leader="none" w:pos="344"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$28 million related to the sale of banking operations in southern and central New Jersey.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NONPERFORMING ASSETS</w:t>
      </w:r>
    </w:p>
    <w:p>
      <w:pPr>
        <w:spacing w:after="0" w:line="173" w:lineRule="exact"/>
        <w:rPr>
          <w:sz w:val="20"/>
          <w:szCs w:val="20"/>
          <w:color w:val="auto"/>
        </w:rPr>
      </w:pPr>
    </w:p>
    <w:p>
      <w:pPr>
        <w:ind w:right="4480"/>
        <w:spacing w:after="0" w:line="255" w:lineRule="auto"/>
        <w:rPr>
          <w:sz w:val="20"/>
          <w:szCs w:val="20"/>
          <w:color w:val="auto"/>
        </w:rPr>
      </w:pPr>
      <w:r>
        <w:rPr>
          <w:rFonts w:ascii="Courier New" w:cs="Courier New" w:eastAsia="Courier New" w:hAnsi="Courier New"/>
          <w:sz w:val="14"/>
          <w:szCs w:val="14"/>
          <w:color w:val="auto"/>
        </w:rPr>
        <w:t>The following table sets forth the nonperforming assets and contractually past-due loans of the Corporation at the dates indicated.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NONPERFORMING ASSETS</w:t>
            </w:r>
          </w:p>
        </w:tc>
        <w:tc>
          <w:tcPr>
            <w:tcW w:w="15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31"/>
        </w:trPr>
        <w:tc>
          <w:tcPr>
            <w:tcW w:w="3160" w:type="dxa"/>
            <w:vAlign w:val="bottom"/>
          </w:tcPr>
          <w:p>
            <w:pPr>
              <w:spacing w:after="0"/>
              <w:rPr>
                <w:sz w:val="20"/>
                <w:szCs w:val="20"/>
                <w:color w:val="auto"/>
              </w:rPr>
            </w:pPr>
            <w:r>
              <w:rPr>
                <w:rFonts w:ascii="Courier New" w:cs="Courier New" w:eastAsia="Courier New" w:hAnsi="Courier New"/>
                <w:sz w:val="14"/>
                <w:szCs w:val="14"/>
                <w:color w:val="auto"/>
              </w:rPr>
              <w:t>DECEMBER 31, (IN MILLIONS)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Domestic Nonperforming Loans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$1,128</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Foreign Nonperforming Loans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Nonperforming Loans</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1,493(a)</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1,589</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Assets Acquired as Loan Satisfactions</w:t>
            </w:r>
          </w:p>
        </w:tc>
        <w:tc>
          <w:tcPr>
            <w:tcW w:w="12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(primarily Real Estate)</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860" w:val="left"/>
          <w:tab w:leader="none" w:pos="4820" w:val="left"/>
        </w:tabs>
        <w:rPr>
          <w:sz w:val="20"/>
          <w:szCs w:val="20"/>
          <w:color w:val="auto"/>
        </w:rPr>
      </w:pPr>
      <w:r>
        <w:rPr>
          <w:rFonts w:ascii="Courier New" w:cs="Courier New" w:eastAsia="Courier New" w:hAnsi="Courier New"/>
          <w:sz w:val="14"/>
          <w:szCs w:val="14"/>
          <w:color w:val="auto"/>
        </w:rPr>
        <w:t>Total Nonperforming Assets</w:t>
      </w:r>
      <w:r>
        <w:rPr>
          <w:sz w:val="20"/>
          <w:szCs w:val="20"/>
          <w:color w:val="auto"/>
        </w:rPr>
        <w:tab/>
      </w:r>
      <w:r>
        <w:rPr>
          <w:rFonts w:ascii="Courier New" w:cs="Courier New" w:eastAsia="Courier New" w:hAnsi="Courier New"/>
          <w:sz w:val="14"/>
          <w:szCs w:val="14"/>
          <w:color w:val="auto"/>
        </w:rPr>
        <w:t>$1,664</w:t>
      </w:r>
      <w:r>
        <w:rPr>
          <w:sz w:val="20"/>
          <w:szCs w:val="20"/>
          <w:color w:val="auto"/>
        </w:rPr>
        <w:tab/>
      </w:r>
      <w:r>
        <w:rPr>
          <w:rFonts w:ascii="Courier New" w:cs="Courier New" w:eastAsia="Courier New" w:hAnsi="Courier New"/>
          <w:sz w:val="13"/>
          <w:szCs w:val="13"/>
          <w:color w:val="auto"/>
        </w:rPr>
        <w:t>$2,126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860" w:val="left"/>
          <w:tab w:leader="none" w:pos="4120" w:val="left"/>
          <w:tab w:leader="none" w:pos="4820" w:val="left"/>
          <w:tab w:leader="none" w:pos="5080" w:val="left"/>
        </w:tabs>
        <w:rPr>
          <w:sz w:val="20"/>
          <w:szCs w:val="20"/>
          <w:color w:val="auto"/>
        </w:rPr>
      </w:pPr>
      <w:r>
        <w:rPr>
          <w:rFonts w:ascii="Courier New" w:cs="Courier New" w:eastAsia="Courier New" w:hAnsi="Courier New"/>
          <w:sz w:val="14"/>
          <w:szCs w:val="14"/>
          <w:color w:val="auto"/>
        </w:rPr>
        <w:t>Contractually Past-due Loans (b)</w:t>
      </w:r>
      <w:r>
        <w:rPr>
          <w:sz w:val="20"/>
          <w:szCs w:val="20"/>
          <w:color w:val="auto"/>
        </w:rPr>
        <w:tab/>
      </w:r>
      <w:r>
        <w:rPr>
          <w:rFonts w:ascii="Courier New" w:cs="Courier New" w:eastAsia="Courier New" w:hAnsi="Courier New"/>
          <w:sz w:val="14"/>
          <w:szCs w:val="14"/>
          <w:color w:val="auto"/>
        </w:rPr>
        <w:t>$</w:t>
        <w:tab/>
        <w:t>664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730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220" w:firstLine="8"/>
        <w:spacing w:after="0" w:line="255" w:lineRule="auto"/>
        <w:tabs>
          <w:tab w:leader="none" w:pos="344"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$1,221 million of loans considered impaired under SFAS No. 114, "Accounting by Creditors for Impairment of a Loan" ("SFAS 114").</w:t>
      </w:r>
    </w:p>
    <w:p>
      <w:pPr>
        <w:spacing w:after="0" w:line="159" w:lineRule="exact"/>
        <w:rPr>
          <w:rFonts w:ascii="Courier New" w:cs="Courier New" w:eastAsia="Courier New" w:hAnsi="Courier New"/>
          <w:sz w:val="14"/>
          <w:szCs w:val="14"/>
          <w:color w:val="auto"/>
        </w:rPr>
      </w:pPr>
    </w:p>
    <w:p>
      <w:pPr>
        <w:ind w:right="3880" w:firstLine="8"/>
        <w:spacing w:after="0" w:line="251" w:lineRule="auto"/>
        <w:tabs>
          <w:tab w:leader="none" w:pos="344"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Accruing loans past-due 90 days or more as to principal and interest, which are not characterized as nonperforming loans. Consumer loans are generally not classified as nonperforming loans but rather are charged-off on a formula basis. Included within consumer loans is the student loan portfolio. There are essentially no credit losses in the student loan portfolio due to the existence of Federal and State government agency guarantees. At December 31, 1995 and 1994, student loans which were past due 90 days and over and still accruing were approximately $107 million and $105 million, respectively.</w:t>
      </w:r>
    </w:p>
    <w:p>
      <w:pPr>
        <w:spacing w:after="0" w:line="164" w:lineRule="exact"/>
        <w:rPr>
          <w:sz w:val="20"/>
          <w:szCs w:val="20"/>
          <w:color w:val="auto"/>
        </w:rPr>
      </w:pPr>
    </w:p>
    <w:p>
      <w:pPr>
        <w:ind w:right="4320" w:firstLine="431"/>
        <w:spacing w:after="0" w:line="255" w:lineRule="auto"/>
        <w:rPr>
          <w:sz w:val="20"/>
          <w:szCs w:val="20"/>
          <w:color w:val="auto"/>
        </w:rPr>
      </w:pPr>
      <w:r>
        <w:rPr>
          <w:rFonts w:ascii="Courier New" w:cs="Courier New" w:eastAsia="Courier New" w:hAnsi="Courier New"/>
          <w:sz w:val="14"/>
          <w:szCs w:val="14"/>
          <w:color w:val="auto"/>
        </w:rPr>
        <w:t>The table below presents the Corporation's assets held for accelerated disposition at the dates indicated: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ASSETS HELD FOR ACCELERATED DISPOSITION</w:t>
            </w: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DECEMBER 31, (IN MILLIONS)</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gridSpan w:val="2"/>
          </w:tcPr>
          <w:p>
            <w:pPr>
              <w:spacing w:after="0"/>
              <w:rPr>
                <w:sz w:val="20"/>
                <w:szCs w:val="20"/>
                <w:color w:val="auto"/>
              </w:rPr>
            </w:pPr>
            <w:r>
              <w:rPr>
                <w:rFonts w:ascii="Courier New" w:cs="Courier New" w:eastAsia="Courier New" w:hAnsi="Courier New"/>
                <w:sz w:val="14"/>
                <w:szCs w:val="14"/>
                <w:color w:val="auto"/>
              </w:rPr>
              <w:t>Loans(a)</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$336</w:t>
            </w:r>
          </w:p>
        </w:tc>
      </w:tr>
      <w:tr>
        <w:trPr>
          <w:trHeight w:val="166"/>
        </w:trPr>
        <w:tc>
          <w:tcPr>
            <w:tcW w:w="3980" w:type="dxa"/>
            <w:vAlign w:val="bottom"/>
            <w:gridSpan w:val="2"/>
          </w:tcPr>
          <w:p>
            <w:pPr>
              <w:spacing w:after="0"/>
              <w:rPr>
                <w:sz w:val="20"/>
                <w:szCs w:val="20"/>
                <w:color w:val="auto"/>
              </w:rPr>
            </w:pPr>
            <w:r>
              <w:rPr>
                <w:rFonts w:ascii="Courier New" w:cs="Courier New" w:eastAsia="Courier New" w:hAnsi="Courier New"/>
                <w:sz w:val="14"/>
                <w:szCs w:val="14"/>
                <w:color w:val="auto"/>
              </w:rPr>
              <w:t>Real Estate Owned</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190</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gridSpan w:val="2"/>
          </w:tcPr>
          <w:p>
            <w:pPr>
              <w:spacing w:after="0"/>
              <w:rPr>
                <w:sz w:val="20"/>
                <w:szCs w:val="20"/>
                <w:color w:val="auto"/>
              </w:rPr>
            </w:pPr>
            <w:r>
              <w:rPr>
                <w:rFonts w:ascii="Courier New" w:cs="Courier New" w:eastAsia="Courier New" w:hAnsi="Courier New"/>
                <w:sz w:val="14"/>
                <w:szCs w:val="14"/>
                <w:color w:val="auto"/>
              </w:rPr>
              <w:t>Total Assets Held for Accelerated Disposition</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$412</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400" w:firstLine="8"/>
        <w:spacing w:after="0" w:line="255" w:lineRule="auto"/>
        <w:tabs>
          <w:tab w:leader="none" w:pos="344"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$412 million and $87 million of loans that were performing at December 31, 1995 and 1994, respectively.</w:t>
      </w:r>
    </w:p>
    <w:p>
      <w:pPr>
        <w:spacing w:after="0" w:line="160" w:lineRule="exact"/>
        <w:rPr>
          <w:sz w:val="20"/>
          <w:szCs w:val="20"/>
          <w:color w:val="auto"/>
        </w:rPr>
      </w:pPr>
    </w:p>
    <w:p>
      <w:pPr>
        <w:ind w:right="3960" w:firstLine="431"/>
        <w:spacing w:after="0" w:line="251" w:lineRule="auto"/>
        <w:rPr>
          <w:sz w:val="20"/>
          <w:szCs w:val="20"/>
          <w:color w:val="auto"/>
        </w:rPr>
      </w:pPr>
      <w:r>
        <w:rPr>
          <w:rFonts w:ascii="Courier New" w:cs="Courier New" w:eastAsia="Courier New" w:hAnsi="Courier New"/>
          <w:sz w:val="14"/>
          <w:szCs w:val="14"/>
          <w:color w:val="auto"/>
        </w:rPr>
        <w:t>The following table presents the amount of interest income recorded by the Corporation on its nonaccrual and renegotiated loans and the amount of interest income on the carrying value of such loans that would have been recorded if these loans had been current in accordance with their original terms (interest at original rates).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IMPACT OF NONPERFORMING</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LOANS ON INTEREST INCOME(a)</w:t>
            </w: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04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(IN MILLIONS)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0780"/>
          </w:cols>
          <w:pgMar w:left="220" w:top="285" w:right="899" w:bottom="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Domestic:</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Gross Amount of Interest That Would Have</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2720" w:type="dxa"/>
            <w:vAlign w:val="bottom"/>
          </w:tcPr>
          <w:p>
            <w:pPr>
              <w:ind w:left="180"/>
              <w:spacing w:after="0"/>
              <w:rPr>
                <w:sz w:val="20"/>
                <w:szCs w:val="20"/>
                <w:color w:val="auto"/>
              </w:rPr>
            </w:pPr>
            <w:r>
              <w:rPr>
                <w:rFonts w:ascii="Courier New" w:cs="Courier New" w:eastAsia="Courier New" w:hAnsi="Courier New"/>
                <w:sz w:val="14"/>
                <w:szCs w:val="14"/>
                <w:color w:val="auto"/>
              </w:rPr>
              <w:t>Been Recorded at the Original</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Rate</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$ 234</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Interest That Was Recognized in</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9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Negative Impact-Domestic</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190</w:t>
            </w:r>
          </w:p>
        </w:tc>
      </w:tr>
    </w:tbl>
    <w:p>
      <w:pPr>
        <w:spacing w:after="0" w:line="4" w:lineRule="exact"/>
        <w:rPr>
          <w:sz w:val="20"/>
          <w:szCs w:val="20"/>
          <w:color w:val="auto"/>
        </w:rPr>
      </w:pPr>
    </w:p>
    <w:p>
      <w:pPr>
        <w:ind w:left="180" w:hanging="172"/>
        <w:spacing w:after="0"/>
        <w:tabs>
          <w:tab w:leader="none" w:pos="1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Foreign:</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Gross Amount of Interest That Would Have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Been Recorded at the Original</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Rate</w:t>
            </w:r>
          </w:p>
        </w:tc>
        <w:tc>
          <w:tcPr>
            <w:tcW w:w="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w:t>
            </w:r>
          </w:p>
        </w:tc>
      </w:tr>
      <w:tr>
        <w:trPr>
          <w:trHeight w:val="166"/>
        </w:trPr>
        <w:tc>
          <w:tcPr>
            <w:tcW w:w="2720" w:type="dxa"/>
            <w:vAlign w:val="bottom"/>
          </w:tcPr>
          <w:p>
            <w:pPr>
              <w:jc w:val="right"/>
              <w:spacing w:after="0"/>
              <w:rPr>
                <w:sz w:val="20"/>
                <w:szCs w:val="20"/>
                <w:color w:val="auto"/>
              </w:rPr>
            </w:pPr>
            <w:r>
              <w:rPr>
                <w:rFonts w:ascii="Courier New" w:cs="Courier New" w:eastAsia="Courier New" w:hAnsi="Courier New"/>
                <w:sz w:val="14"/>
                <w:szCs w:val="14"/>
                <w:color w:val="auto"/>
              </w:rPr>
              <w:t>Interest That Was Recognized in</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200" w:val="left"/>
          <w:tab w:leader="none" w:pos="4980" w:val="left"/>
          <w:tab w:leader="none" w:pos="5760" w:val="left"/>
        </w:tabs>
        <w:rPr>
          <w:sz w:val="20"/>
          <w:szCs w:val="20"/>
          <w:color w:val="auto"/>
        </w:rPr>
      </w:pPr>
      <w:r>
        <w:rPr>
          <w:rFonts w:ascii="Courier New" w:cs="Courier New" w:eastAsia="Courier New" w:hAnsi="Courier New"/>
          <w:sz w:val="14"/>
          <w:szCs w:val="14"/>
          <w:color w:val="auto"/>
        </w:rPr>
        <w:t>Negative (Positive) Impact-Foreign</w:t>
      </w:r>
      <w:r>
        <w:rPr>
          <w:sz w:val="20"/>
          <w:szCs w:val="20"/>
          <w:color w:val="auto"/>
        </w:rPr>
        <w:tab/>
      </w: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4820" w:val="left"/>
          <w:tab w:leader="none" w:pos="5580" w:val="left"/>
        </w:tabs>
        <w:rPr>
          <w:sz w:val="20"/>
          <w:szCs w:val="20"/>
          <w:color w:val="auto"/>
        </w:rPr>
      </w:pPr>
      <w:r>
        <w:rPr>
          <w:rFonts w:ascii="Courier New" w:cs="Courier New" w:eastAsia="Courier New" w:hAnsi="Courier New"/>
          <w:sz w:val="14"/>
          <w:szCs w:val="14"/>
          <w:color w:val="auto"/>
        </w:rPr>
        <w:t>Total Negative Impact on Interest Income</w:t>
      </w:r>
      <w:r>
        <w:rPr>
          <w:sz w:val="20"/>
          <w:szCs w:val="20"/>
          <w:color w:val="auto"/>
        </w:rPr>
        <w:tab/>
      </w:r>
      <w:r>
        <w:rPr>
          <w:rFonts w:ascii="Courier New" w:cs="Courier New" w:eastAsia="Courier New" w:hAnsi="Courier New"/>
          <w:sz w:val="14"/>
          <w:szCs w:val="14"/>
          <w:color w:val="auto"/>
        </w:rPr>
        <w:t>$ 94</w:t>
      </w:r>
      <w:r>
        <w:rPr>
          <w:sz w:val="20"/>
          <w:szCs w:val="20"/>
          <w:color w:val="auto"/>
        </w:rPr>
        <w:tab/>
      </w:r>
      <w:r>
        <w:rPr>
          <w:rFonts w:ascii="Courier New" w:cs="Courier New" w:eastAsia="Courier New" w:hAnsi="Courier New"/>
          <w:sz w:val="14"/>
          <w:szCs w:val="14"/>
          <w:color w:val="auto"/>
        </w:rPr>
        <w:t>$106</w:t>
      </w:r>
      <w:r>
        <w:rPr>
          <w:sz w:val="20"/>
          <w:szCs w:val="20"/>
          <w:color w:val="auto"/>
        </w:rPr>
        <w:tab/>
      </w:r>
      <w:r>
        <w:rPr>
          <w:rFonts w:ascii="Courier New" w:cs="Courier New" w:eastAsia="Courier New" w:hAnsi="Courier New"/>
          <w:sz w:val="14"/>
          <w:szCs w:val="14"/>
          <w:color w:val="auto"/>
        </w:rPr>
        <w:t>$ 154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Excludes loans held for accelerated disposition.</w:t>
      </w:r>
    </w:p>
    <w:p>
      <w:pPr>
        <w:spacing w:after="0" w:line="173"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The table below sets forth impaired loans disclosures. The Corporation uses the discounted cash flow method as its primary method for valuing its impaired loans.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IMPAIRED LOANS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Impaired</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Loans</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with an</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Allowance</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  481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Impaired</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Loans</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without</w:t>
            </w:r>
          </w:p>
        </w:tc>
        <w:tc>
          <w:tcPr>
            <w:tcW w:w="2120" w:type="dxa"/>
            <w:vAlign w:val="bottom"/>
          </w:tcPr>
          <w:p>
            <w:pPr>
              <w:ind w:left="40"/>
              <w:spacing w:after="0"/>
              <w:rPr>
                <w:sz w:val="20"/>
                <w:szCs w:val="20"/>
                <w:color w:val="auto"/>
              </w:rPr>
            </w:pPr>
            <w:r>
              <w:rPr>
                <w:rFonts w:ascii="Courier New" w:cs="Courier New" w:eastAsia="Courier New" w:hAnsi="Courier New"/>
                <w:sz w:val="14"/>
                <w:szCs w:val="14"/>
                <w:color w:val="auto"/>
              </w:rPr>
              <w:t>an Allowance(a)</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740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820" w:val="left"/>
        </w:tabs>
        <w:rPr>
          <w:sz w:val="20"/>
          <w:szCs w:val="20"/>
          <w:color w:val="auto"/>
        </w:rPr>
      </w:pPr>
      <w:r>
        <w:rPr>
          <w:rFonts w:ascii="Courier New" w:cs="Courier New" w:eastAsia="Courier New" w:hAnsi="Courier New"/>
          <w:sz w:val="14"/>
          <w:szCs w:val="14"/>
          <w:color w:val="auto"/>
        </w:rPr>
        <w:t>Total Impaired Loans</w:t>
      </w:r>
      <w:r>
        <w:rPr>
          <w:sz w:val="20"/>
          <w:szCs w:val="20"/>
          <w:color w:val="auto"/>
        </w:rPr>
        <w:tab/>
      </w:r>
      <w:r>
        <w:rPr>
          <w:rFonts w:ascii="Courier New" w:cs="Courier New" w:eastAsia="Courier New" w:hAnsi="Courier New"/>
          <w:sz w:val="13"/>
          <w:szCs w:val="13"/>
          <w:color w:val="auto"/>
        </w:rPr>
        <w:t>$1,221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820" w:val="left"/>
          <w:tab w:leader="none" w:pos="5080" w:val="left"/>
        </w:tabs>
        <w:rPr>
          <w:sz w:val="20"/>
          <w:szCs w:val="20"/>
          <w:color w:val="auto"/>
        </w:rPr>
      </w:pPr>
      <w:r>
        <w:rPr>
          <w:rFonts w:ascii="Courier New" w:cs="Courier New" w:eastAsia="Courier New" w:hAnsi="Courier New"/>
          <w:sz w:val="14"/>
          <w:szCs w:val="14"/>
          <w:color w:val="auto"/>
        </w:rPr>
        <w:t>Allowance for Impaired Loans under SFAS 114(b)</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152</w:t>
      </w:r>
    </w:p>
    <w:p>
      <w:pPr>
        <w:spacing w:after="0" w:line="7" w:lineRule="exact"/>
        <w:rPr>
          <w:sz w:val="20"/>
          <w:szCs w:val="20"/>
          <w:color w:val="auto"/>
        </w:rPr>
      </w:pPr>
    </w:p>
    <w:p>
      <w:pPr>
        <w:ind w:left="180" w:hanging="172"/>
        <w:spacing w:after="0"/>
        <w:tabs>
          <w:tab w:leader="none" w:pos="1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Average Balance of Impaired Loans During the</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Year-ended December 31, 1995</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$1,534</w:t>
            </w:r>
          </w:p>
        </w:tc>
      </w:tr>
    </w:tbl>
    <w:p>
      <w:pPr>
        <w:spacing w:after="0" w:line="4" w:lineRule="exact"/>
        <w:rPr>
          <w:sz w:val="20"/>
          <w:szCs w:val="20"/>
          <w:color w:val="auto"/>
        </w:rPr>
      </w:pPr>
    </w:p>
    <w:p>
      <w:pPr>
        <w:ind w:left="180" w:hanging="172"/>
        <w:spacing w:after="0"/>
        <w:tabs>
          <w:tab w:leader="none" w:pos="18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 Recognized on Impaired Loans During</w:t>
      </w:r>
    </w:p>
    <w:p>
      <w:pPr>
        <w:spacing w:after="0" w:line="7" w:lineRule="exact"/>
        <w:rPr>
          <w:sz w:val="20"/>
          <w:szCs w:val="20"/>
          <w:color w:val="auto"/>
        </w:rPr>
      </w:pPr>
    </w:p>
    <w:p>
      <w:pPr>
        <w:ind w:left="180"/>
        <w:spacing w:after="0"/>
        <w:tabs>
          <w:tab w:leader="none" w:pos="4820" w:val="left"/>
          <w:tab w:leader="none" w:pos="5160" w:val="left"/>
        </w:tabs>
        <w:rPr>
          <w:sz w:val="20"/>
          <w:szCs w:val="20"/>
          <w:color w:val="auto"/>
        </w:rPr>
      </w:pPr>
      <w:r>
        <w:rPr>
          <w:rFonts w:ascii="Courier New" w:cs="Courier New" w:eastAsia="Courier New" w:hAnsi="Courier New"/>
          <w:sz w:val="14"/>
          <w:szCs w:val="14"/>
          <w:color w:val="auto"/>
        </w:rPr>
        <w:t>the Year-ended December 31, 1995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26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firstLine="8"/>
        <w:spacing w:after="0" w:line="250" w:lineRule="auto"/>
        <w:tabs>
          <w:tab w:leader="none" w:pos="344"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Impaired loans for which the discounted cash flows, collateral value or market price equals or exceeds the carrying value of the loan. Such loans do not require an allowance under SFAS 114.</w:t>
      </w:r>
    </w:p>
    <w:p>
      <w:pPr>
        <w:spacing w:after="0" w:line="1" w:lineRule="exact"/>
        <w:rPr>
          <w:rFonts w:ascii="Courier New" w:cs="Courier New" w:eastAsia="Courier New" w:hAnsi="Courier New"/>
          <w:sz w:val="14"/>
          <w:szCs w:val="14"/>
          <w:color w:val="auto"/>
        </w:rPr>
      </w:pPr>
    </w:p>
    <w:p>
      <w:pPr>
        <w:ind w:right="4379" w:firstLine="8"/>
        <w:spacing w:after="0" w:line="255" w:lineRule="auto"/>
        <w:tabs>
          <w:tab w:leader="none" w:pos="344"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allowance for impaired loans under SFAS 114 is a part of the Corporation's overall Allowance for Credit Losses.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307"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46</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8. SHORT-TERM</w:t>
            </w:r>
          </w:p>
        </w:tc>
        <w:tc>
          <w:tcPr>
            <w:tcW w:w="4040" w:type="dxa"/>
            <w:vAlign w:val="bottom"/>
          </w:tcPr>
          <w:p>
            <w:pPr>
              <w:jc w:val="right"/>
              <w:ind w:right="1868"/>
              <w:spacing w:after="0"/>
              <w:rPr>
                <w:sz w:val="20"/>
                <w:szCs w:val="20"/>
                <w:color w:val="auto"/>
              </w:rPr>
            </w:pPr>
            <w:r>
              <w:rPr>
                <w:rFonts w:ascii="Courier New" w:cs="Courier New" w:eastAsia="Courier New" w:hAnsi="Courier New"/>
                <w:sz w:val="14"/>
                <w:szCs w:val="14"/>
                <w:color w:val="auto"/>
              </w:rPr>
              <w:t>AND OTHER BORROWED FUNDS</w:t>
            </w: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63"/>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 MILLIONS)</w:t>
            </w:r>
          </w:p>
        </w:tc>
        <w:tc>
          <w:tcPr>
            <w:tcW w:w="4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20" w:type="dxa"/>
            <w:vAlign w:val="bottom"/>
            <w:gridSpan w:val="3"/>
          </w:tcPr>
          <w:p>
            <w:pPr>
              <w:spacing w:after="0"/>
              <w:rPr>
                <w:sz w:val="20"/>
                <w:szCs w:val="20"/>
                <w:color w:val="auto"/>
              </w:rPr>
            </w:pPr>
            <w:r>
              <w:rPr>
                <w:rFonts w:ascii="Courier New" w:cs="Courier New" w:eastAsia="Courier New" w:hAnsi="Courier New"/>
                <w:sz w:val="14"/>
                <w:szCs w:val="14"/>
                <w:color w:val="auto"/>
              </w:rPr>
              <w:t>Federal funds purchased and securities sold under repurchase agreements:</w:t>
            </w:r>
          </w:p>
        </w:tc>
        <w:tc>
          <w:tcPr>
            <w:tcW w:w="680" w:type="dxa"/>
            <w:vAlign w:val="bottom"/>
          </w:tcPr>
          <w:p>
            <w:pPr>
              <w:spacing w:after="0"/>
              <w:rPr>
                <w:sz w:val="14"/>
                <w:szCs w:val="14"/>
                <w:color w:val="auto"/>
              </w:rPr>
            </w:pP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Balance at year-end</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$37,263</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$32,410</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w w:val="98"/>
              </w:rPr>
              <w:t>$20,747</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Average daily balance during the year</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44,720</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34,419</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26,730</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Maximum month-end balance</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52,655</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42,828</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28,141</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Weighted-average rate at December 31</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4.10%</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Weighted-average rate during the year</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6.01%</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bl>
    <w:p>
      <w:pPr>
        <w:spacing w:after="0" w:line="4" w:lineRule="exact"/>
        <w:rPr>
          <w:sz w:val="20"/>
          <w:szCs w:val="20"/>
          <w:color w:val="auto"/>
        </w:rPr>
      </w:pPr>
    </w:p>
    <w:p>
      <w:pPr>
        <w:ind w:left="180" w:hanging="172"/>
        <w:spacing w:after="0"/>
        <w:tabs>
          <w:tab w:leader="none" w:pos="18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Borrowed Funds-Commercial paper: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gridSpan w:val="3"/>
          </w:tcPr>
          <w:p>
            <w:pPr>
              <w:spacing w:after="0"/>
              <w:rPr>
                <w:sz w:val="20"/>
                <w:szCs w:val="20"/>
                <w:color w:val="auto"/>
              </w:rPr>
            </w:pPr>
            <w:r>
              <w:rPr>
                <w:rFonts w:ascii="Courier New" w:cs="Courier New" w:eastAsia="Courier New" w:hAnsi="Courier New"/>
                <w:sz w:val="14"/>
                <w:szCs w:val="14"/>
                <w:color w:val="auto"/>
              </w:rPr>
              <w:t>Balance at year-end</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$ 6,275</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$ 5,841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$ 3,888</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3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daily balance during the year</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5,672</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4,403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3,918</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Maximum</w:t>
            </w:r>
          </w:p>
        </w:tc>
        <w:tc>
          <w:tcPr>
            <w:tcW w:w="31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month-end balance</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6,275</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5,841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4,354</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Weighted-average</w:t>
            </w:r>
          </w:p>
        </w:tc>
        <w:tc>
          <w:tcPr>
            <w:tcW w:w="2340" w:type="dxa"/>
            <w:vAlign w:val="bottom"/>
          </w:tcPr>
          <w:p>
            <w:pPr>
              <w:ind w:left="60"/>
              <w:spacing w:after="0"/>
              <w:rPr>
                <w:sz w:val="20"/>
                <w:szCs w:val="20"/>
                <w:color w:val="auto"/>
              </w:rPr>
            </w:pPr>
            <w:r>
              <w:rPr>
                <w:rFonts w:ascii="Courier New" w:cs="Courier New" w:eastAsia="Courier New" w:hAnsi="Courier New"/>
                <w:sz w:val="14"/>
                <w:szCs w:val="14"/>
                <w:color w:val="auto"/>
              </w:rPr>
              <w:t>rate at December 31</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5.52%</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2.93%</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Weighted-average</w:t>
            </w:r>
          </w:p>
        </w:tc>
        <w:tc>
          <w:tcPr>
            <w:tcW w:w="2340" w:type="dxa"/>
            <w:vAlign w:val="bottom"/>
          </w:tcPr>
          <w:p>
            <w:pPr>
              <w:ind w:left="60"/>
              <w:spacing w:after="0"/>
              <w:rPr>
                <w:sz w:val="20"/>
                <w:szCs w:val="20"/>
                <w:color w:val="auto"/>
              </w:rPr>
            </w:pPr>
            <w:r>
              <w:rPr>
                <w:rFonts w:ascii="Courier New" w:cs="Courier New" w:eastAsia="Courier New" w:hAnsi="Courier New"/>
                <w:sz w:val="14"/>
                <w:szCs w:val="14"/>
                <w:color w:val="auto"/>
              </w:rPr>
              <w:t>rate during the year</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5.77%</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3.31%</w:t>
            </w:r>
          </w:p>
        </w:tc>
      </w:tr>
    </w:tbl>
    <w:p>
      <w:pPr>
        <w:spacing w:after="0" w:line="4" w:lineRule="exact"/>
        <w:rPr>
          <w:sz w:val="20"/>
          <w:szCs w:val="20"/>
          <w:color w:val="auto"/>
        </w:rPr>
      </w:pPr>
    </w:p>
    <w:p>
      <w:pPr>
        <w:ind w:left="180" w:hanging="172"/>
        <w:spacing w:after="0"/>
        <w:tabs>
          <w:tab w:leader="none" w:pos="18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Borrowed Funds-Other borrowings: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gridSpan w:val="3"/>
          </w:tcPr>
          <w:p>
            <w:pPr>
              <w:spacing w:after="0"/>
              <w:rPr>
                <w:sz w:val="20"/>
                <w:szCs w:val="20"/>
                <w:color w:val="auto"/>
              </w:rPr>
            </w:pPr>
            <w:r>
              <w:rPr>
                <w:rFonts w:ascii="Courier New" w:cs="Courier New" w:eastAsia="Courier New" w:hAnsi="Courier New"/>
                <w:sz w:val="14"/>
                <w:szCs w:val="14"/>
                <w:color w:val="auto"/>
              </w:rPr>
              <w:t>Balance at year-end</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$ 7,661</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$ 5,939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$ 6,244</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Average</w:t>
            </w:r>
          </w:p>
        </w:tc>
        <w:tc>
          <w:tcPr>
            <w:tcW w:w="3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daily balance during the year</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5,956</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5,565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5,206</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Maximum</w:t>
            </w:r>
          </w:p>
        </w:tc>
        <w:tc>
          <w:tcPr>
            <w:tcW w:w="32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month-end balance</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9,117</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8,936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11,677</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Weighted-average</w:t>
            </w:r>
          </w:p>
        </w:tc>
        <w:tc>
          <w:tcPr>
            <w:tcW w:w="2460" w:type="dxa"/>
            <w:vAlign w:val="bottom"/>
          </w:tcPr>
          <w:p>
            <w:pPr>
              <w:ind w:left="60"/>
              <w:spacing w:after="0"/>
              <w:rPr>
                <w:sz w:val="20"/>
                <w:szCs w:val="20"/>
                <w:color w:val="auto"/>
              </w:rPr>
            </w:pPr>
            <w:r>
              <w:rPr>
                <w:rFonts w:ascii="Courier New" w:cs="Courier New" w:eastAsia="Courier New" w:hAnsi="Courier New"/>
                <w:sz w:val="14"/>
                <w:szCs w:val="14"/>
                <w:color w:val="auto"/>
              </w:rPr>
              <w:t>rate at December 31(a)</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6.96%</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22.76%</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Weighted-average</w:t>
            </w:r>
          </w:p>
        </w:tc>
        <w:tc>
          <w:tcPr>
            <w:tcW w:w="2460" w:type="dxa"/>
            <w:vAlign w:val="bottom"/>
          </w:tcPr>
          <w:p>
            <w:pPr>
              <w:ind w:left="60"/>
              <w:spacing w:after="0"/>
              <w:rPr>
                <w:sz w:val="20"/>
                <w:szCs w:val="20"/>
                <w:color w:val="auto"/>
              </w:rPr>
            </w:pPr>
            <w:r>
              <w:rPr>
                <w:rFonts w:ascii="Courier New" w:cs="Courier New" w:eastAsia="Courier New" w:hAnsi="Courier New"/>
                <w:sz w:val="14"/>
                <w:szCs w:val="14"/>
                <w:color w:val="auto"/>
              </w:rPr>
              <w:t>rate during the year(a)</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11.08%</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20.86%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firstLine="8"/>
        <w:spacing w:after="0" w:line="251" w:lineRule="auto"/>
        <w:tabs>
          <w:tab w:leader="none" w:pos="344"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interest rates denoted above reflect the high levels of local interest rates prevailing in certain Latin American countries with highly inflationary economies. The 1995 and 1994 rates reflect lower interest rates due to the significant decrease in Brazilian inflation beginning in the third quarter of 1994.</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Federal funds purchased represents overnight funds. Securities sold under repurchase agreements generally mature between one day and three months. Commercial paper is generally issued in amounts not less than $100,000 and with maturities of 270 days or less. Other borrowings consist of demand notes, term federal funds purchased, and various other borrowings in domestic and foreign offices that generally have maturities of one year or less.</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At December 31, 1995, the Corporation had unused lines of credit available for general corporate purposes, including the payment of commercial paper borrowings, amounting to $1.5 billion.</w:t>
      </w:r>
    </w:p>
    <w:p>
      <w:pPr>
        <w:spacing w:after="0" w:line="163" w:lineRule="exact"/>
        <w:rPr>
          <w:sz w:val="20"/>
          <w:szCs w:val="20"/>
          <w:color w:val="auto"/>
        </w:rPr>
      </w:pPr>
    </w:p>
    <w:p>
      <w:pPr>
        <w:ind w:right="4979" w:firstLine="8"/>
        <w:spacing w:after="0" w:line="505" w:lineRule="auto"/>
        <w:tabs>
          <w:tab w:leader="none" w:pos="258"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FOR OTHER FINANCIAL SERVICES AND OTHER REVENUE Details of fees for other financial services were as follows: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c>
          <w:tcPr>
            <w:tcW w:w="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Commissions on Letters of Credit and Acceptances</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350</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334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  325</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Fees</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in Lieu of Compensating Balances</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281</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334</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Mortgage Servicing Fees</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212</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Loan</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Commitment Fees</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487</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483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Fees for Other Financial Services</w:t>
            </w:r>
          </w:p>
        </w:tc>
        <w:tc>
          <w:tcPr>
            <w:tcW w:w="11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$1,453</w:t>
            </w:r>
          </w:p>
        </w:tc>
        <w:tc>
          <w:tcPr>
            <w:tcW w:w="7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$1,413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$1,343</w:t>
            </w:r>
          </w:p>
        </w:tc>
      </w:tr>
    </w:tbl>
    <w:p>
      <w:pPr>
        <w:spacing w:after="0" w:line="4" w:lineRule="exact"/>
        <w:rPr>
          <w:sz w:val="20"/>
          <w:szCs w:val="20"/>
          <w:color w:val="auto"/>
        </w:rPr>
      </w:pPr>
    </w:p>
    <w:p>
      <w:pPr>
        <w:ind w:left="180" w:hanging="172"/>
        <w:spacing w:after="0"/>
        <w:tabs>
          <w:tab w:leader="none" w:pos="18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Details of other revenue were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Revenue from Equity-Related Investments</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626</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577</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537</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Gains (Losses) on Emerging Markets</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Securities Sales</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c>
          <w:tcPr>
            <w:tcW w:w="22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233</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469</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Gains on the Sale of Nonstrategic Businesses</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w:t>
            </w:r>
          </w:p>
        </w:tc>
        <w:tc>
          <w:tcPr>
            <w:tcW w:w="22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Accelerated Disposition Gains</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104</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291</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Residential Mortgage Origination/Sales</w:t>
            </w: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Activities</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179</w:t>
            </w:r>
          </w:p>
        </w:tc>
        <w:tc>
          <w:tcPr>
            <w:tcW w:w="22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(115)(a)</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All Other Revenue</w:t>
            </w:r>
          </w:p>
        </w:tc>
        <w:tc>
          <w:tcPr>
            <w:tcW w:w="8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251</w:t>
            </w:r>
          </w:p>
        </w:tc>
        <w:tc>
          <w:tcPr>
            <w:tcW w:w="22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207</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120" w:val="left"/>
          <w:tab w:leader="none" w:pos="4820" w:val="left"/>
          <w:tab w:leader="none" w:pos="5580" w:val="left"/>
        </w:tabs>
        <w:rPr>
          <w:sz w:val="20"/>
          <w:szCs w:val="20"/>
          <w:color w:val="auto"/>
        </w:rPr>
      </w:pPr>
      <w:r>
        <w:rPr>
          <w:rFonts w:ascii="Courier New" w:cs="Courier New" w:eastAsia="Courier New" w:hAnsi="Courier New"/>
          <w:sz w:val="14"/>
          <w:szCs w:val="14"/>
          <w:color w:val="auto"/>
        </w:rPr>
        <w:t>Total Other Revenue</w:t>
      </w:r>
      <w:r>
        <w:rPr>
          <w:sz w:val="20"/>
          <w:szCs w:val="20"/>
          <w:color w:val="auto"/>
        </w:rPr>
        <w:tab/>
      </w:r>
      <w:r>
        <w:rPr>
          <w:rFonts w:ascii="Courier New" w:cs="Courier New" w:eastAsia="Courier New" w:hAnsi="Courier New"/>
          <w:sz w:val="14"/>
          <w:szCs w:val="14"/>
          <w:color w:val="auto"/>
        </w:rPr>
        <w:t>$1,092</w:t>
        <w:tab/>
        <w:t>$1,239</w:t>
      </w:r>
      <w:r>
        <w:rPr>
          <w:sz w:val="20"/>
          <w:szCs w:val="20"/>
          <w:color w:val="auto"/>
        </w:rPr>
        <w:tab/>
      </w:r>
      <w:r>
        <w:rPr>
          <w:rFonts w:ascii="Courier New" w:cs="Courier New" w:eastAsia="Courier New" w:hAnsi="Courier New"/>
          <w:sz w:val="14"/>
          <w:szCs w:val="14"/>
          <w:color w:val="auto"/>
        </w:rPr>
        <w:t>$1,350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left="360" w:hanging="352"/>
        <w:spacing w:after="0"/>
        <w:tabs>
          <w:tab w:leader="none" w:pos="36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$161 million of accelerated mortgage servicing writedowns.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10. LONG-TERM DEBT</w:t>
      </w:r>
    </w:p>
    <w:p>
      <w:pPr>
        <w:spacing w:after="0" w:line="173"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The accompanying table is a summary of long-term debt (net of unamortized original issue debt discount, where applicable) displayed by remaining maturity at December 31, 1995. The distribution by remaining maturity is based on contractual maturity of the debt.</w:t>
      </w:r>
    </w:p>
    <w:p>
      <w:pPr>
        <w:sectPr>
          <w:pgSz w:w="11900" w:h="16838" w:orient="portrait"/>
          <w:cols w:equalWidth="0" w:num="1">
            <w:col w:w="10239"/>
          </w:cols>
          <w:pgMar w:left="220" w:top="285" w:right="1440" w:bottom="0" w:gutter="0" w:footer="0" w:header="0"/>
        </w:sectPr>
      </w:pPr>
    </w:p>
    <w:p>
      <w:pPr>
        <w:spacing w:after="0" w:line="162"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285" w:right="1440" w:bottom="0" w:gutter="0" w:footer="0" w:header="0"/>
          <w:type w:val="continuous"/>
        </w:sectPr>
      </w:pPr>
    </w:p>
    <w:bookmarkStart w:id="83" w:name="page84"/>
    <w:bookmarkEnd w:id="83"/>
    <w:p>
      <w:pPr>
        <w:ind w:left="260"/>
        <w:spacing w:after="0"/>
        <w:rPr>
          <w:sz w:val="20"/>
          <w:szCs w:val="20"/>
          <w:color w:val="auto"/>
        </w:rPr>
      </w:pPr>
      <w:r>
        <w:rPr>
          <w:rFonts w:ascii="Courier New" w:cs="Courier New" w:eastAsia="Courier New" w:hAnsi="Courier New"/>
          <w:sz w:val="14"/>
          <w:szCs w:val="14"/>
          <w:color w:val="auto"/>
        </w:rPr>
        <w:t>47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304" w:lineRule="exact"/>
        <w:rPr>
          <w:sz w:val="20"/>
          <w:szCs w:val="20"/>
          <w:color w:val="auto"/>
        </w:rPr>
      </w:pPr>
    </w:p>
    <w:p>
      <w:pPr>
        <w:ind w:left="5260"/>
        <w:spacing w:after="0"/>
        <w:tabs>
          <w:tab w:leader="none" w:pos="7820" w:val="left"/>
          <w:tab w:leader="none" w:pos="9120" w:val="left"/>
          <w:tab w:leader="none" w:pos="10240" w:val="left"/>
        </w:tabs>
        <w:rPr>
          <w:sz w:val="20"/>
          <w:szCs w:val="20"/>
          <w:color w:val="auto"/>
        </w:rPr>
      </w:pPr>
      <w:r>
        <w:rPr>
          <w:rFonts w:ascii="Courier New" w:cs="Courier New" w:eastAsia="Courier New" w:hAnsi="Courier New"/>
          <w:sz w:val="14"/>
          <w:szCs w:val="14"/>
          <w:color w:val="auto"/>
        </w:rPr>
        <w:t>Under</w:t>
      </w:r>
      <w:r>
        <w:rPr>
          <w:sz w:val="20"/>
          <w:szCs w:val="20"/>
          <w:color w:val="auto"/>
        </w:rPr>
        <w:tab/>
      </w:r>
      <w:r>
        <w:rPr>
          <w:rFonts w:ascii="Courier New" w:cs="Courier New" w:eastAsia="Courier New" w:hAnsi="Courier New"/>
          <w:sz w:val="14"/>
          <w:szCs w:val="14"/>
          <w:color w:val="auto"/>
        </w:rPr>
        <w:t>After</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tabs>
          <w:tab w:leader="none" w:pos="5240" w:val="left"/>
          <w:tab w:leader="none" w:pos="6360" w:val="left"/>
          <w:tab w:leader="none" w:pos="7740" w:val="left"/>
          <w:tab w:leader="none" w:pos="9120" w:val="left"/>
          <w:tab w:leader="none" w:pos="10240" w:val="left"/>
        </w:tabs>
        <w:rPr>
          <w:sz w:val="20"/>
          <w:szCs w:val="20"/>
          <w:color w:val="auto"/>
        </w:rPr>
      </w:pPr>
      <w:r>
        <w:rPr>
          <w:rFonts w:ascii="Courier New" w:cs="Courier New" w:eastAsia="Courier New" w:hAnsi="Courier New"/>
          <w:sz w:val="14"/>
          <w:szCs w:val="14"/>
          <w:color w:val="auto"/>
        </w:rPr>
        <w:t>By remaining maturity at December 31, (in millions)</w:t>
      </w:r>
      <w:r>
        <w:rPr>
          <w:sz w:val="20"/>
          <w:szCs w:val="20"/>
          <w:color w:val="auto"/>
        </w:rPr>
        <w:tab/>
      </w:r>
      <w:r>
        <w:rPr>
          <w:rFonts w:ascii="Courier New" w:cs="Courier New" w:eastAsia="Courier New" w:hAnsi="Courier New"/>
          <w:sz w:val="14"/>
          <w:szCs w:val="14"/>
          <w:color w:val="auto"/>
        </w:rPr>
        <w:t>1 year</w:t>
      </w:r>
      <w:r>
        <w:rPr>
          <w:sz w:val="20"/>
          <w:szCs w:val="20"/>
          <w:color w:val="auto"/>
        </w:rPr>
        <w:tab/>
      </w:r>
      <w:r>
        <w:rPr>
          <w:rFonts w:ascii="Courier New" w:cs="Courier New" w:eastAsia="Courier New" w:hAnsi="Courier New"/>
          <w:sz w:val="14"/>
          <w:szCs w:val="14"/>
          <w:color w:val="auto"/>
        </w:rPr>
        <w:t>1-5 years</w:t>
      </w:r>
      <w:r>
        <w:rPr>
          <w:sz w:val="20"/>
          <w:szCs w:val="20"/>
          <w:color w:val="auto"/>
        </w:rPr>
        <w:tab/>
      </w:r>
      <w:r>
        <w:rPr>
          <w:rFonts w:ascii="Courier New" w:cs="Courier New" w:eastAsia="Courier New" w:hAnsi="Courier New"/>
          <w:sz w:val="14"/>
          <w:szCs w:val="14"/>
          <w:color w:val="auto"/>
        </w:rPr>
        <w:t>5 years</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Total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Parent Company:</w:t>
            </w:r>
          </w:p>
        </w:tc>
        <w:tc>
          <w:tcPr>
            <w:tcW w:w="2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Senior Debt:</w:t>
            </w:r>
          </w:p>
        </w:tc>
        <w:tc>
          <w:tcPr>
            <w:tcW w:w="2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Fixed Rate</w:t>
            </w:r>
          </w:p>
        </w:tc>
        <w:tc>
          <w:tcPr>
            <w:tcW w:w="2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393</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$1,090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20</w:t>
            </w:r>
          </w:p>
        </w:tc>
        <w:tc>
          <w:tcPr>
            <w:tcW w:w="48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1,503</w:t>
            </w:r>
          </w:p>
        </w:tc>
        <w:tc>
          <w:tcPr>
            <w:tcW w:w="4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1,497</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Variable Rate</w:t>
            </w:r>
          </w:p>
        </w:tc>
        <w:tc>
          <w:tcPr>
            <w:tcW w:w="2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805</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1,189</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325</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2,319</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2,631</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Modified Interest Rates(a)</w:t>
            </w:r>
          </w:p>
        </w:tc>
        <w:tc>
          <w:tcPr>
            <w:tcW w:w="2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5.56 - 9.80%</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5.30 - 8.31%</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5.73 - 10.21%</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5.30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10.21%</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3.23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10.85%</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Subordinated Debt:</w:t>
            </w:r>
          </w:p>
        </w:tc>
        <w:tc>
          <w:tcPr>
            <w:tcW w:w="2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Fixed Rate</w:t>
            </w:r>
          </w:p>
        </w:tc>
        <w:tc>
          <w:tcPr>
            <w:tcW w:w="2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1,900</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3,537</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5,437</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4,451</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Variable Rate</w:t>
            </w:r>
          </w:p>
        </w:tc>
        <w:tc>
          <w:tcPr>
            <w:tcW w:w="2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567</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708</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1,275</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rPr>
              <w:t>1,311</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Modified Interest Rates(a)</w:t>
            </w:r>
          </w:p>
        </w:tc>
        <w:tc>
          <w:tcPr>
            <w:tcW w:w="2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6.19 - 10.38%</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5.71 - 9.38%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5.71</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60"/>
              <w:spacing w:after="0"/>
              <w:rPr>
                <w:sz w:val="20"/>
                <w:szCs w:val="20"/>
                <w:color w:val="auto"/>
              </w:rPr>
            </w:pPr>
            <w:r>
              <w:rPr>
                <w:rFonts w:ascii="Courier New" w:cs="Courier New" w:eastAsia="Courier New" w:hAnsi="Courier New"/>
                <w:sz w:val="14"/>
                <w:szCs w:val="14"/>
                <w:color w:val="auto"/>
              </w:rPr>
              <w:t>10.38%</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5.33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ind w:left="40"/>
              <w:spacing w:after="0"/>
              <w:rPr>
                <w:sz w:val="20"/>
                <w:szCs w:val="20"/>
                <w:color w:val="auto"/>
              </w:rPr>
            </w:pPr>
            <w:r>
              <w:rPr>
                <w:rFonts w:ascii="Courier New" w:cs="Courier New" w:eastAsia="Courier New" w:hAnsi="Courier New"/>
                <w:sz w:val="14"/>
                <w:szCs w:val="14"/>
                <w:color w:val="auto"/>
                <w:w w:val="99"/>
              </w:rPr>
              <w:t>10.38%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84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3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1,198</w:t>
            </w:r>
          </w:p>
        </w:tc>
        <w:tc>
          <w:tcPr>
            <w:tcW w:w="13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4,746</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4,590</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10,534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9,890</w:t>
            </w:r>
          </w:p>
        </w:tc>
      </w:tr>
    </w:tbl>
    <w:p>
      <w:pPr>
        <w:spacing w:after="0" w:line="4" w:lineRule="exact"/>
        <w:rPr>
          <w:sz w:val="20"/>
          <w:szCs w:val="20"/>
          <w:color w:val="auto"/>
        </w:rPr>
      </w:pPr>
    </w:p>
    <w:p>
      <w:pPr>
        <w:ind w:left="180" w:hanging="172"/>
        <w:spacing w:after="0"/>
        <w:tabs>
          <w:tab w:leader="none" w:pos="18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1042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Senior Debt: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Fixed Rate</w:t>
            </w:r>
          </w:p>
        </w:tc>
        <w:tc>
          <w:tcPr>
            <w:tcW w:w="2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477</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918</w:t>
            </w: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Variable Rate</w:t>
            </w:r>
          </w:p>
        </w:tc>
        <w:tc>
          <w:tcPr>
            <w:tcW w:w="2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710</w:t>
            </w: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Modified Interest Rates(a)</w:t>
            </w:r>
          </w:p>
        </w:tc>
        <w:tc>
          <w:tcPr>
            <w:tcW w:w="2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4.75 - 14.00%</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2.67 - 14.50%</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4.00 - 10.50%</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2.67 - 14.50%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3.50 - 10.52%</w:t>
            </w:r>
          </w:p>
        </w:tc>
      </w:tr>
      <w:tr>
        <w:trPr>
          <w:trHeight w:val="166"/>
        </w:trPr>
        <w:tc>
          <w:tcPr>
            <w:tcW w:w="3580" w:type="dxa"/>
            <w:vAlign w:val="bottom"/>
          </w:tcPr>
          <w:p>
            <w:pPr>
              <w:spacing w:after="0"/>
              <w:rPr>
                <w:sz w:val="20"/>
                <w:szCs w:val="20"/>
                <w:color w:val="auto"/>
              </w:rPr>
            </w:pPr>
            <w:r>
              <w:rPr>
                <w:rFonts w:ascii="Courier New" w:cs="Courier New" w:eastAsia="Courier New" w:hAnsi="Courier New"/>
                <w:sz w:val="14"/>
                <w:szCs w:val="14"/>
                <w:color w:val="auto"/>
              </w:rPr>
              <w:t>Subordinated Debt:</w:t>
            </w:r>
          </w:p>
        </w:tc>
        <w:tc>
          <w:tcPr>
            <w:tcW w:w="2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Fixed Rate</w:t>
            </w:r>
          </w:p>
        </w:tc>
        <w:tc>
          <w:tcPr>
            <w:tcW w:w="2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969</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947</w:t>
            </w: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Variable Rate</w:t>
            </w:r>
          </w:p>
        </w:tc>
        <w:tc>
          <w:tcPr>
            <w:tcW w:w="2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346</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596</w:t>
            </w:r>
          </w:p>
        </w:tc>
      </w:tr>
      <w:tr>
        <w:trPr>
          <w:trHeight w:val="166"/>
        </w:trPr>
        <w:tc>
          <w:tcPr>
            <w:tcW w:w="3580" w:type="dxa"/>
            <w:vAlign w:val="bottom"/>
          </w:tcPr>
          <w:p>
            <w:pPr>
              <w:ind w:left="180"/>
              <w:spacing w:after="0"/>
              <w:rPr>
                <w:sz w:val="20"/>
                <w:szCs w:val="20"/>
                <w:color w:val="auto"/>
              </w:rPr>
            </w:pPr>
            <w:r>
              <w:rPr>
                <w:rFonts w:ascii="Courier New" w:cs="Courier New" w:eastAsia="Courier New" w:hAnsi="Courier New"/>
                <w:sz w:val="14"/>
                <w:szCs w:val="14"/>
                <w:color w:val="auto"/>
              </w:rPr>
              <w:t>Modified Interest Rates(a)</w:t>
            </w:r>
          </w:p>
        </w:tc>
        <w:tc>
          <w:tcPr>
            <w:tcW w:w="2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5.75 - 6.21%</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6.00 - 7.25%</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5.75 - 7.25%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5.64 - 7.25%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spacing w:after="0"/>
        <w:tabs>
          <w:tab w:leader="none" w:pos="5580" w:val="left"/>
          <w:tab w:leader="none" w:pos="6800" w:val="left"/>
          <w:tab w:leader="none" w:pos="8000" w:val="left"/>
          <w:tab w:leader="none" w:pos="9300" w:val="left"/>
          <w:tab w:leader="none" w:pos="10580" w:val="left"/>
        </w:tabs>
        <w:rPr>
          <w:sz w:val="20"/>
          <w:szCs w:val="20"/>
          <w:color w:val="auto"/>
        </w:rPr>
      </w:pPr>
      <w:r>
        <w:rPr>
          <w:rFonts w:ascii="Courier New" w:cs="Courier New" w:eastAsia="Courier New" w:hAnsi="Courier New"/>
          <w:sz w:val="14"/>
          <w:szCs w:val="14"/>
          <w:color w:val="auto"/>
        </w:rPr>
        <w:t>Subtotal</w:t>
      </w:r>
      <w:r>
        <w:rPr>
          <w:sz w:val="20"/>
          <w:szCs w:val="20"/>
          <w:color w:val="auto"/>
        </w:rPr>
        <w:tab/>
      </w:r>
      <w:r>
        <w:rPr>
          <w:rFonts w:ascii="Courier New" w:cs="Courier New" w:eastAsia="Courier New" w:hAnsi="Courier New"/>
          <w:sz w:val="14"/>
          <w:szCs w:val="14"/>
          <w:color w:val="auto"/>
        </w:rPr>
        <w:t>40</w:t>
      </w:r>
      <w:r>
        <w:rPr>
          <w:sz w:val="20"/>
          <w:szCs w:val="20"/>
          <w:color w:val="auto"/>
        </w:rPr>
        <w:tab/>
      </w:r>
      <w:r>
        <w:rPr>
          <w:rFonts w:ascii="Courier New" w:cs="Courier New" w:eastAsia="Courier New" w:hAnsi="Courier New"/>
          <w:sz w:val="14"/>
          <w:szCs w:val="14"/>
          <w:color w:val="auto"/>
        </w:rPr>
        <w:t>823</w:t>
      </w:r>
      <w:r>
        <w:rPr>
          <w:sz w:val="20"/>
          <w:szCs w:val="20"/>
          <w:color w:val="auto"/>
        </w:rPr>
        <w:tab/>
      </w:r>
      <w:r>
        <w:rPr>
          <w:rFonts w:ascii="Courier New" w:cs="Courier New" w:eastAsia="Courier New" w:hAnsi="Courier New"/>
          <w:sz w:val="14"/>
          <w:szCs w:val="14"/>
          <w:color w:val="auto"/>
        </w:rPr>
        <w:t>1,428</w:t>
      </w:r>
      <w:r>
        <w:rPr>
          <w:sz w:val="20"/>
          <w:szCs w:val="20"/>
          <w:color w:val="auto"/>
        </w:rPr>
        <w:tab/>
      </w:r>
      <w:r>
        <w:rPr>
          <w:rFonts w:ascii="Courier New" w:cs="Courier New" w:eastAsia="Courier New" w:hAnsi="Courier New"/>
          <w:sz w:val="14"/>
          <w:szCs w:val="14"/>
          <w:color w:val="auto"/>
        </w:rPr>
        <w:t>2,291</w:t>
      </w:r>
      <w:r>
        <w:rPr>
          <w:sz w:val="20"/>
          <w:szCs w:val="20"/>
          <w:color w:val="auto"/>
        </w:rPr>
        <w:tab/>
      </w:r>
      <w:r>
        <w:rPr>
          <w:rFonts w:ascii="Courier New" w:cs="Courier New" w:eastAsia="Courier New" w:hAnsi="Courier New"/>
          <w:sz w:val="14"/>
          <w:szCs w:val="14"/>
          <w:color w:val="auto"/>
        </w:rPr>
        <w:t>3,171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5240" w:val="left"/>
          <w:tab w:leader="none" w:pos="6540" w:val="left"/>
          <w:tab w:leader="none" w:pos="7920" w:val="left"/>
          <w:tab w:leader="none" w:pos="9120" w:val="left"/>
          <w:tab w:leader="none" w:pos="10420" w:val="left"/>
        </w:tabs>
        <w:rPr>
          <w:sz w:val="20"/>
          <w:szCs w:val="20"/>
          <w:color w:val="auto"/>
        </w:rPr>
      </w:pPr>
      <w:r>
        <w:rPr>
          <w:rFonts w:ascii="Courier New" w:cs="Courier New" w:eastAsia="Courier New" w:hAnsi="Courier New"/>
          <w:sz w:val="14"/>
          <w:szCs w:val="14"/>
          <w:color w:val="auto"/>
        </w:rPr>
        <w:t>Total Long-Term Debt</w:t>
      </w:r>
      <w:r>
        <w:rPr>
          <w:sz w:val="20"/>
          <w:szCs w:val="20"/>
          <w:color w:val="auto"/>
        </w:rPr>
        <w:tab/>
      </w:r>
      <w:r>
        <w:rPr>
          <w:rFonts w:ascii="Courier New" w:cs="Courier New" w:eastAsia="Courier New" w:hAnsi="Courier New"/>
          <w:sz w:val="14"/>
          <w:szCs w:val="14"/>
          <w:color w:val="auto"/>
        </w:rPr>
        <w:t>$1,238</w:t>
      </w:r>
      <w:r>
        <w:rPr>
          <w:sz w:val="20"/>
          <w:szCs w:val="20"/>
          <w:color w:val="auto"/>
        </w:rPr>
        <w:tab/>
      </w:r>
      <w:r>
        <w:rPr>
          <w:rFonts w:ascii="Courier New" w:cs="Courier New" w:eastAsia="Courier New" w:hAnsi="Courier New"/>
          <w:sz w:val="14"/>
          <w:szCs w:val="14"/>
          <w:color w:val="auto"/>
        </w:rPr>
        <w:t>$5,569</w:t>
      </w:r>
      <w:r>
        <w:rPr>
          <w:sz w:val="20"/>
          <w:szCs w:val="20"/>
          <w:color w:val="auto"/>
        </w:rPr>
        <w:tab/>
      </w:r>
      <w:r>
        <w:rPr>
          <w:rFonts w:ascii="Courier New" w:cs="Courier New" w:eastAsia="Courier New" w:hAnsi="Courier New"/>
          <w:sz w:val="14"/>
          <w:szCs w:val="14"/>
          <w:color w:val="auto"/>
        </w:rPr>
        <w:t>$6,018</w:t>
      </w:r>
      <w:r>
        <w:rPr>
          <w:sz w:val="20"/>
          <w:szCs w:val="20"/>
          <w:color w:val="auto"/>
        </w:rPr>
        <w:tab/>
      </w:r>
      <w:r>
        <w:rPr>
          <w:rFonts w:ascii="Courier New" w:cs="Courier New" w:eastAsia="Courier New" w:hAnsi="Courier New"/>
          <w:sz w:val="14"/>
          <w:szCs w:val="14"/>
          <w:color w:val="auto"/>
        </w:rPr>
        <w:t>$12,825</w:t>
      </w:r>
      <w:r>
        <w:rPr>
          <w:sz w:val="20"/>
          <w:szCs w:val="20"/>
          <w:color w:val="auto"/>
        </w:rPr>
        <w:tab/>
      </w:r>
      <w:r>
        <w:rPr>
          <w:rFonts w:ascii="Courier New" w:cs="Courier New" w:eastAsia="Courier New" w:hAnsi="Courier New"/>
          <w:sz w:val="14"/>
          <w:szCs w:val="14"/>
          <w:color w:val="auto"/>
        </w:rPr>
        <w:t>$13,061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640" w:firstLine="8"/>
        <w:spacing w:after="0" w:line="251" w:lineRule="auto"/>
        <w:tabs>
          <w:tab w:leader="none" w:pos="344"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interest rates shown have been adjusted to reflect the effect of ALM derivative contracts, primarily interest rate swaps, used to convert a majority of the Corporation's fixed rate debt to variable rates. The interest rates shown for variable rate issues, including those converted to variable rate, are those in effect at December 31, 1995.</w:t>
      </w:r>
    </w:p>
    <w:p>
      <w:pPr>
        <w:spacing w:after="0" w:line="165" w:lineRule="exact"/>
        <w:rPr>
          <w:sz w:val="20"/>
          <w:szCs w:val="20"/>
          <w:color w:val="auto"/>
        </w:rPr>
      </w:pPr>
    </w:p>
    <w:p>
      <w:pPr>
        <w:ind w:right="4900" w:firstLine="431"/>
        <w:spacing w:after="0" w:line="255" w:lineRule="auto"/>
        <w:rPr>
          <w:sz w:val="20"/>
          <w:szCs w:val="20"/>
          <w:color w:val="auto"/>
        </w:rPr>
      </w:pPr>
      <w:r>
        <w:rPr>
          <w:rFonts w:ascii="Courier New" w:cs="Courier New" w:eastAsia="Courier New" w:hAnsi="Courier New"/>
          <w:sz w:val="14"/>
          <w:szCs w:val="14"/>
          <w:color w:val="auto"/>
        </w:rPr>
        <w:t>The Corporation issues long-term debt denominated in various currencies, predominately in U.S. dollars, with both fixed and variable interest rates.</w:t>
      </w:r>
    </w:p>
    <w:p>
      <w:pPr>
        <w:spacing w:after="0" w:line="160" w:lineRule="exact"/>
        <w:rPr>
          <w:sz w:val="20"/>
          <w:szCs w:val="20"/>
          <w:color w:val="auto"/>
        </w:rPr>
      </w:pPr>
    </w:p>
    <w:p>
      <w:pPr>
        <w:ind w:right="4720" w:firstLine="431"/>
        <w:spacing w:after="0" w:line="251" w:lineRule="auto"/>
        <w:rPr>
          <w:sz w:val="20"/>
          <w:szCs w:val="20"/>
          <w:color w:val="auto"/>
        </w:rPr>
      </w:pPr>
      <w:r>
        <w:rPr>
          <w:rFonts w:ascii="Courier New" w:cs="Courier New" w:eastAsia="Courier New" w:hAnsi="Courier New"/>
          <w:sz w:val="14"/>
          <w:szCs w:val="14"/>
          <w:color w:val="auto"/>
        </w:rPr>
        <w:t>Fixed-rate debt outstanding at December 31, 1995 matures at various dates through 2013 at contractual interest rates ranging from 2.67% to 14.50%. The consolidated weighted-average interest rates on fixed-rate debt at December 31, 1995 and 1994 were 7.81% and 7.67%, respectively. Variable-rate debt outstanding, with contractually-determined interest rates ranging from 5.34% to 6.63% at December 31, 1995, matures at various dates through 2009. The consolidated weighted-average interest rates on variable-rate debt at December 31, 1995 and 1994 were 5.99% and 5.79%, respectively.</w:t>
      </w:r>
    </w:p>
    <w:p>
      <w:pPr>
        <w:spacing w:after="0" w:line="164" w:lineRule="exact"/>
        <w:rPr>
          <w:sz w:val="20"/>
          <w:szCs w:val="20"/>
          <w:color w:val="auto"/>
        </w:rPr>
      </w:pPr>
    </w:p>
    <w:p>
      <w:pPr>
        <w:ind w:right="4720" w:firstLine="431"/>
        <w:spacing w:after="0" w:line="255" w:lineRule="auto"/>
        <w:rPr>
          <w:sz w:val="20"/>
          <w:szCs w:val="20"/>
          <w:color w:val="auto"/>
        </w:rPr>
      </w:pPr>
      <w:r>
        <w:rPr>
          <w:rFonts w:ascii="Courier New" w:cs="Courier New" w:eastAsia="Courier New" w:hAnsi="Courier New"/>
          <w:sz w:val="14"/>
          <w:szCs w:val="14"/>
          <w:color w:val="auto"/>
        </w:rPr>
        <w:t>Included in long-term debt are equity commitment notes and equity contract notes totaling $968 million at both December 31, 1995 and 1994.</w:t>
      </w:r>
    </w:p>
    <w:p>
      <w:pPr>
        <w:spacing w:after="0" w:line="160" w:lineRule="exact"/>
        <w:rPr>
          <w:sz w:val="20"/>
          <w:szCs w:val="20"/>
          <w:color w:val="auto"/>
        </w:rPr>
      </w:pPr>
    </w:p>
    <w:p>
      <w:pPr>
        <w:ind w:right="4720" w:firstLine="431"/>
        <w:spacing w:after="0" w:line="251" w:lineRule="auto"/>
        <w:rPr>
          <w:sz w:val="20"/>
          <w:szCs w:val="20"/>
          <w:color w:val="auto"/>
        </w:rPr>
      </w:pPr>
      <w:r>
        <w:rPr>
          <w:rFonts w:ascii="Courier New" w:cs="Courier New" w:eastAsia="Courier New" w:hAnsi="Courier New"/>
          <w:sz w:val="14"/>
          <w:szCs w:val="14"/>
          <w:color w:val="auto"/>
        </w:rPr>
        <w:t>Equity commitment notes require that the Corporation issue, prior to their maturity, shares of common stock or perpetual preferred stock or other securities of the Corporation (collectively, "Capital Securities") approved by the Board of Governors of the Federal Reserve System (the "Federal Reserve Board") equal to 100% of the original aggregate principal amount of the notes.</w:t>
      </w:r>
    </w:p>
    <w:p>
      <w:pPr>
        <w:spacing w:after="0" w:line="165" w:lineRule="exact"/>
        <w:rPr>
          <w:sz w:val="20"/>
          <w:szCs w:val="20"/>
          <w:color w:val="auto"/>
        </w:rPr>
      </w:pPr>
    </w:p>
    <w:p>
      <w:pPr>
        <w:ind w:right="4640" w:firstLine="431"/>
        <w:spacing w:after="0" w:line="252" w:lineRule="auto"/>
        <w:rPr>
          <w:sz w:val="20"/>
          <w:szCs w:val="20"/>
          <w:color w:val="auto"/>
        </w:rPr>
      </w:pPr>
      <w:r>
        <w:rPr>
          <w:rFonts w:ascii="Courier New" w:cs="Courier New" w:eastAsia="Courier New" w:hAnsi="Courier New"/>
          <w:sz w:val="14"/>
          <w:szCs w:val="14"/>
          <w:color w:val="auto"/>
        </w:rPr>
        <w:t>Equity contract notes require the Corporation to exchange the notes at maturity for Capital Securities with a market value equal to the principal amount of the notes or, at the Corporation's option, to pay the principal of the notes from amounts representing designated proceeds from the sale of Capital Securities.</w:t>
      </w:r>
    </w:p>
    <w:p>
      <w:pPr>
        <w:spacing w:after="0" w:line="328" w:lineRule="exact"/>
        <w:rPr>
          <w:sz w:val="20"/>
          <w:szCs w:val="20"/>
          <w:color w:val="auto"/>
        </w:rPr>
      </w:pPr>
    </w:p>
    <w:p>
      <w:pPr>
        <w:ind w:right="4640" w:firstLine="431"/>
        <w:spacing w:after="0" w:line="252" w:lineRule="auto"/>
        <w:rPr>
          <w:sz w:val="20"/>
          <w:szCs w:val="20"/>
          <w:color w:val="auto"/>
        </w:rPr>
      </w:pPr>
      <w:r>
        <w:rPr>
          <w:rFonts w:ascii="Courier New" w:cs="Courier New" w:eastAsia="Courier New" w:hAnsi="Courier New"/>
          <w:sz w:val="14"/>
          <w:szCs w:val="14"/>
          <w:color w:val="auto"/>
        </w:rPr>
        <w:t>At December 31, 1995, the Corporation had designated proceeds from the sale of Capital Securities in an amount sufficient to satisfy fully the dedication requirements of its equity commitment and equity contract notes.</w:t>
      </w:r>
    </w:p>
    <w:p>
      <w:pPr>
        <w:spacing w:after="0" w:line="163" w:lineRule="exact"/>
        <w:rPr>
          <w:sz w:val="20"/>
          <w:szCs w:val="20"/>
          <w:color w:val="auto"/>
        </w:rPr>
      </w:pPr>
    </w:p>
    <w:p>
      <w:pPr>
        <w:ind w:right="5080" w:firstLine="431"/>
        <w:spacing w:after="0" w:line="252" w:lineRule="auto"/>
        <w:rPr>
          <w:sz w:val="20"/>
          <w:szCs w:val="20"/>
          <w:color w:val="auto"/>
        </w:rPr>
      </w:pPr>
      <w:r>
        <w:rPr>
          <w:rFonts w:ascii="Courier New" w:cs="Courier New" w:eastAsia="Courier New" w:hAnsi="Courier New"/>
          <w:sz w:val="14"/>
          <w:szCs w:val="14"/>
          <w:color w:val="auto"/>
        </w:rPr>
        <w:t>The Corporation has guaranteed several long-term debt issues of its subsidiaries. Such guaranteed debt totaled $420 million and $435 million at December 31, 1995 and 1994, respectively.</w:t>
      </w:r>
    </w:p>
    <w:p>
      <w:pPr>
        <w:spacing w:after="0" w:line="163" w:lineRule="exact"/>
        <w:rPr>
          <w:sz w:val="20"/>
          <w:szCs w:val="20"/>
          <w:color w:val="auto"/>
        </w:rPr>
      </w:pPr>
    </w:p>
    <w:p>
      <w:pPr>
        <w:ind w:right="5160" w:firstLine="431"/>
        <w:spacing w:after="0" w:line="252" w:lineRule="auto"/>
        <w:rPr>
          <w:sz w:val="20"/>
          <w:szCs w:val="20"/>
          <w:color w:val="auto"/>
        </w:rPr>
      </w:pPr>
      <w:r>
        <w:rPr>
          <w:rFonts w:ascii="Courier New" w:cs="Courier New" w:eastAsia="Courier New" w:hAnsi="Courier New"/>
          <w:sz w:val="14"/>
          <w:szCs w:val="14"/>
          <w:color w:val="auto"/>
        </w:rPr>
        <w:t>At December 31, 1995, long-term debt aggregating $1.7 billion was redeemable at the option of the Corporation, in whole or in part, prior to maturity, based on the terms specified in the respective notes.</w:t>
      </w:r>
    </w:p>
    <w:p>
      <w:pPr>
        <w:spacing w:after="0" w:line="163" w:lineRule="exact"/>
        <w:rPr>
          <w:sz w:val="20"/>
          <w:szCs w:val="20"/>
          <w:color w:val="auto"/>
        </w:rPr>
      </w:pPr>
    </w:p>
    <w:p>
      <w:pPr>
        <w:ind w:right="4640" w:firstLine="431"/>
        <w:spacing w:after="0" w:line="253" w:lineRule="auto"/>
        <w:rPr>
          <w:sz w:val="20"/>
          <w:szCs w:val="20"/>
          <w:color w:val="auto"/>
        </w:rPr>
      </w:pPr>
      <w:r>
        <w:rPr>
          <w:rFonts w:ascii="Courier New" w:cs="Courier New" w:eastAsia="Courier New" w:hAnsi="Courier New"/>
          <w:sz w:val="14"/>
          <w:szCs w:val="14"/>
          <w:color w:val="auto"/>
        </w:rPr>
        <w:t>The aggregate principal amount of debt that matures in each of the five years subsequent to December 31, 1995 are $1,238 million in 1996, $1,493 million in 1997, $860 million in 1998, $1,559 million in 1999, and $1,657 million in 2000.</w:t>
      </w:r>
    </w:p>
    <w:p>
      <w:pPr>
        <w:sectPr>
          <w:pgSz w:w="11900" w:h="16838" w:orient="portrait"/>
          <w:cols w:equalWidth="0" w:num="1">
            <w:col w:w="11540"/>
          </w:cols>
          <w:pgMar w:left="220" w:top="285" w:right="139" w:bottom="1440" w:gutter="0" w:footer="0" w:header="0"/>
        </w:sect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1540"/>
          </w:cols>
          <w:pgMar w:left="220" w:top="285" w:right="139" w:bottom="1440" w:gutter="0" w:footer="0" w:header="0"/>
          <w:type w:val="continuous"/>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48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PREFERRED STOCK</w:t>
      </w:r>
    </w:p>
    <w:p>
      <w:pPr>
        <w:spacing w:after="0" w:line="173" w:lineRule="exact"/>
        <w:rPr>
          <w:sz w:val="20"/>
          <w:szCs w:val="20"/>
          <w:color w:val="auto"/>
        </w:rPr>
      </w:pPr>
    </w:p>
    <w:p>
      <w:pPr>
        <w:ind w:right="4560"/>
        <w:spacing w:after="0" w:line="252" w:lineRule="auto"/>
        <w:rPr>
          <w:sz w:val="20"/>
          <w:szCs w:val="20"/>
          <w:color w:val="auto"/>
        </w:rPr>
      </w:pPr>
      <w:r>
        <w:rPr>
          <w:rFonts w:ascii="Courier New" w:cs="Courier New" w:eastAsia="Courier New" w:hAnsi="Courier New"/>
          <w:sz w:val="14"/>
          <w:szCs w:val="14"/>
          <w:color w:val="auto"/>
        </w:rPr>
        <w:t>The Corporation is authorized to issue 200 million shares of preferred stock, in one or more series, with a par value of $1 per share. At December 31, 1995 and 1994, approximately 82.0 million and 86.0 million shares, respectively, of preferred stock were outstanding.</w:t>
      </w:r>
    </w:p>
    <w:p>
      <w:pPr>
        <w:spacing w:after="0" w:line="162" w:lineRule="exact"/>
        <w:rPr>
          <w:sz w:val="20"/>
          <w:szCs w:val="20"/>
          <w:color w:val="auto"/>
        </w:rPr>
      </w:pPr>
    </w:p>
    <w:p>
      <w:pPr>
        <w:ind w:right="4740" w:firstLine="431"/>
        <w:spacing w:after="0" w:line="251" w:lineRule="auto"/>
        <w:rPr>
          <w:sz w:val="20"/>
          <w:szCs w:val="20"/>
          <w:color w:val="auto"/>
        </w:rPr>
      </w:pPr>
      <w:r>
        <w:rPr>
          <w:rFonts w:ascii="Courier New" w:cs="Courier New" w:eastAsia="Courier New" w:hAnsi="Courier New"/>
          <w:sz w:val="14"/>
          <w:szCs w:val="14"/>
          <w:color w:val="auto"/>
        </w:rPr>
        <w:t>During 1995, the Corporation called all of the outstanding shares of its 10% Convertible Preferred Stock for redemption. Substantially all of the 10% Convertible Preferred Stock was converted prior to the redemption date, at the option of the holders thereof, into approximately 7.6 million shares of the Corporation's common stock. The shares of common stock issued upon the conversion were issued from treasury.</w:t>
      </w:r>
    </w:p>
    <w:p>
      <w:pPr>
        <w:spacing w:after="0" w:line="164" w:lineRule="exact"/>
        <w:rPr>
          <w:sz w:val="20"/>
          <w:szCs w:val="20"/>
          <w:color w:val="auto"/>
        </w:rPr>
      </w:pPr>
    </w:p>
    <w:p>
      <w:pPr>
        <w:ind w:right="4640" w:firstLine="431"/>
        <w:spacing w:after="0" w:line="252" w:lineRule="auto"/>
        <w:rPr>
          <w:sz w:val="20"/>
          <w:szCs w:val="20"/>
          <w:color w:val="auto"/>
        </w:rPr>
      </w:pPr>
      <w:r>
        <w:rPr>
          <w:rFonts w:ascii="Courier New" w:cs="Courier New" w:eastAsia="Courier New" w:hAnsi="Courier New"/>
          <w:sz w:val="14"/>
          <w:szCs w:val="14"/>
          <w:color w:val="auto"/>
        </w:rPr>
        <w:t>At December 31, 1995, four million shares of preferred stock designated as Junior Participating Preferred Stock were reserved for issuance under the Corporation's Shareholders' Rights Plan (see Note Twenty Four).</w:t>
      </w:r>
    </w:p>
    <w:p>
      <w:pPr>
        <w:spacing w:after="0" w:line="163" w:lineRule="exact"/>
        <w:rPr>
          <w:sz w:val="20"/>
          <w:szCs w:val="20"/>
          <w:color w:val="auto"/>
        </w:rPr>
      </w:pPr>
    </w:p>
    <w:p>
      <w:pPr>
        <w:ind w:right="4560" w:firstLine="431"/>
        <w:spacing w:after="0" w:line="251" w:lineRule="auto"/>
        <w:rPr>
          <w:sz w:val="20"/>
          <w:szCs w:val="20"/>
          <w:color w:val="auto"/>
        </w:rPr>
      </w:pPr>
      <w:r>
        <w:rPr>
          <w:rFonts w:ascii="Courier New" w:cs="Courier New" w:eastAsia="Courier New" w:hAnsi="Courier New"/>
          <w:sz w:val="14"/>
          <w:szCs w:val="14"/>
          <w:color w:val="auto"/>
        </w:rPr>
        <w:t>During 1994, the Corporation redeemed all 33.6 million outstanding shares of its Adjustable Rate Cumulative Preferred Stock, Series C. The redemption price was $12.36 per share (which included a premium of $.36 per share) plus accrued but unpaid dividends to the date of redemption. Also during 1994, the Corporation redeemed all 4.5 million shares of Floating Rate Preferred Stock, Series F at a price of $50.00 per share plus accrued but unpaid dividends to the date of redemption. Two issues of preferred stock were issued during 1994 totaling $428 million.</w:t>
      </w:r>
    </w:p>
    <w:p>
      <w:pPr>
        <w:spacing w:after="0" w:line="164" w:lineRule="exact"/>
        <w:rPr>
          <w:sz w:val="20"/>
          <w:szCs w:val="20"/>
          <w:color w:val="auto"/>
        </w:rPr>
      </w:pPr>
    </w:p>
    <w:p>
      <w:pPr>
        <w:ind w:right="4560" w:firstLine="431"/>
        <w:spacing w:after="0" w:line="251" w:lineRule="auto"/>
        <w:rPr>
          <w:sz w:val="20"/>
          <w:szCs w:val="20"/>
          <w:color w:val="auto"/>
        </w:rPr>
      </w:pPr>
      <w:r>
        <w:rPr>
          <w:rFonts w:ascii="Courier New" w:cs="Courier New" w:eastAsia="Courier New" w:hAnsi="Courier New"/>
          <w:sz w:val="14"/>
          <w:szCs w:val="14"/>
          <w:color w:val="auto"/>
        </w:rPr>
        <w:t>Dividends on shares of each preferred stock issue are payable quarterly and are cumulative. All the preferred stocks outstanding have preference over the Corporation's common stock with respect to the payment of dividends and the distribution of assets in the event of a liquidation or dissolution of the Corporation.</w:t>
      </w:r>
    </w:p>
    <w:p>
      <w:pPr>
        <w:spacing w:after="0" w:line="165" w:lineRule="exact"/>
        <w:rPr>
          <w:sz w:val="20"/>
          <w:szCs w:val="20"/>
          <w:color w:val="auto"/>
        </w:rPr>
      </w:pPr>
    </w:p>
    <w:p>
      <w:pPr>
        <w:ind w:right="5500" w:firstLine="431"/>
        <w:spacing w:after="0" w:line="255" w:lineRule="auto"/>
        <w:rPr>
          <w:sz w:val="20"/>
          <w:szCs w:val="20"/>
          <w:color w:val="auto"/>
        </w:rPr>
      </w:pPr>
      <w:r>
        <w:rPr>
          <w:rFonts w:ascii="Courier New" w:cs="Courier New" w:eastAsia="Courier New" w:hAnsi="Courier New"/>
          <w:sz w:val="14"/>
          <w:szCs w:val="14"/>
          <w:color w:val="auto"/>
        </w:rPr>
        <w:t>The following is a summary of the Corporation's preferred stocks outstanding at December 31, 1995 and 1994: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60"/>
        <w:spacing w:after="0" w:line="250" w:lineRule="auto"/>
        <w:rPr>
          <w:sz w:val="20"/>
          <w:szCs w:val="20"/>
          <w:color w:val="auto"/>
        </w:rPr>
      </w:pPr>
      <w:r>
        <w:rPr>
          <w:rFonts w:ascii="Courier New" w:cs="Courier New" w:eastAsia="Courier New" w:hAnsi="Courier New"/>
          <w:sz w:val="14"/>
          <w:szCs w:val="14"/>
          <w:color w:val="auto"/>
        </w:rPr>
        <w:t>(DOLLARS AND SHARES IN MILLIONS, STATED OUTSTANDING AT DECEMBER 31 EARLIEST REDEMPTION RATES IN EFFECT AS EXCEPT PER SHARE DATA) VALUE SHARES 1995 1994 REDEMPTION DATE PRICE(B) DECEMBER 31, 1995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10.50% Cumulative</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$ 25.00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5.6</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$ 140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$ 140</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9/30/1998</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25.00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9.76%</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Cumulative</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9/30/1999</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9.760</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10.96% Cumulative</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6/30/2000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10.960</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10.84% Cumulative</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6/30/2001</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10.840</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10.00% Convertible</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50.00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9.08%</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Cumulative</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150</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3/31/1997</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9.080</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8.375% Cumulative</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350</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6/1/1997</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8.375</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8.50%</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Cumulative</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6.8</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170</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6/30/1997</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8.32%</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Cumulative</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9.6</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240</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9/30/1997</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8.320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7.92%</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Cumulative</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2.0(a)</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10/1/1997</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7.920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8.40%</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Cumulative</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6.9</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172</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172</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3/31/1998</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8.400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7.58%</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Cumulative</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2.0(a)</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4/1/1998</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7.580</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7.50%</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Cumulative</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2.0(a)</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6/1/1998</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100.00</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7.500</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Adjustable Rate, Series L</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100.00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6/30/1999</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5.502(c)</w:t>
            </w:r>
          </w:p>
        </w:tc>
      </w:tr>
      <w:tr>
        <w:trPr>
          <w:trHeight w:val="166"/>
        </w:trPr>
        <w:tc>
          <w:tcPr>
            <w:tcW w:w="2500" w:type="dxa"/>
            <w:vAlign w:val="bottom"/>
            <w:gridSpan w:val="2"/>
          </w:tcPr>
          <w:p>
            <w:pPr>
              <w:spacing w:after="0"/>
              <w:rPr>
                <w:sz w:val="20"/>
                <w:szCs w:val="20"/>
                <w:color w:val="auto"/>
              </w:rPr>
            </w:pPr>
            <w:r>
              <w:rPr>
                <w:rFonts w:ascii="Courier New" w:cs="Courier New" w:eastAsia="Courier New" w:hAnsi="Courier New"/>
                <w:sz w:val="14"/>
                <w:szCs w:val="14"/>
                <w:color w:val="auto"/>
              </w:rPr>
              <w:t>Adjustable Rate, Series N</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9.1</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228</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228</w:t>
            </w:r>
          </w:p>
        </w:tc>
        <w:tc>
          <w:tcPr>
            <w:tcW w:w="1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6/30/1999</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25.00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5.568(c)</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560" w:val="left"/>
          <w:tab w:leader="none" w:pos="5840" w:val="left"/>
        </w:tabs>
        <w:rPr>
          <w:sz w:val="20"/>
          <w:szCs w:val="20"/>
          <w:color w:val="auto"/>
        </w:rPr>
      </w:pPr>
      <w:r>
        <w:rPr>
          <w:rFonts w:ascii="Courier New" w:cs="Courier New" w:eastAsia="Courier New" w:hAnsi="Courier New"/>
          <w:sz w:val="14"/>
          <w:szCs w:val="14"/>
          <w:color w:val="auto"/>
        </w:rPr>
        <w:t>Total Preferred Stock</w:t>
      </w:r>
      <w:r>
        <w:rPr>
          <w:sz w:val="20"/>
          <w:szCs w:val="20"/>
          <w:color w:val="auto"/>
        </w:rPr>
        <w:tab/>
      </w:r>
      <w:r>
        <w:rPr>
          <w:rFonts w:ascii="Courier New" w:cs="Courier New" w:eastAsia="Courier New" w:hAnsi="Courier New"/>
          <w:sz w:val="14"/>
          <w:szCs w:val="14"/>
          <w:color w:val="auto"/>
        </w:rPr>
        <w:t>$2,650</w:t>
      </w:r>
      <w:r>
        <w:rPr>
          <w:sz w:val="20"/>
          <w:szCs w:val="20"/>
          <w:color w:val="auto"/>
        </w:rPr>
        <w:tab/>
      </w:r>
      <w:r>
        <w:rPr>
          <w:rFonts w:ascii="Courier New" w:cs="Courier New" w:eastAsia="Courier New" w:hAnsi="Courier New"/>
          <w:sz w:val="14"/>
          <w:szCs w:val="14"/>
          <w:color w:val="auto"/>
        </w:rPr>
        <w:t>$2,850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560" w:firstLine="8"/>
        <w:spacing w:after="0" w:line="250" w:lineRule="auto"/>
        <w:tabs>
          <w:tab w:leader="none" w:pos="344"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each series are represented by 8.0 million depositary shares, each representing .25 of a share.</w:t>
      </w:r>
    </w:p>
    <w:p>
      <w:pPr>
        <w:ind w:left="360" w:hanging="352"/>
        <w:spacing w:after="0"/>
        <w:tabs>
          <w:tab w:leader="none" w:pos="36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Plus accrued but unpaid dividends.</w:t>
      </w:r>
    </w:p>
    <w:p>
      <w:pPr>
        <w:spacing w:after="0" w:line="7" w:lineRule="exact"/>
        <w:rPr>
          <w:rFonts w:ascii="Courier New" w:cs="Courier New" w:eastAsia="Courier New" w:hAnsi="Courier New"/>
          <w:sz w:val="14"/>
          <w:szCs w:val="14"/>
          <w:color w:val="auto"/>
        </w:rPr>
      </w:pPr>
    </w:p>
    <w:p>
      <w:pPr>
        <w:ind w:right="5000" w:firstLine="8"/>
        <w:spacing w:after="0" w:line="252" w:lineRule="auto"/>
        <w:tabs>
          <w:tab w:leader="none" w:pos="344"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Floating rates are based on certain money market rates. The minimum and maximum rates are 4.50% and 10.50%, respectively, for each of Series L and Series N Preferred.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COMMON STOCK</w:t>
      </w:r>
    </w:p>
    <w:p>
      <w:pPr>
        <w:spacing w:after="0" w:line="173" w:lineRule="exact"/>
        <w:rPr>
          <w:sz w:val="20"/>
          <w:szCs w:val="20"/>
          <w:color w:val="auto"/>
        </w:rPr>
      </w:pPr>
    </w:p>
    <w:p>
      <w:pPr>
        <w:ind w:right="4740"/>
        <w:spacing w:after="0" w:line="252" w:lineRule="auto"/>
        <w:rPr>
          <w:sz w:val="20"/>
          <w:szCs w:val="20"/>
          <w:color w:val="auto"/>
        </w:rPr>
      </w:pPr>
      <w:r>
        <w:rPr>
          <w:rFonts w:ascii="Courier New" w:cs="Courier New" w:eastAsia="Courier New" w:hAnsi="Courier New"/>
          <w:sz w:val="14"/>
          <w:szCs w:val="14"/>
          <w:color w:val="auto"/>
        </w:rPr>
        <w:t>The Corporation is authorized to issue 750 million shares of common stock (par value $1.00 per share). At December 31, 1995, 1994 and 1993, the number of shares of common stock issued and outstanding were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1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1995</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Issued</w:t>
            </w:r>
          </w:p>
        </w:tc>
        <w:tc>
          <w:tcPr>
            <w:tcW w:w="1380" w:type="dxa"/>
            <w:vAlign w:val="bottom"/>
          </w:tcPr>
          <w:p>
            <w:pPr>
              <w:ind w:left="220"/>
              <w:spacing w:after="0"/>
              <w:rPr>
                <w:sz w:val="20"/>
                <w:szCs w:val="20"/>
                <w:color w:val="auto"/>
              </w:rPr>
            </w:pPr>
            <w:r>
              <w:rPr>
                <w:rFonts w:ascii="Courier New" w:cs="Courier New" w:eastAsia="Courier New" w:hAnsi="Courier New"/>
                <w:sz w:val="14"/>
                <w:szCs w:val="14"/>
                <w:color w:val="auto"/>
              </w:rPr>
              <w:t>457,587,675</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447,110,332</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445,059,974</w:t>
            </w:r>
          </w:p>
        </w:tc>
      </w:tr>
      <w:tr>
        <w:trPr>
          <w:trHeight w:val="166"/>
        </w:trPr>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Held in Treasury</w:t>
            </w:r>
          </w:p>
        </w:tc>
        <w:tc>
          <w:tcPr>
            <w:tcW w:w="1380" w:type="dxa"/>
            <w:vAlign w:val="bottom"/>
          </w:tcPr>
          <w:p>
            <w:pPr>
              <w:ind w:left="220"/>
              <w:spacing w:after="0"/>
              <w:rPr>
                <w:sz w:val="20"/>
                <w:szCs w:val="20"/>
                <w:color w:val="auto"/>
              </w:rPr>
            </w:pPr>
            <w:r>
              <w:rPr>
                <w:rFonts w:ascii="Courier New" w:cs="Courier New" w:eastAsia="Courier New" w:hAnsi="Courier New"/>
                <w:sz w:val="14"/>
                <w:szCs w:val="14"/>
                <w:color w:val="auto"/>
              </w:rPr>
              <w:t>(22,583,225)</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(18,337,533)</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(515,782)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5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00" w:type="dxa"/>
            <w:vAlign w:val="bottom"/>
            <w:gridSpan w:val="2"/>
          </w:tcPr>
          <w:p>
            <w:pPr>
              <w:spacing w:after="0"/>
              <w:rPr>
                <w:sz w:val="20"/>
                <w:szCs w:val="20"/>
                <w:color w:val="auto"/>
              </w:rPr>
            </w:pPr>
            <w:r>
              <w:rPr>
                <w:rFonts w:ascii="Courier New" w:cs="Courier New" w:eastAsia="Courier New" w:hAnsi="Courier New"/>
                <w:sz w:val="14"/>
                <w:szCs w:val="14"/>
                <w:color w:val="auto"/>
              </w:rPr>
              <w:t>Outstanding</w:t>
            </w:r>
          </w:p>
        </w:tc>
        <w:tc>
          <w:tcPr>
            <w:tcW w:w="1380" w:type="dxa"/>
            <w:vAlign w:val="bottom"/>
          </w:tcPr>
          <w:p>
            <w:pPr>
              <w:ind w:left="220"/>
              <w:spacing w:after="0"/>
              <w:rPr>
                <w:sz w:val="20"/>
                <w:szCs w:val="20"/>
                <w:color w:val="auto"/>
              </w:rPr>
            </w:pPr>
            <w:r>
              <w:rPr>
                <w:rFonts w:ascii="Courier New" w:cs="Courier New" w:eastAsia="Courier New" w:hAnsi="Courier New"/>
                <w:sz w:val="14"/>
                <w:szCs w:val="14"/>
                <w:color w:val="auto"/>
              </w:rPr>
              <w:t>435,004,450</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428,772,799</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444,544,192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5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560" w:firstLine="431"/>
        <w:spacing w:after="0" w:line="251" w:lineRule="auto"/>
        <w:rPr>
          <w:sz w:val="20"/>
          <w:szCs w:val="20"/>
          <w:color w:val="auto"/>
        </w:rPr>
      </w:pPr>
      <w:r>
        <w:rPr>
          <w:rFonts w:ascii="Courier New" w:cs="Courier New" w:eastAsia="Courier New" w:hAnsi="Courier New"/>
          <w:sz w:val="14"/>
          <w:szCs w:val="14"/>
          <w:color w:val="auto"/>
        </w:rPr>
        <w:t>During 1995, the Corporation repurchased approximately 26.3 million shares of its outstanding common stock in the open market. These repurchases were largely undertaken to meet the anticipated needs of the Corporation's employee stock option and incentive plans. During 1995, approximately 18.0 million shares were issued (of which 14.5 million were from treasury) under various employee stock option and incentive plans, and 7.6 million shares were issued (from treasury) in connection with the conversion of the Corporation's 10% convertible preferred stock. Additionally, 6.9 million shares were issued in connection with the acquisition of the U.S. Trust securities processing businesses.</w:t>
      </w:r>
    </w:p>
    <w:p>
      <w:pPr>
        <w:sectPr>
          <w:pgSz w:w="11900" w:h="16838" w:orient="portrait"/>
          <w:cols w:equalWidth="0" w:num="1">
            <w:col w:w="11460"/>
          </w:cols>
          <w:pgMar w:left="220" w:top="285" w:right="219" w:bottom="0" w:gutter="0" w:footer="0" w:header="0"/>
        </w:sectPr>
      </w:pPr>
    </w:p>
    <w:bookmarkStart w:id="85" w:name="page86"/>
    <w:bookmarkEnd w:id="85"/>
    <w:p>
      <w:pPr>
        <w:ind w:left="550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9019"/>
          </w:cols>
          <w:pgMar w:left="1440" w:top="307" w:right="1440" w:bottom="1440" w:gutter="0" w:footer="0" w:header="0"/>
        </w:sectPr>
      </w:pPr>
    </w:p>
    <w:bookmarkStart w:id="86" w:name="page87"/>
    <w:bookmarkEnd w:id="86"/>
    <w:p>
      <w:pPr>
        <w:spacing w:after="0" w:line="4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ind w:left="180" w:hanging="172"/>
        <w:spacing w:after="0"/>
        <w:tabs>
          <w:tab w:leader="none" w:pos="18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1995, approximately 51 million shares of common stock</w:t>
      </w:r>
    </w:p>
    <w:p>
      <w:pPr>
        <w:spacing w:after="0" w:line="7" w:lineRule="exact"/>
        <w:rPr>
          <w:sz w:val="20"/>
          <w:szCs w:val="20"/>
          <w:color w:val="auto"/>
        </w:rPr>
      </w:pPr>
    </w:p>
    <w:p>
      <w:pPr>
        <w:ind w:right="4640"/>
        <w:spacing w:after="0" w:line="251" w:lineRule="auto"/>
        <w:rPr>
          <w:sz w:val="20"/>
          <w:szCs w:val="20"/>
          <w:color w:val="auto"/>
        </w:rPr>
      </w:pPr>
      <w:r>
        <w:rPr>
          <w:rFonts w:ascii="Courier New" w:cs="Courier New" w:eastAsia="Courier New" w:hAnsi="Courier New"/>
          <w:sz w:val="14"/>
          <w:szCs w:val="14"/>
          <w:color w:val="auto"/>
        </w:rPr>
        <w:t>were reserved for issuance under various employee incentive, option and stock purchase plans and under the Corporation's Dividend Reinvestment Plan. In addition, as of December 31, 1995, the Corporation had reserved 3,389,741 shares of common stock for issuance upon the exercise of warrants which had originally been issued during 1993 by Chase in settlement of a legal action. As a result of the merger, each warrant represents the right to acquire upon exercise thereof 1.04 shares of common stock at an exercise price of $34.6125 per warrant. The warrants expire June 30, 1996.</w:t>
      </w:r>
    </w:p>
    <w:p>
      <w:pPr>
        <w:spacing w:after="0" w:line="164" w:lineRule="exact"/>
        <w:rPr>
          <w:sz w:val="20"/>
          <w:szCs w:val="20"/>
          <w:color w:val="auto"/>
        </w:rPr>
      </w:pPr>
    </w:p>
    <w:p>
      <w:pPr>
        <w:ind w:right="4980" w:firstLine="431"/>
        <w:spacing w:after="0" w:line="255" w:lineRule="auto"/>
        <w:rPr>
          <w:sz w:val="20"/>
          <w:szCs w:val="20"/>
          <w:color w:val="auto"/>
        </w:rPr>
      </w:pPr>
      <w:r>
        <w:rPr>
          <w:rFonts w:ascii="Courier New" w:cs="Courier New" w:eastAsia="Courier New" w:hAnsi="Courier New"/>
          <w:sz w:val="14"/>
          <w:szCs w:val="14"/>
          <w:color w:val="auto"/>
        </w:rPr>
        <w:t>Under the Corporation's Dividend Reinvestment Plan, stockholders may reinvest all or part of their quarterly dividends in shares of common stock.</w:t>
      </w:r>
    </w:p>
    <w:p>
      <w:pPr>
        <w:spacing w:after="0" w:line="160" w:lineRule="exact"/>
        <w:rPr>
          <w:sz w:val="20"/>
          <w:szCs w:val="20"/>
          <w:color w:val="auto"/>
        </w:rPr>
      </w:pPr>
    </w:p>
    <w:p>
      <w:pPr>
        <w:ind w:right="4900" w:firstLine="431"/>
        <w:spacing w:after="0" w:line="255" w:lineRule="auto"/>
        <w:rPr>
          <w:sz w:val="20"/>
          <w:szCs w:val="20"/>
          <w:color w:val="auto"/>
        </w:rPr>
      </w:pPr>
      <w:r>
        <w:rPr>
          <w:rFonts w:ascii="Courier New" w:cs="Courier New" w:eastAsia="Courier New" w:hAnsi="Courier New"/>
          <w:sz w:val="14"/>
          <w:szCs w:val="14"/>
          <w:color w:val="auto"/>
        </w:rPr>
        <w:t>Common stock issued, or distributed from treasury, during 1995, 1994 and 1993 was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1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Employee Benefit and</w:t>
            </w:r>
          </w:p>
        </w:tc>
        <w:tc>
          <w:tcPr>
            <w:tcW w:w="1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900" w:type="dxa"/>
            <w:vAlign w:val="bottom"/>
          </w:tcPr>
          <w:p>
            <w:pPr>
              <w:ind w:left="260"/>
              <w:spacing w:after="0"/>
              <w:rPr>
                <w:sz w:val="20"/>
                <w:szCs w:val="20"/>
                <w:color w:val="auto"/>
              </w:rPr>
            </w:pPr>
            <w:r>
              <w:rPr>
                <w:rFonts w:ascii="Courier New" w:cs="Courier New" w:eastAsia="Courier New" w:hAnsi="Courier New"/>
                <w:sz w:val="14"/>
                <w:szCs w:val="14"/>
                <w:color w:val="auto"/>
              </w:rPr>
              <w:t>Compensation Plans</w:t>
            </w:r>
          </w:p>
        </w:tc>
        <w:tc>
          <w:tcPr>
            <w:tcW w:w="15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17,649,425(a)</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2,104,924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2,855,111</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Conversion of 10% Convertible</w:t>
            </w:r>
          </w:p>
        </w:tc>
        <w:tc>
          <w:tcPr>
            <w:tcW w:w="1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7,639,424</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Acquisition of U.S. Trust</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6,883,685</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Dividend Reinvestment</w:t>
            </w:r>
          </w:p>
        </w:tc>
        <w:tc>
          <w:tcPr>
            <w:tcW w:w="1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2900" w:type="dxa"/>
            <w:vAlign w:val="bottom"/>
          </w:tcPr>
          <w:p>
            <w:pPr>
              <w:ind w:left="180"/>
              <w:spacing w:after="0"/>
              <w:rPr>
                <w:sz w:val="20"/>
                <w:szCs w:val="20"/>
                <w:color w:val="auto"/>
              </w:rPr>
            </w:pPr>
            <w:r>
              <w:rPr>
                <w:rFonts w:ascii="Courier New" w:cs="Courier New" w:eastAsia="Courier New" w:hAnsi="Courier New"/>
                <w:sz w:val="14"/>
                <w:szCs w:val="14"/>
                <w:color w:val="auto"/>
              </w:rPr>
              <w:t>and Stock Purchase Plans</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385,513</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998,665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2,426,380</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Stock Warrants</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53,362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2,222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2,273</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Public Offerings</w:t>
            </w:r>
          </w:p>
        </w:tc>
        <w:tc>
          <w:tcPr>
            <w:tcW w:w="15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30,112,000</w:t>
            </w:r>
          </w:p>
        </w:tc>
      </w:tr>
    </w:tbl>
    <w:p>
      <w:pPr>
        <w:spacing w:after="0" w:line="4" w:lineRule="exact"/>
        <w:rPr>
          <w:sz w:val="20"/>
          <w:szCs w:val="20"/>
          <w:color w:val="auto"/>
        </w:rPr>
      </w:pPr>
    </w:p>
    <w:p>
      <w:pPr>
        <w:ind w:left="180" w:hanging="172"/>
        <w:spacing w:after="0"/>
        <w:tabs>
          <w:tab w:leader="none" w:pos="1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Shares Issued or Distributed</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240" w:type="dxa"/>
            <w:vAlign w:val="bottom"/>
          </w:tcPr>
          <w:p>
            <w:pPr>
              <w:spacing w:after="0"/>
              <w:rPr>
                <w:sz w:val="20"/>
                <w:szCs w:val="20"/>
                <w:color w:val="auto"/>
              </w:rPr>
            </w:pPr>
            <w:r>
              <w:rPr>
                <w:rFonts w:ascii="Courier New" w:cs="Courier New" w:eastAsia="Courier New" w:hAnsi="Courier New"/>
                <w:sz w:val="14"/>
                <w:szCs w:val="14"/>
                <w:color w:val="auto"/>
              </w:rPr>
              <w:t>from Treasury(b)</w:t>
            </w:r>
          </w:p>
        </w:tc>
        <w:tc>
          <w:tcPr>
            <w:tcW w:w="1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32,611,409</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3,105,811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35,395,764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720" w:firstLine="8"/>
        <w:spacing w:after="0" w:line="252" w:lineRule="auto"/>
        <w:tabs>
          <w:tab w:leader="none" w:pos="344"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includes 11,385,569 of common stock issued related to broad-based employee stock option plans of both predecessor corporations. See Note Fourteen for a discussion of the Corporation's Employee Stock Option Plans.</w:t>
      </w:r>
    </w:p>
    <w:p>
      <w:pPr>
        <w:spacing w:after="0" w:line="162" w:lineRule="exact"/>
        <w:rPr>
          <w:rFonts w:ascii="Courier New" w:cs="Courier New" w:eastAsia="Courier New" w:hAnsi="Courier New"/>
          <w:sz w:val="14"/>
          <w:szCs w:val="14"/>
          <w:color w:val="auto"/>
        </w:rPr>
      </w:pPr>
    </w:p>
    <w:p>
      <w:pPr>
        <w:ind w:right="4720" w:firstLine="8"/>
        <w:spacing w:after="0" w:line="257" w:lineRule="auto"/>
        <w:tabs>
          <w:tab w:leader="none" w:pos="344"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1995 and 1994, 22,132,496 and 1,055,455, respectively, of these shares were distributed from treasury. No shares were distributed from treasury in 1993.</w:t>
      </w: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POSTRETIREMENT EMPLOYEE BENEFITS PLANS</w:t>
      </w:r>
    </w:p>
    <w:p>
      <w:pPr>
        <w:spacing w:after="0" w:line="173" w:lineRule="exact"/>
        <w:rPr>
          <w:sz w:val="20"/>
          <w:szCs w:val="20"/>
          <w:color w:val="auto"/>
        </w:rPr>
      </w:pPr>
    </w:p>
    <w:p>
      <w:pPr>
        <w:ind w:right="4900"/>
        <w:spacing w:after="0" w:line="252" w:lineRule="auto"/>
        <w:rPr>
          <w:sz w:val="20"/>
          <w:szCs w:val="20"/>
          <w:color w:val="auto"/>
        </w:rPr>
      </w:pPr>
      <w:r>
        <w:rPr>
          <w:rFonts w:ascii="Courier New" w:cs="Courier New" w:eastAsia="Courier New" w:hAnsi="Courier New"/>
          <w:sz w:val="14"/>
          <w:szCs w:val="14"/>
          <w:color w:val="auto"/>
        </w:rPr>
        <w:t>The Corporation is currently in the process of reviewing the benefit plans of both predecessor institutions, including the postretirement employee benefit plans. New plans for the Corporation are expected to be approved in 1996.</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PLANS</w:t>
      </w:r>
    </w:p>
    <w:p>
      <w:pPr>
        <w:spacing w:after="0" w:line="173" w:lineRule="exact"/>
        <w:rPr>
          <w:sz w:val="20"/>
          <w:szCs w:val="20"/>
          <w:color w:val="auto"/>
        </w:rPr>
      </w:pPr>
    </w:p>
    <w:p>
      <w:pPr>
        <w:ind w:right="4720"/>
        <w:spacing w:after="0" w:line="251" w:lineRule="auto"/>
        <w:rPr>
          <w:sz w:val="20"/>
          <w:szCs w:val="20"/>
          <w:color w:val="auto"/>
        </w:rPr>
      </w:pPr>
      <w:r>
        <w:rPr>
          <w:rFonts w:ascii="Courier New" w:cs="Courier New" w:eastAsia="Courier New" w:hAnsi="Courier New"/>
          <w:sz w:val="14"/>
          <w:szCs w:val="14"/>
          <w:color w:val="auto"/>
        </w:rPr>
        <w:t>The Corporation currently has two separate noncontributory pension plans that provide defined benefits to substantially all domestic employees of Chase and Chemical. Chase's domestic plan employs, subject to approval from the Internal Revenue Service, a cash balance form of defined benefit formula that provides for benefits based on salary and service, subject to a minimum benefit level. Chemical's domestic plan also provides for defined benefits, which include both a cash balance feature and a final-average-pay feature. Contributions are made to the Corporation's defined benefit pension plans within the range of levels permitted under applicable law.</w:t>
      </w:r>
    </w:p>
    <w:p>
      <w:pPr>
        <w:spacing w:after="0" w:line="164" w:lineRule="exact"/>
        <w:rPr>
          <w:sz w:val="20"/>
          <w:szCs w:val="20"/>
          <w:color w:val="auto"/>
        </w:rPr>
      </w:pPr>
    </w:p>
    <w:p>
      <w:pPr>
        <w:ind w:right="4820" w:firstLine="431"/>
        <w:spacing w:after="0" w:line="251" w:lineRule="auto"/>
        <w:rPr>
          <w:sz w:val="20"/>
          <w:szCs w:val="20"/>
          <w:color w:val="auto"/>
        </w:rPr>
      </w:pPr>
      <w:r>
        <w:rPr>
          <w:rFonts w:ascii="Courier New" w:cs="Courier New" w:eastAsia="Courier New" w:hAnsi="Courier New"/>
          <w:sz w:val="14"/>
          <w:szCs w:val="14"/>
          <w:color w:val="auto"/>
        </w:rPr>
        <w:t>There are also a number of other defined benefit plans which provide benefits to certain domestic and overseas employees. The Corporation's funding strategy for these plans is based on legal requirements, plan documents and local practice. The assumptions used to value such plans generally are consistent with those used to value the plans that cover substantially all domestic employees, adjusted for local conditions.</w:t>
      </w:r>
    </w:p>
    <w:p>
      <w:pPr>
        <w:spacing w:after="0" w:line="164" w:lineRule="exact"/>
        <w:rPr>
          <w:sz w:val="20"/>
          <w:szCs w:val="20"/>
          <w:color w:val="auto"/>
        </w:rPr>
      </w:pPr>
    </w:p>
    <w:p>
      <w:pPr>
        <w:ind w:right="4980" w:firstLine="431"/>
        <w:spacing w:after="0" w:line="252" w:lineRule="auto"/>
        <w:rPr>
          <w:sz w:val="20"/>
          <w:szCs w:val="20"/>
          <w:color w:val="auto"/>
        </w:rPr>
      </w:pPr>
      <w:r>
        <w:rPr>
          <w:rFonts w:ascii="Courier New" w:cs="Courier New" w:eastAsia="Courier New" w:hAnsi="Courier New"/>
          <w:sz w:val="14"/>
          <w:szCs w:val="14"/>
          <w:color w:val="auto"/>
        </w:rPr>
        <w:t>The accompanying tables present the aggregate funded status and the net asset and liability amounts included in Other Assets or Other Liabilities, respectively, and the components of expense included in Employee Benefits expense for the Corporation's defined benefit pension plans.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FUNDED STATUS OF PENSION PLANS</w:t>
      </w:r>
    </w:p>
    <w:p>
      <w:pPr>
        <w:spacing w:after="0" w:line="7" w:lineRule="exact"/>
        <w:rPr>
          <w:sz w:val="20"/>
          <w:szCs w:val="20"/>
          <w:color w:val="auto"/>
        </w:rPr>
      </w:pPr>
    </w:p>
    <w:p>
      <w:pPr>
        <w:ind w:left="6820"/>
        <w:spacing w:after="0"/>
        <w:tabs>
          <w:tab w:leader="none" w:pos="10160" w:val="left"/>
        </w:tabs>
        <w:rPr>
          <w:sz w:val="20"/>
          <w:szCs w:val="20"/>
          <w:color w:val="auto"/>
        </w:rPr>
      </w:pPr>
      <w:r>
        <w:rPr>
          <w:rFonts w:ascii="Courier New" w:cs="Courier New" w:eastAsia="Courier New" w:hAnsi="Courier New"/>
          <w:sz w:val="14"/>
          <w:szCs w:val="14"/>
          <w:color w:val="auto"/>
        </w:rPr>
        <w:t>ACCUMULATED</w:t>
      </w:r>
      <w:r>
        <w:rPr>
          <w:sz w:val="20"/>
          <w:szCs w:val="20"/>
          <w:color w:val="auto"/>
        </w:rPr>
        <w:tab/>
      </w:r>
      <w:r>
        <w:rPr>
          <w:rFonts w:ascii="Courier New" w:cs="Courier New" w:eastAsia="Courier New" w:hAnsi="Courier New"/>
          <w:sz w:val="14"/>
          <w:szCs w:val="14"/>
          <w:color w:val="auto"/>
        </w:rPr>
        <w:t>ACCUMULATED</w:t>
      </w:r>
    </w:p>
    <w:p>
      <w:pPr>
        <w:spacing w:after="0" w:line="7" w:lineRule="exact"/>
        <w:rPr>
          <w:sz w:val="20"/>
          <w:szCs w:val="20"/>
          <w:color w:val="auto"/>
        </w:rPr>
      </w:pPr>
    </w:p>
    <w:p>
      <w:pPr>
        <w:ind w:left="4920"/>
        <w:spacing w:after="0"/>
        <w:tabs>
          <w:tab w:leader="none" w:pos="6880" w:val="left"/>
          <w:tab w:leader="none" w:pos="8340" w:val="left"/>
          <w:tab w:leader="none" w:pos="10240" w:val="left"/>
        </w:tabs>
        <w:rPr>
          <w:sz w:val="20"/>
          <w:szCs w:val="20"/>
          <w:color w:val="auto"/>
        </w:rPr>
      </w:pPr>
      <w:r>
        <w:rPr>
          <w:rFonts w:ascii="Courier New" w:cs="Courier New" w:eastAsia="Courier New" w:hAnsi="Courier New"/>
          <w:sz w:val="14"/>
          <w:szCs w:val="14"/>
          <w:color w:val="auto"/>
        </w:rPr>
        <w:t>ASSETS EXCEED</w:t>
      </w:r>
      <w:r>
        <w:rPr>
          <w:sz w:val="20"/>
          <w:szCs w:val="20"/>
          <w:color w:val="auto"/>
        </w:rPr>
        <w:tab/>
      </w:r>
      <w:r>
        <w:rPr>
          <w:rFonts w:ascii="Courier New" w:cs="Courier New" w:eastAsia="Courier New" w:hAnsi="Courier New"/>
          <w:sz w:val="14"/>
          <w:szCs w:val="14"/>
          <w:color w:val="auto"/>
        </w:rPr>
        <w:t>BENEFITS</w:t>
      </w:r>
      <w:r>
        <w:rPr>
          <w:sz w:val="20"/>
          <w:szCs w:val="20"/>
          <w:color w:val="auto"/>
        </w:rPr>
        <w:tab/>
      </w:r>
      <w:r>
        <w:rPr>
          <w:rFonts w:ascii="Courier New" w:cs="Courier New" w:eastAsia="Courier New" w:hAnsi="Courier New"/>
          <w:sz w:val="14"/>
          <w:szCs w:val="14"/>
          <w:color w:val="auto"/>
        </w:rPr>
        <w:t>ASSETS EXCEED</w:t>
      </w:r>
      <w:r>
        <w:rPr>
          <w:sz w:val="20"/>
          <w:szCs w:val="20"/>
          <w:color w:val="auto"/>
        </w:rPr>
        <w:tab/>
      </w:r>
      <w:r>
        <w:rPr>
          <w:rFonts w:ascii="Courier New" w:cs="Courier New" w:eastAsia="Courier New" w:hAnsi="Courier New"/>
          <w:sz w:val="14"/>
          <w:szCs w:val="14"/>
          <w:color w:val="auto"/>
        </w:rPr>
        <w:t>BENEFITS</w:t>
      </w:r>
    </w:p>
    <w:p>
      <w:pPr>
        <w:spacing w:after="0" w:line="7" w:lineRule="exact"/>
        <w:rPr>
          <w:sz w:val="20"/>
          <w:szCs w:val="20"/>
          <w:color w:val="auto"/>
        </w:rPr>
      </w:pPr>
    </w:p>
    <w:p>
      <w:pPr>
        <w:ind w:left="4660"/>
        <w:spacing w:after="0"/>
        <w:tabs>
          <w:tab w:leader="none" w:pos="6620" w:val="left"/>
          <w:tab w:leader="none" w:pos="9980" w:val="left"/>
        </w:tabs>
        <w:rPr>
          <w:sz w:val="20"/>
          <w:szCs w:val="20"/>
          <w:color w:val="auto"/>
        </w:rPr>
      </w:pPr>
      <w:r>
        <w:rPr>
          <w:rFonts w:ascii="Courier New" w:cs="Courier New" w:eastAsia="Courier New" w:hAnsi="Courier New"/>
          <w:sz w:val="14"/>
          <w:szCs w:val="14"/>
          <w:color w:val="auto"/>
        </w:rPr>
        <w:t>ACCUMULATED BENEFITS</w:t>
      </w:r>
      <w:r>
        <w:rPr>
          <w:sz w:val="20"/>
          <w:szCs w:val="20"/>
          <w:color w:val="auto"/>
        </w:rPr>
        <w:tab/>
      </w:r>
      <w:r>
        <w:rPr>
          <w:rFonts w:ascii="Courier New" w:cs="Courier New" w:eastAsia="Courier New" w:hAnsi="Courier New"/>
          <w:sz w:val="14"/>
          <w:szCs w:val="14"/>
          <w:color w:val="auto"/>
        </w:rPr>
        <w:t>EXCEED ASSETS(A) ACCUMULATED BENEFITS</w:t>
        <w:tab/>
        <w:t>EXCEED ASSETS(A)</w:t>
      </w:r>
    </w:p>
    <w:p>
      <w:pPr>
        <w:spacing w:after="0" w:line="7" w:lineRule="exact"/>
        <w:rPr>
          <w:sz w:val="20"/>
          <w:szCs w:val="20"/>
          <w:color w:val="auto"/>
        </w:rPr>
      </w:pPr>
    </w:p>
    <w:p>
      <w:pPr>
        <w:spacing w:after="0"/>
        <w:tabs>
          <w:tab w:leader="none" w:pos="6280" w:val="left"/>
          <w:tab w:leader="none" w:pos="9720" w:val="left"/>
        </w:tabs>
        <w:rPr>
          <w:sz w:val="20"/>
          <w:szCs w:val="20"/>
          <w:color w:val="auto"/>
        </w:rPr>
      </w:pPr>
      <w:r>
        <w:rPr>
          <w:rFonts w:ascii="Courier New" w:cs="Courier New" w:eastAsia="Courier New" w:hAnsi="Courier New"/>
          <w:sz w:val="14"/>
          <w:szCs w:val="14"/>
          <w:color w:val="auto"/>
        </w:rPr>
        <w:t>DECEMBER 31, (IN MILLIONS)</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Actuarial Present Value of Benefit</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Obligation:</w:t>
            </w:r>
          </w:p>
        </w:tc>
        <w:tc>
          <w:tcPr>
            <w:tcW w:w="1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Accumulated Benefit Obligation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Vested Benefits</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$(1,724)</w:t>
            </w: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$(193)</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$(1,452)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$(159)</w:t>
            </w:r>
          </w:p>
        </w:tc>
      </w:tr>
      <w:tr>
        <w:trPr>
          <w:trHeight w:val="166"/>
        </w:trPr>
        <w:tc>
          <w:tcPr>
            <w:tcW w:w="2800" w:type="dxa"/>
            <w:vAlign w:val="bottom"/>
          </w:tcPr>
          <w:p>
            <w:pPr>
              <w:ind w:left="180"/>
              <w:spacing w:after="0"/>
              <w:rPr>
                <w:sz w:val="20"/>
                <w:szCs w:val="20"/>
                <w:color w:val="auto"/>
              </w:rPr>
            </w:pPr>
            <w:r>
              <w:rPr>
                <w:rFonts w:ascii="Courier New" w:cs="Courier New" w:eastAsia="Courier New" w:hAnsi="Courier New"/>
                <w:sz w:val="14"/>
                <w:szCs w:val="14"/>
                <w:color w:val="auto"/>
              </w:rPr>
              <w:t>Accumulated Benefit Obligation</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Nonvested</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Benefits</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(71)</w:t>
            </w: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3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Additional Benefits Based on Future Salary</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Levels</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(226)</w:t>
            </w:r>
          </w:p>
        </w:tc>
        <w:tc>
          <w:tcPr>
            <w:tcW w:w="16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bl>
    <w:p>
      <w:pPr>
        <w:spacing w:after="0" w:line="4" w:lineRule="exact"/>
        <w:rPr>
          <w:sz w:val="20"/>
          <w:szCs w:val="20"/>
          <w:color w:val="auto"/>
        </w:rPr>
      </w:pPr>
    </w:p>
    <w:p>
      <w:pPr>
        <w:ind w:left="180" w:hanging="172"/>
        <w:spacing w:after="0"/>
        <w:tabs>
          <w:tab w:leader="none" w:pos="18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Projected Benefit Obligation for Service Rendered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Date</w:t>
            </w:r>
          </w:p>
        </w:tc>
        <w:tc>
          <w:tcPr>
            <w:tcW w:w="2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(2,021)</w:t>
            </w:r>
          </w:p>
        </w:tc>
        <w:tc>
          <w:tcPr>
            <w:tcW w:w="16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(247)</w:t>
            </w:r>
          </w:p>
        </w:tc>
        <w:tc>
          <w:tcPr>
            <w:tcW w:w="18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(1,721)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(206)</w:t>
            </w:r>
          </w:p>
        </w:tc>
      </w:tr>
      <w:tr>
        <w:trPr>
          <w:trHeight w:val="166"/>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Plan</w:t>
            </w:r>
          </w:p>
        </w:tc>
        <w:tc>
          <w:tcPr>
            <w:tcW w:w="3480" w:type="dxa"/>
            <w:vAlign w:val="bottom"/>
          </w:tcPr>
          <w:p>
            <w:pPr>
              <w:ind w:left="40"/>
              <w:spacing w:after="0"/>
              <w:rPr>
                <w:sz w:val="20"/>
                <w:szCs w:val="20"/>
                <w:color w:val="auto"/>
              </w:rPr>
            </w:pPr>
            <w:r>
              <w:rPr>
                <w:rFonts w:ascii="Courier New" w:cs="Courier New" w:eastAsia="Courier New" w:hAnsi="Courier New"/>
                <w:sz w:val="14"/>
                <w:szCs w:val="14"/>
                <w:color w:val="auto"/>
              </w:rPr>
              <w:t>Assets at Fair Value(b)</w:t>
            </w:r>
          </w:p>
        </w:tc>
        <w:tc>
          <w:tcPr>
            <w:tcW w:w="268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2,419</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68</w:t>
            </w:r>
          </w:p>
        </w:tc>
        <w:tc>
          <w:tcPr>
            <w:tcW w:w="18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2,022</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w:t>
            </w:r>
          </w:p>
        </w:tc>
      </w:tr>
    </w:tbl>
    <w:p>
      <w:pPr>
        <w:spacing w:after="0" w:line="4" w:lineRule="exact"/>
        <w:rPr>
          <w:sz w:val="20"/>
          <w:szCs w:val="20"/>
          <w:color w:val="auto"/>
        </w:rPr>
      </w:pPr>
    </w:p>
    <w:p>
      <w:pPr>
        <w:ind w:left="180" w:hanging="172"/>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Plan Assets in Excess of (Less than) Projected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Benefit Obligation</w:t>
            </w: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398</w:t>
            </w:r>
          </w:p>
        </w:tc>
        <w:tc>
          <w:tcPr>
            <w:tcW w:w="17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(179)</w:t>
            </w:r>
          </w:p>
        </w:tc>
        <w:tc>
          <w:tcPr>
            <w:tcW w:w="1720" w:type="dxa"/>
            <w:vAlign w:val="bottom"/>
          </w:tcPr>
          <w:p>
            <w:pPr>
              <w:ind w:left="740"/>
              <w:spacing w:after="0"/>
              <w:rPr>
                <w:sz w:val="20"/>
                <w:szCs w:val="20"/>
                <w:color w:val="auto"/>
              </w:rPr>
            </w:pPr>
            <w:r>
              <w:rPr>
                <w:rFonts w:ascii="Courier New" w:cs="Courier New" w:eastAsia="Courier New" w:hAnsi="Courier New"/>
                <w:sz w:val="14"/>
                <w:szCs w:val="14"/>
                <w:color w:val="auto"/>
              </w:rPr>
              <w:t>301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(165)</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Unrecognized Net</w:t>
            </w:r>
          </w:p>
        </w:tc>
        <w:tc>
          <w:tcPr>
            <w:tcW w:w="2900" w:type="dxa"/>
            <w:vAlign w:val="bottom"/>
          </w:tcPr>
          <w:p>
            <w:pPr>
              <w:ind w:left="60"/>
              <w:spacing w:after="0"/>
              <w:rPr>
                <w:sz w:val="20"/>
                <w:szCs w:val="20"/>
                <w:color w:val="auto"/>
              </w:rPr>
            </w:pPr>
            <w:r>
              <w:rPr>
                <w:rFonts w:ascii="Courier New" w:cs="Courier New" w:eastAsia="Courier New" w:hAnsi="Courier New"/>
                <w:sz w:val="14"/>
                <w:szCs w:val="14"/>
                <w:color w:val="auto"/>
              </w:rPr>
              <w:t>Loss</w:t>
            </w:r>
          </w:p>
        </w:tc>
        <w:tc>
          <w:tcPr>
            <w:tcW w:w="22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83</w:t>
            </w:r>
          </w:p>
        </w:tc>
        <w:tc>
          <w:tcPr>
            <w:tcW w:w="1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w:t>
            </w:r>
          </w:p>
        </w:tc>
        <w:tc>
          <w:tcPr>
            <w:tcW w:w="1720" w:type="dxa"/>
            <w:vAlign w:val="bottom"/>
          </w:tcPr>
          <w:p>
            <w:pPr>
              <w:ind w:left="740"/>
              <w:spacing w:after="0"/>
              <w:rPr>
                <w:sz w:val="20"/>
                <w:szCs w:val="20"/>
                <w:color w:val="auto"/>
              </w:rPr>
            </w:pPr>
            <w:r>
              <w:rPr>
                <w:rFonts w:ascii="Courier New" w:cs="Courier New" w:eastAsia="Courier New" w:hAnsi="Courier New"/>
                <w:sz w:val="14"/>
                <w:szCs w:val="14"/>
                <w:color w:val="auto"/>
              </w:rPr>
              <w:t>219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Unrecognized Net</w:t>
            </w:r>
          </w:p>
        </w:tc>
        <w:tc>
          <w:tcPr>
            <w:tcW w:w="2900" w:type="dxa"/>
            <w:vAlign w:val="bottom"/>
          </w:tcPr>
          <w:p>
            <w:pPr>
              <w:ind w:left="60"/>
              <w:spacing w:after="0"/>
              <w:rPr>
                <w:sz w:val="20"/>
                <w:szCs w:val="20"/>
                <w:color w:val="auto"/>
              </w:rPr>
            </w:pPr>
            <w:r>
              <w:rPr>
                <w:rFonts w:ascii="Courier New" w:cs="Courier New" w:eastAsia="Courier New" w:hAnsi="Courier New"/>
                <w:sz w:val="14"/>
                <w:szCs w:val="14"/>
                <w:color w:val="auto"/>
              </w:rPr>
              <w:t>(Asset) Obligation</w:t>
            </w:r>
          </w:p>
        </w:tc>
        <w:tc>
          <w:tcPr>
            <w:tcW w:w="2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(49)</w:t>
            </w:r>
          </w:p>
        </w:tc>
        <w:tc>
          <w:tcPr>
            <w:tcW w:w="1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w:t>
            </w:r>
          </w:p>
        </w:tc>
        <w:tc>
          <w:tcPr>
            <w:tcW w:w="1720" w:type="dxa"/>
            <w:vAlign w:val="bottom"/>
          </w:tcPr>
          <w:p>
            <w:pPr>
              <w:ind w:left="740"/>
              <w:spacing w:after="0"/>
              <w:rPr>
                <w:sz w:val="20"/>
                <w:szCs w:val="20"/>
                <w:color w:val="auto"/>
              </w:rPr>
            </w:pPr>
            <w:r>
              <w:rPr>
                <w:rFonts w:ascii="Courier New" w:cs="Courier New" w:eastAsia="Courier New" w:hAnsi="Courier New"/>
                <w:sz w:val="14"/>
                <w:szCs w:val="14"/>
                <w:color w:val="auto"/>
              </w:rPr>
              <w:t>(67)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bl>
    <w:p>
      <w:pPr>
        <w:sectPr>
          <w:pgSz w:w="11900" w:h="16880" w:orient="portrait"/>
          <w:cols w:equalWidth="0" w:num="1">
            <w:col w:w="11540"/>
          </w:cols>
          <w:pgMar w:left="220" w:top="285" w:right="139" w:bottom="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Unrecognized Prior Service (Benefit) Cost</w:t>
            </w:r>
          </w:p>
        </w:tc>
        <w:tc>
          <w:tcPr>
            <w:tcW w:w="20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w:t>
            </w:r>
          </w:p>
        </w:tc>
        <w:tc>
          <w:tcPr>
            <w:tcW w:w="17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w:t>
            </w:r>
          </w:p>
        </w:tc>
        <w:tc>
          <w:tcPr>
            <w:tcW w:w="18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166"/>
        </w:trPr>
        <w:tc>
          <w:tcPr>
            <w:tcW w:w="4580" w:type="dxa"/>
            <w:vAlign w:val="bottom"/>
          </w:tcPr>
          <w:p>
            <w:pPr>
              <w:spacing w:after="0"/>
              <w:rPr>
                <w:sz w:val="20"/>
                <w:szCs w:val="20"/>
                <w:color w:val="auto"/>
              </w:rPr>
            </w:pPr>
            <w:r>
              <w:rPr>
                <w:rFonts w:ascii="Courier New" w:cs="Courier New" w:eastAsia="Courier New" w:hAnsi="Courier New"/>
                <w:sz w:val="14"/>
                <w:szCs w:val="14"/>
                <w:color w:val="auto"/>
              </w:rPr>
              <w:t>Minimum Liability Adjustment</w:t>
            </w:r>
          </w:p>
        </w:tc>
        <w:tc>
          <w:tcPr>
            <w:tcW w:w="20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(16)</w:t>
            </w:r>
          </w:p>
        </w:tc>
        <w:tc>
          <w:tcPr>
            <w:tcW w:w="1800" w:type="dxa"/>
            <w:vAlign w:val="bottom"/>
          </w:tcPr>
          <w:p>
            <w:pPr>
              <w:jc w:val="right"/>
              <w:ind w:right="7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Prepaid (Accrued) Pension Cost</w:t>
            </w:r>
          </w:p>
        </w:tc>
        <w:tc>
          <w:tcPr>
            <w:tcW w:w="2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416</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$(170)</w:t>
            </w:r>
          </w:p>
        </w:tc>
        <w:tc>
          <w:tcPr>
            <w:tcW w:w="18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442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$(152)</w:t>
            </w:r>
          </w:p>
        </w:tc>
      </w:tr>
    </w:tbl>
    <w:p>
      <w:pPr>
        <w:spacing w:after="0" w:line="4" w:lineRule="exact"/>
        <w:rPr>
          <w:sz w:val="20"/>
          <w:szCs w:val="20"/>
          <w:color w:val="auto"/>
        </w:rPr>
      </w:pPr>
    </w:p>
    <w:p>
      <w:pPr>
        <w:ind w:left="180" w:hanging="172"/>
        <w:spacing w:after="0"/>
        <w:tabs>
          <w:tab w:leader="none" w:pos="1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Weighted-Average Annualized Actuarial Assumptions: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2920" w:type="dxa"/>
            <w:vAlign w:val="bottom"/>
          </w:tcPr>
          <w:p>
            <w:pPr>
              <w:ind w:left="980"/>
              <w:spacing w:after="0"/>
              <w:rPr>
                <w:sz w:val="20"/>
                <w:szCs w:val="20"/>
                <w:color w:val="auto"/>
              </w:rPr>
            </w:pPr>
            <w:r>
              <w:rPr>
                <w:rFonts w:ascii="Courier New" w:cs="Courier New" w:eastAsia="Courier New" w:hAnsi="Courier New"/>
                <w:sz w:val="14"/>
                <w:szCs w:val="14"/>
                <w:color w:val="auto"/>
              </w:rPr>
              <w:t>7.25%</w:t>
            </w:r>
          </w:p>
        </w:tc>
        <w:tc>
          <w:tcPr>
            <w:tcW w:w="1940" w:type="dxa"/>
            <w:vAlign w:val="bottom"/>
          </w:tcPr>
          <w:p>
            <w:pPr>
              <w:ind w:left="1500"/>
              <w:spacing w:after="0"/>
              <w:rPr>
                <w:sz w:val="20"/>
                <w:szCs w:val="20"/>
                <w:color w:val="auto"/>
              </w:rPr>
            </w:pPr>
            <w:r>
              <w:rPr>
                <w:rFonts w:ascii="Courier New" w:cs="Courier New" w:eastAsia="Courier New" w:hAnsi="Courier New"/>
                <w:sz w:val="14"/>
                <w:szCs w:val="14"/>
                <w:color w:val="auto"/>
                <w:w w:val="99"/>
              </w:rPr>
              <w:t>8.64%</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Rate of Increase in Future Compensation</w:t>
            </w:r>
          </w:p>
        </w:tc>
        <w:tc>
          <w:tcPr>
            <w:tcW w:w="2920" w:type="dxa"/>
            <w:vAlign w:val="bottom"/>
          </w:tcPr>
          <w:p>
            <w:pPr>
              <w:ind w:left="980"/>
              <w:spacing w:after="0"/>
              <w:rPr>
                <w:sz w:val="20"/>
                <w:szCs w:val="20"/>
                <w:color w:val="auto"/>
              </w:rPr>
            </w:pPr>
            <w:r>
              <w:rPr>
                <w:rFonts w:ascii="Courier New" w:cs="Courier New" w:eastAsia="Courier New" w:hAnsi="Courier New"/>
                <w:sz w:val="14"/>
                <w:szCs w:val="14"/>
                <w:color w:val="auto"/>
              </w:rPr>
              <w:t>5.00</w:t>
            </w:r>
          </w:p>
        </w:tc>
        <w:tc>
          <w:tcPr>
            <w:tcW w:w="1940" w:type="dxa"/>
            <w:vAlign w:val="bottom"/>
          </w:tcPr>
          <w:p>
            <w:pPr>
              <w:ind w:left="1500"/>
              <w:spacing w:after="0"/>
              <w:rPr>
                <w:sz w:val="20"/>
                <w:szCs w:val="20"/>
                <w:color w:val="auto"/>
              </w:rPr>
            </w:pPr>
            <w:r>
              <w:rPr>
                <w:rFonts w:ascii="Courier New" w:cs="Courier New" w:eastAsia="Courier New" w:hAnsi="Courier New"/>
                <w:sz w:val="14"/>
                <w:szCs w:val="14"/>
                <w:color w:val="auto"/>
              </w:rPr>
              <w:t>5.42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640" w:firstLine="8"/>
        <w:spacing w:after="0" w:line="253" w:lineRule="auto"/>
        <w:tabs>
          <w:tab w:leader="none" w:pos="344"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primarily of domestic plans not subject to Title IV of the Employee Retirement Income Security Act of 1974 ("ERISA") and overseas pension plans where funding strategies vary according to legal requirements and local practice.</w:t>
      </w:r>
    </w:p>
    <w:p>
      <w:pPr>
        <w:spacing w:after="0" w:line="326" w:lineRule="exact"/>
        <w:rPr>
          <w:rFonts w:ascii="Courier New" w:cs="Courier New" w:eastAsia="Courier New" w:hAnsi="Courier New"/>
          <w:sz w:val="14"/>
          <w:szCs w:val="14"/>
          <w:color w:val="auto"/>
        </w:rPr>
      </w:pPr>
    </w:p>
    <w:p>
      <w:pPr>
        <w:ind w:right="4980" w:firstLine="8"/>
        <w:spacing w:after="0" w:line="255" w:lineRule="auto"/>
        <w:tabs>
          <w:tab w:leader="none" w:pos="344"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primarily of listed stocks, fixed income securities, commingled funds and participation rights.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1540"/>
          </w:cols>
          <w:pgMar w:left="220" w:top="141" w:right="139" w:bottom="1440" w:gutter="0" w:footer="0" w:header="0"/>
        </w:sectPr>
      </w:pPr>
    </w:p>
    <w:bookmarkStart w:id="88" w:name="page89"/>
    <w:bookmarkEnd w:id="88"/>
    <w:p>
      <w:pPr>
        <w:spacing w:after="0" w:line="4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50</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4019" w:firstLine="431"/>
        <w:spacing w:after="0" w:line="255" w:lineRule="auto"/>
        <w:rPr>
          <w:sz w:val="20"/>
          <w:szCs w:val="20"/>
          <w:color w:val="auto"/>
        </w:rPr>
      </w:pPr>
      <w:r>
        <w:rPr>
          <w:rFonts w:ascii="Courier New" w:cs="Courier New" w:eastAsia="Courier New" w:hAnsi="Courier New"/>
          <w:sz w:val="14"/>
          <w:szCs w:val="14"/>
          <w:color w:val="auto"/>
        </w:rPr>
        <w:t>In 1996, pension expense is expected to increase as a result of the decrease in the discount rate to 7.25% at December 31, 1995.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COMPONENTS OF NET PENSION EXPENSE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   1995</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Cost of Benefits</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Earned</w:t>
            </w:r>
          </w:p>
        </w:tc>
        <w:tc>
          <w:tcPr>
            <w:tcW w:w="8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$ 179</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$ 197</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$ 175</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Projected</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Obligation</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155</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125</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Actual (Gain)</w:t>
            </w:r>
          </w:p>
        </w:tc>
        <w:tc>
          <w:tcPr>
            <w:tcW w:w="1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Loss on Plan</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Assets</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(458)</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(240)</w:t>
            </w:r>
          </w:p>
        </w:tc>
      </w:tr>
      <w:tr>
        <w:trPr>
          <w:trHeight w:val="166"/>
        </w:trPr>
        <w:tc>
          <w:tcPr>
            <w:tcW w:w="1420" w:type="dxa"/>
            <w:vAlign w:val="bottom"/>
            <w:gridSpan w:val="2"/>
          </w:tcPr>
          <w:p>
            <w:pPr>
              <w:spacing w:after="0"/>
              <w:rPr>
                <w:sz w:val="20"/>
                <w:szCs w:val="20"/>
                <w:color w:val="auto"/>
              </w:rPr>
            </w:pPr>
            <w:r>
              <w:rPr>
                <w:rFonts w:ascii="Courier New" w:cs="Courier New" w:eastAsia="Courier New" w:hAnsi="Courier New"/>
                <w:sz w:val="14"/>
                <w:szCs w:val="14"/>
                <w:color w:val="auto"/>
              </w:rPr>
              <w:t>Net Amortization</w:t>
            </w:r>
          </w:p>
        </w:tc>
        <w:tc>
          <w:tcPr>
            <w:tcW w:w="17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and Deferral</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(224)</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Net Periodic Pension Expense</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$ 133</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$ 125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  99</w:t>
            </w:r>
          </w:p>
        </w:tc>
      </w:tr>
    </w:tbl>
    <w:p>
      <w:pPr>
        <w:spacing w:after="0" w:line="4" w:lineRule="exact"/>
        <w:rPr>
          <w:sz w:val="20"/>
          <w:szCs w:val="20"/>
          <w:color w:val="auto"/>
        </w:rPr>
      </w:pPr>
    </w:p>
    <w:p>
      <w:pPr>
        <w:ind w:left="180" w:hanging="172"/>
        <w:spacing w:after="0"/>
        <w:tabs>
          <w:tab w:leader="none" w:pos="1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7899" w:hanging="172"/>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Weighted-Average Annualized Actuarial Assumptions:</w:t>
      </w:r>
    </w:p>
    <w:p>
      <w:pPr>
        <w:spacing w:after="0" w:line="160"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920" w:type="dxa"/>
            <w:vAlign w:val="bottom"/>
            <w:gridSpan w:val="3"/>
          </w:tcPr>
          <w:p>
            <w:pPr>
              <w:spacing w:after="0"/>
              <w:rPr>
                <w:sz w:val="20"/>
                <w:szCs w:val="20"/>
                <w:color w:val="auto"/>
              </w:rPr>
            </w:pPr>
            <w:r>
              <w:rPr>
                <w:rFonts w:ascii="Courier New" w:cs="Courier New" w:eastAsia="Courier New" w:hAnsi="Courier New"/>
                <w:sz w:val="14"/>
                <w:szCs w:val="14"/>
                <w:color w:val="auto"/>
              </w:rPr>
              <w:t>Discount Rate</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8.65%</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7.39%</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w w:val="99"/>
              </w:rPr>
              <w:t>8.48%</w:t>
            </w:r>
          </w:p>
        </w:tc>
      </w:tr>
      <w:tr>
        <w:trPr>
          <w:trHeight w:val="166"/>
        </w:trPr>
        <w:tc>
          <w:tcPr>
            <w:tcW w:w="640" w:type="dxa"/>
            <w:vAlign w:val="bottom"/>
            <w:gridSpan w:val="2"/>
          </w:tcPr>
          <w:p>
            <w:pPr>
              <w:spacing w:after="0"/>
              <w:rPr>
                <w:sz w:val="20"/>
                <w:szCs w:val="20"/>
                <w:color w:val="auto"/>
              </w:rPr>
            </w:pPr>
            <w:r>
              <w:rPr>
                <w:rFonts w:ascii="Courier New" w:cs="Courier New" w:eastAsia="Courier New" w:hAnsi="Courier New"/>
                <w:sz w:val="14"/>
                <w:szCs w:val="14"/>
                <w:color w:val="auto"/>
              </w:rPr>
              <w:t>Assumed</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Rate of Long-Term Return</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380" w:type="dxa"/>
            <w:vAlign w:val="bottom"/>
          </w:tcPr>
          <w:p>
            <w:pPr>
              <w:ind w:left="160"/>
              <w:spacing w:after="0"/>
              <w:rPr>
                <w:sz w:val="20"/>
                <w:szCs w:val="20"/>
                <w:color w:val="auto"/>
              </w:rPr>
            </w:pPr>
            <w:r>
              <w:rPr>
                <w:rFonts w:ascii="Courier New" w:cs="Courier New" w:eastAsia="Courier New" w:hAnsi="Courier New"/>
                <w:sz w:val="14"/>
                <w:szCs w:val="14"/>
                <w:color w:val="auto"/>
              </w:rPr>
              <w:t>on</w:t>
            </w:r>
          </w:p>
        </w:tc>
        <w:tc>
          <w:tcPr>
            <w:tcW w:w="25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Plan Assets</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9.32</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8.50</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9.14</w:t>
            </w:r>
          </w:p>
        </w:tc>
      </w:tr>
      <w:tr>
        <w:trPr>
          <w:trHeight w:val="166"/>
        </w:trPr>
        <w:tc>
          <w:tcPr>
            <w:tcW w:w="380" w:type="dxa"/>
            <w:vAlign w:val="bottom"/>
          </w:tcPr>
          <w:p>
            <w:pPr>
              <w:spacing w:after="0"/>
              <w:rPr>
                <w:sz w:val="20"/>
                <w:szCs w:val="20"/>
                <w:color w:val="auto"/>
              </w:rPr>
            </w:pPr>
            <w:r>
              <w:rPr>
                <w:rFonts w:ascii="Courier New" w:cs="Courier New" w:eastAsia="Courier New" w:hAnsi="Courier New"/>
                <w:sz w:val="14"/>
                <w:szCs w:val="14"/>
                <w:color w:val="auto"/>
              </w:rPr>
              <w:t>Rate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Increase in Future</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92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Compensation</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5.41</w:t>
            </w:r>
          </w:p>
        </w:tc>
        <w:tc>
          <w:tcPr>
            <w:tcW w:w="780" w:type="dxa"/>
            <w:vAlign w:val="bottom"/>
          </w:tcPr>
          <w:p>
            <w:pPr>
              <w:ind w:left="160"/>
              <w:spacing w:after="0"/>
              <w:rPr>
                <w:sz w:val="20"/>
                <w:szCs w:val="20"/>
                <w:color w:val="auto"/>
              </w:rPr>
            </w:pPr>
            <w:r>
              <w:rPr>
                <w:rFonts w:ascii="Courier New" w:cs="Courier New" w:eastAsia="Courier New" w:hAnsi="Courier New"/>
                <w:sz w:val="14"/>
                <w:szCs w:val="14"/>
                <w:color w:val="auto"/>
              </w:rPr>
              <w:t>5.42</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rPr>
              <w:t>6.00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During 1994, Chase offered and completed a voluntary retirement program in which eligible participants in the postretirement plans received accelerated and enhanced benefits if they elected to retire under the program. As a result of this voluntary retirement program, a restructuring charge of $105 million was taken, primarily relating to pension benefits.</w:t>
      </w:r>
    </w:p>
    <w:p>
      <w:pPr>
        <w:spacing w:after="0" w:line="165"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Corporation has several defined contribution plans. The most significant are the Thrift Incentive Plan ("TIP") offered to domestic employees of Chase and the Savings Incentive Plan ("SIP") offered to domestic employees of Chemical. Subject to certain limits, the TIP and the SIP allow employees to make tax-deferred investments and earn matching contributions from the Corporation. Employee Benefits expense related to all defined contribution plans totaled $94 million in 1995, $86 million in 1994 and $74 million in 1993.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POSTRETIREMENT MEDICAL AND LIFE INSURANCE BENEFITS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The Corporation provides postretirement medical and life insurance benefits to substantially all domestic employees and to certain foreign employees who meet certain age and length-of-service requirements at retirement. The amount of benefits provided varies with length of service and date of hire. The medical plans are contributory and the life insurance plans are noncontributory. Employees hired by Chemical after April 15, 1992 pay the full cost of their benefits. The plans for both Chemical and Chase employees provide for limits on the Corporation's share of covered medical benefits. The Corporation has not prefunded these benefits.</w:t>
      </w:r>
    </w:p>
    <w:p>
      <w:pPr>
        <w:spacing w:after="0" w:line="164"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Effective January 1, 1993, the Corporation adopted SFAS No. 106, "Employers' Accounting for Postretirement Benefits Other Than Pensions" ("SFAS 106") for benefits provided to domestic employees. SFAS 106 requires recognition, during the years of the employees' active service, of the employer's expected cost and obligation of providing postretirement benefits other than pensions to employees and eligible dependents. The Corporation elected to expense the entire unrecognized accumulated obligation (for both predecessor institutions) in 1993 as of the date of adoption of SFAS 106 via a one-time pre-tax charge of approximately $685 million.</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Effective January 1, 1995, the Corporation adopted SFAS 106 for postretirement medical benefits for its eligible foreign employees. Consistent with the January 1, 1993 adoption of SFAS 106 for domestic employees, the Corporation elected to expense the entire unrecognized accumulated obligation as of the date of adoption of SFAS 106 related to its foreign employees via a one-time pre-tax charge of $17 million ($11 million after-tax).</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accompanying tables present the components of the liability included in Accrued Expenses, and the periodic expense included in Employee Benefits expense related to providing postretirement medical and life insurance benefits. The discount rates and rates of increase in future compensation used to determine the actuarial values for these benefits generally are consistent with those used for the Corporation's defined benefit pension plans. For 1995, the assumed weighted average medical benefits cost trend rate used to measure the expected cost of benefits covered was 10.4% for 1996, declining gradually to a floor of 5.7%. The effect of a 1% increase in the assumed medical benefits cost trend rate would be to increase the December 31, 1995 accumulated obligation and related periodic expense each by approximately 6%.</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COMPONENTS OF POSTRETIREMENT MEDICAL AND LIFE INSURANCE LIABILITY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DECEMBER 31, (IN MILLIONS)</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w:t>
            </w: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Retirees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$567</w:t>
            </w: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Active Employees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bl>
    <w:p>
      <w:pPr>
        <w:sectPr>
          <w:pgSz w:w="11900" w:h="16880" w:orient="portrait"/>
          <w:cols w:equalWidth="0" w:num="1">
            <w:col w:w="10239"/>
          </w:cols>
          <w:pgMar w:left="220" w:top="285" w:right="1440" w:bottom="0" w:gutter="0" w:footer="0" w:header="0"/>
        </w:sectPr>
      </w:pPr>
    </w:p>
    <w:bookmarkStart w:id="89" w:name="page90"/>
    <w:bookmarkEnd w:id="89"/>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w:t>
            </w:r>
          </w:p>
        </w:tc>
        <w:tc>
          <w:tcPr>
            <w:tcW w:w="1420" w:type="dxa"/>
            <w:vAlign w:val="bottom"/>
          </w:tcPr>
          <w:p>
            <w:pPr>
              <w:ind w:left="740"/>
              <w:spacing w:after="0"/>
              <w:rPr>
                <w:sz w:val="20"/>
                <w:szCs w:val="20"/>
                <w:color w:val="auto"/>
              </w:rPr>
            </w:pPr>
            <w:r>
              <w:rPr>
                <w:rFonts w:ascii="Courier New" w:cs="Courier New" w:eastAsia="Courier New" w:hAnsi="Courier New"/>
                <w:sz w:val="14"/>
                <w:szCs w:val="14"/>
                <w:color w:val="auto"/>
              </w:rPr>
              <w:t>818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681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Unrecognized Net Gain (Loss)</w:t>
            </w:r>
          </w:p>
        </w:tc>
        <w:tc>
          <w:tcPr>
            <w:tcW w:w="1420" w:type="dxa"/>
            <w:vAlign w:val="bottom"/>
          </w:tcPr>
          <w:p>
            <w:pPr>
              <w:ind w:left="740"/>
              <w:spacing w:after="0"/>
              <w:rPr>
                <w:sz w:val="20"/>
                <w:szCs w:val="20"/>
                <w:color w:val="auto"/>
              </w:rPr>
            </w:pPr>
            <w:r>
              <w:rPr>
                <w:rFonts w:ascii="Courier New" w:cs="Courier New" w:eastAsia="Courier New" w:hAnsi="Courier New"/>
                <w:sz w:val="14"/>
                <w:szCs w:val="14"/>
                <w:color w:val="auto"/>
              </w:rPr>
              <w:t>(40)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bl>
    <w:p>
      <w:pPr>
        <w:spacing w:after="0" w:line="4" w:lineRule="exact"/>
        <w:rPr>
          <w:sz w:val="20"/>
          <w:szCs w:val="20"/>
          <w:color w:val="auto"/>
        </w:rPr>
      </w:pPr>
    </w:p>
    <w:p>
      <w:pPr>
        <w:ind w:left="180" w:hanging="172"/>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Accrued Postretirement Medical and</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Life Insurance Benefits</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The unrecognized net loss at December 31, 1995 resulted primarily from the change in the discount rate at December 31, 1995.</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COMPONENTS OF NET POSTRETIREMENT MEDICAL AND LIFE INSURANCE EXPENSE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   1995</w:t>
            </w:r>
          </w:p>
        </w:tc>
        <w:tc>
          <w:tcPr>
            <w:tcW w:w="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Cost of Benefits</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Earned</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$ 9</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$ 9</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Interest Cost on</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Accumulated Benefit</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1420" w:type="dxa"/>
            <w:vAlign w:val="bottom"/>
          </w:tcPr>
          <w:p>
            <w:pPr>
              <w:ind w:left="180"/>
              <w:spacing w:after="0"/>
              <w:rPr>
                <w:sz w:val="20"/>
                <w:szCs w:val="20"/>
                <w:color w:val="auto"/>
              </w:rPr>
            </w:pPr>
            <w:r>
              <w:rPr>
                <w:rFonts w:ascii="Courier New" w:cs="Courier New" w:eastAsia="Courier New" w:hAnsi="Courier New"/>
                <w:sz w:val="14"/>
                <w:szCs w:val="14"/>
                <w:color w:val="auto"/>
              </w:rPr>
              <w:t>Obligation</w:t>
            </w:r>
          </w:p>
        </w:tc>
        <w:tc>
          <w:tcPr>
            <w:tcW w:w="1900" w:type="dxa"/>
            <w:vAlign w:val="bottom"/>
          </w:tcPr>
          <w:p>
            <w:pPr>
              <w:spacing w:after="0"/>
              <w:rPr>
                <w:sz w:val="14"/>
                <w:szCs w:val="14"/>
                <w:color w:val="auto"/>
              </w:rPr>
            </w:pP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Amortization of Net Gain(a)</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Postretirement Medical and Life</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Insurance Expense</w:t>
            </w:r>
          </w:p>
        </w:tc>
        <w:tc>
          <w:tcPr>
            <w:tcW w:w="1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939" w:firstLine="8"/>
        <w:spacing w:after="0" w:line="255" w:lineRule="auto"/>
        <w:tabs>
          <w:tab w:leader="none" w:pos="344"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1995, only individual plans with an unrecognized net gain met the accounting requirements for amortization.</w:t>
      </w:r>
    </w:p>
    <w:p>
      <w:pPr>
        <w:spacing w:after="0" w:line="160"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In 1996, postretirement medical and life insurance expense is expected to remain relatively unchanged.</w:t>
      </w:r>
    </w:p>
    <w:p>
      <w:pPr>
        <w:spacing w:after="0" w:line="160"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141"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ind w:left="180" w:hanging="172"/>
        <w:spacing w:after="0"/>
        <w:tabs>
          <w:tab w:leader="none" w:pos="1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14. EMPLOYEE STOCK INCENTIVE PLANS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INCENTIVE PLANS</w:t>
      </w:r>
    </w:p>
    <w:p>
      <w:pPr>
        <w:spacing w:after="0" w:line="173" w:lineRule="exact"/>
        <w:rPr>
          <w:sz w:val="20"/>
          <w:szCs w:val="20"/>
          <w:color w:val="auto"/>
        </w:rPr>
      </w:pPr>
    </w:p>
    <w:p>
      <w:pPr>
        <w:jc w:val="both"/>
        <w:ind w:right="4480"/>
        <w:spacing w:after="0" w:line="252" w:lineRule="auto"/>
        <w:rPr>
          <w:sz w:val="20"/>
          <w:szCs w:val="20"/>
          <w:color w:val="auto"/>
        </w:rPr>
      </w:pPr>
      <w:r>
        <w:rPr>
          <w:rFonts w:ascii="Courier New" w:cs="Courier New" w:eastAsia="Courier New" w:hAnsi="Courier New"/>
          <w:sz w:val="14"/>
          <w:szCs w:val="14"/>
          <w:color w:val="auto"/>
        </w:rPr>
        <w:t>The Corporation has several long-term stock incentive plans that provide for stock-based awards, including stock options, restricted stock and restricted stock units to certain key employees.</w:t>
      </w:r>
    </w:p>
    <w:p>
      <w:pPr>
        <w:spacing w:after="0" w:line="163" w:lineRule="exact"/>
        <w:rPr>
          <w:sz w:val="20"/>
          <w:szCs w:val="20"/>
          <w:color w:val="auto"/>
        </w:rPr>
      </w:pPr>
    </w:p>
    <w:p>
      <w:pPr>
        <w:ind w:right="4140" w:firstLine="431"/>
        <w:spacing w:after="0" w:line="251" w:lineRule="auto"/>
        <w:rPr>
          <w:sz w:val="20"/>
          <w:szCs w:val="20"/>
          <w:color w:val="auto"/>
        </w:rPr>
      </w:pPr>
      <w:r>
        <w:rPr>
          <w:rFonts w:ascii="Courier New" w:cs="Courier New" w:eastAsia="Courier New" w:hAnsi="Courier New"/>
          <w:sz w:val="14"/>
          <w:szCs w:val="14"/>
          <w:color w:val="auto"/>
        </w:rPr>
        <w:t>Prior to the merger, Chemical had in effect a long-term stock incentive plan (the "Chemical LTIP"), pursuant to which stock options have been issued at prices at least equal to the market value of the Corporation's common stock on the grant date. Generally, options cannot be exercised until one year after the grant date and become exercisable over various periods as determined at the time of grant. Options generally expire ten years after the grant date. Under generally accepted accounting principles, no compensation expense is required to be recognized in conjunction with granted or exercised options; amounts received upon the exercise of options are recorded as common stock and capital surplus.</w:t>
      </w:r>
    </w:p>
    <w:p>
      <w:pPr>
        <w:spacing w:after="0" w:line="164" w:lineRule="exact"/>
        <w:rPr>
          <w:sz w:val="20"/>
          <w:szCs w:val="20"/>
          <w:color w:val="auto"/>
        </w:rPr>
      </w:pPr>
    </w:p>
    <w:p>
      <w:pPr>
        <w:ind w:right="4140" w:firstLine="431"/>
        <w:spacing w:after="0" w:line="251" w:lineRule="auto"/>
        <w:rPr>
          <w:sz w:val="20"/>
          <w:szCs w:val="20"/>
          <w:color w:val="auto"/>
        </w:rPr>
      </w:pPr>
      <w:r>
        <w:rPr>
          <w:rFonts w:ascii="Courier New" w:cs="Courier New" w:eastAsia="Courier New" w:hAnsi="Courier New"/>
          <w:sz w:val="14"/>
          <w:szCs w:val="14"/>
          <w:color w:val="auto"/>
        </w:rPr>
        <w:t>Restricted stock and restricted stock units are issued under the Chemical LTIP at no cost to the recipient. Restricted stock is awarded subject to the risk of forfeiture until certain restrictions, including continued employment for a specified number of years, have lapsed. The recipient is, however, entitled to the voting rights and dividends on the stock. Restricted stock units entitle their holders to receive shares of common stock after a certain period of continued employment. The holders of restricted stock units are entitled to receive cash payments equivalent to the dividends that would have been received if the units were shares of common stock.</w:t>
      </w:r>
    </w:p>
    <w:p>
      <w:pPr>
        <w:spacing w:after="0" w:line="164" w:lineRule="exact"/>
        <w:rPr>
          <w:sz w:val="20"/>
          <w:szCs w:val="20"/>
          <w:color w:val="auto"/>
        </w:rPr>
      </w:pPr>
    </w:p>
    <w:p>
      <w:pPr>
        <w:ind w:right="4220" w:firstLine="431"/>
        <w:spacing w:after="0" w:line="251" w:lineRule="auto"/>
        <w:rPr>
          <w:sz w:val="20"/>
          <w:szCs w:val="20"/>
          <w:color w:val="auto"/>
        </w:rPr>
      </w:pPr>
      <w:r>
        <w:rPr>
          <w:rFonts w:ascii="Courier New" w:cs="Courier New" w:eastAsia="Courier New" w:hAnsi="Courier New"/>
          <w:sz w:val="14"/>
          <w:szCs w:val="14"/>
          <w:color w:val="auto"/>
        </w:rPr>
        <w:t>Most restricted shares and restricted stock units awarded under the Chemical LTIP during 1995 and 1994 vest when Chemical's common stock price reaches and sustains targeted prices for a minimum period of time. During 1995, restricted stock and restricted stock units totaling 858,680 were issued under the Chemical LTIP. The number of such awards issued under the Chemical LTIP during 1994 totaled 901,300. At December 31, 1995, more than half of all such awards had vested as a result of the first two stock price targets having been attained. The third and final stock price target was attained in the 1996 first quarter.</w:t>
      </w:r>
    </w:p>
    <w:p>
      <w:pPr>
        <w:spacing w:after="0" w:line="329" w:lineRule="exact"/>
        <w:rPr>
          <w:sz w:val="20"/>
          <w:szCs w:val="20"/>
          <w:color w:val="auto"/>
        </w:rPr>
      </w:pPr>
    </w:p>
    <w:p>
      <w:pPr>
        <w:ind w:right="4140" w:firstLine="431"/>
        <w:spacing w:after="0" w:line="251" w:lineRule="auto"/>
        <w:rPr>
          <w:sz w:val="20"/>
          <w:szCs w:val="20"/>
          <w:color w:val="auto"/>
        </w:rPr>
      </w:pPr>
      <w:r>
        <w:rPr>
          <w:rFonts w:ascii="Courier New" w:cs="Courier New" w:eastAsia="Courier New" w:hAnsi="Courier New"/>
          <w:sz w:val="14"/>
          <w:szCs w:val="14"/>
          <w:color w:val="auto"/>
        </w:rPr>
        <w:t>Compensation expense relating to most restricted shares and restricted stock units (e.g., for awards where the number of shares to be issued at the end of the restricted period is determined on the grant date) is equal to the market value of the Corporation's common stock on the grant date; for other awards, compensation expense generally is equal to the market value on the date the restrictions lapse (e.g., for awards that are forfeitable in the event that targets are not attained or that are payable in cash). Compensation expense is recognized over the restricted period.</w:t>
      </w:r>
    </w:p>
    <w:p>
      <w:pPr>
        <w:spacing w:after="0" w:line="164" w:lineRule="exact"/>
        <w:rPr>
          <w:sz w:val="20"/>
          <w:szCs w:val="20"/>
          <w:color w:val="auto"/>
        </w:rPr>
      </w:pPr>
    </w:p>
    <w:p>
      <w:pPr>
        <w:ind w:right="4140" w:firstLine="431"/>
        <w:spacing w:after="0" w:line="250" w:lineRule="auto"/>
        <w:rPr>
          <w:sz w:val="20"/>
          <w:szCs w:val="20"/>
          <w:color w:val="auto"/>
        </w:rPr>
      </w:pPr>
      <w:r>
        <w:rPr>
          <w:rFonts w:ascii="Courier New" w:cs="Courier New" w:eastAsia="Courier New" w:hAnsi="Courier New"/>
          <w:sz w:val="14"/>
          <w:szCs w:val="14"/>
          <w:color w:val="auto"/>
        </w:rPr>
        <w:t>A separate plan, the Chase Long-Term Incentive Plan (the "Chase LTIP"), in effect prior to the merger,provided for awards to selected key personnel of Chase in the form of options to purchase shares of common stock with or without related stock appreciation rights ("SARs") and restricted stock units. Options issued under the Chase LTIP are similar to those issued under the Chemical LTIP. Restricted stock units under the Chase LTIP entitle their holders to receive shares of common stock after a certain period of continued employment. During 1995 and 1994, 488,800 and 156,000 restricted stock units, respectively, were issued under the Chase LTIP. SARs permit their holders to surrender their related options in exchange for cash or shares in an amount equal to the excess of the market price per share of the stock on the date the right is exercised over the related option price. SARs related to nonqualified stock options are recorded as compensation expense based on the excess of the fair market value of the number of shares of stock covered by a SAR over the option price. No further awards will be made under the Chase LTIP after the merger. As a result of the merger, the Corporation assumed all unexercised awards previously granted under the Chase LTIP at a conversion rate of 1.04 for each outstanding award.</w:t>
      </w:r>
    </w:p>
    <w:p>
      <w:pPr>
        <w:spacing w:after="0" w:line="173" w:lineRule="exact"/>
        <w:rPr>
          <w:sz w:val="20"/>
          <w:szCs w:val="20"/>
          <w:color w:val="auto"/>
        </w:rPr>
      </w:pPr>
    </w:p>
    <w:p>
      <w:pPr>
        <w:ind w:right="4140" w:firstLine="431"/>
        <w:spacing w:after="0" w:line="255" w:lineRule="auto"/>
        <w:rPr>
          <w:sz w:val="20"/>
          <w:szCs w:val="20"/>
          <w:color w:val="auto"/>
        </w:rPr>
      </w:pPr>
      <w:r>
        <w:rPr>
          <w:rFonts w:ascii="Courier New" w:cs="Courier New" w:eastAsia="Courier New" w:hAnsi="Courier New"/>
          <w:sz w:val="14"/>
          <w:szCs w:val="14"/>
          <w:color w:val="auto"/>
        </w:rPr>
        <w:t>The following table presents a summary of the aggregate option transactions for the Chemical and Chase LTIPs during 1995 and 1994.</w:t>
      </w:r>
    </w:p>
    <w:p>
      <w:pPr>
        <w:spacing w:after="0" w:line="200" w:lineRule="exact"/>
        <w:rPr>
          <w:sz w:val="20"/>
          <w:szCs w:val="20"/>
          <w:color w:val="auto"/>
        </w:rPr>
      </w:pPr>
    </w:p>
    <w:p>
      <w:pPr>
        <w:spacing w:after="0" w:line="291" w:lineRule="exact"/>
        <w:rPr>
          <w:sz w:val="20"/>
          <w:szCs w:val="20"/>
          <w:color w:val="auto"/>
        </w:rPr>
      </w:pPr>
    </w:p>
    <w:p>
      <w:pPr>
        <w:ind w:left="3360"/>
        <w:spacing w:after="0"/>
        <w:tabs>
          <w:tab w:leader="none" w:pos="4200" w:val="left"/>
          <w:tab w:leader="none" w:pos="7220" w:val="left"/>
          <w:tab w:leader="none" w:pos="8080" w:val="left"/>
        </w:tabs>
        <w:rPr>
          <w:sz w:val="20"/>
          <w:szCs w:val="20"/>
          <w:color w:val="auto"/>
        </w:rPr>
      </w:pP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STOCK OPTIONS</w:t>
      </w:r>
      <w:r>
        <w:rPr>
          <w:sz w:val="20"/>
          <w:szCs w:val="20"/>
          <w:color w:val="auto"/>
        </w:rPr>
        <w:tab/>
      </w:r>
      <w:r>
        <w:rPr>
          <w:rFonts w:ascii="Courier New" w:cs="Courier New" w:eastAsia="Courier New" w:hAnsi="Courier New"/>
          <w:sz w:val="14"/>
          <w:szCs w:val="14"/>
          <w:color w:val="auto"/>
        </w:rPr>
        <w:t>STOCK</w:t>
      </w:r>
      <w:r>
        <w:rPr>
          <w:sz w:val="20"/>
          <w:szCs w:val="20"/>
          <w:color w:val="auto"/>
        </w:rPr>
        <w:tab/>
      </w:r>
      <w:r>
        <w:rPr>
          <w:rFonts w:ascii="Courier New" w:cs="Courier New" w:eastAsia="Courier New" w:hAnsi="Courier New"/>
          <w:sz w:val="14"/>
          <w:szCs w:val="14"/>
          <w:color w:val="auto"/>
        </w:rPr>
        <w:t>STOCK OPTIONS</w:t>
      </w:r>
    </w:p>
    <w:p>
      <w:pPr>
        <w:spacing w:after="0" w:line="7" w:lineRule="exact"/>
        <w:rPr>
          <w:sz w:val="20"/>
          <w:szCs w:val="20"/>
          <w:color w:val="auto"/>
        </w:rPr>
      </w:pPr>
    </w:p>
    <w:p>
      <w:pPr>
        <w:ind w:left="3280"/>
        <w:spacing w:after="0"/>
        <w:tabs>
          <w:tab w:leader="none" w:pos="4300" w:val="left"/>
          <w:tab w:leader="none" w:pos="5580" w:val="left"/>
          <w:tab w:leader="none" w:pos="7140" w:val="left"/>
          <w:tab w:leader="none" w:pos="8260" w:val="left"/>
          <w:tab w:leader="none" w:pos="9300" w:val="left"/>
        </w:tabs>
        <w:rPr>
          <w:sz w:val="20"/>
          <w:szCs w:val="20"/>
          <w:color w:val="auto"/>
        </w:rPr>
      </w:pP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WITH SARS</w:t>
      </w:r>
      <w:r>
        <w:rPr>
          <w:sz w:val="20"/>
          <w:szCs w:val="20"/>
          <w:color w:val="auto"/>
        </w:rPr>
        <w:tab/>
      </w:r>
      <w:r>
        <w:rPr>
          <w:rFonts w:ascii="Courier New" w:cs="Courier New" w:eastAsia="Courier New" w:hAnsi="Courier New"/>
          <w:sz w:val="14"/>
          <w:szCs w:val="14"/>
          <w:color w:val="auto"/>
        </w:rPr>
        <w:t>OPTION PRICE</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WITH SARS</w:t>
      </w:r>
      <w:r>
        <w:rPr>
          <w:sz w:val="20"/>
          <w:szCs w:val="20"/>
          <w:color w:val="auto"/>
        </w:rPr>
        <w:tab/>
      </w:r>
      <w:r>
        <w:rPr>
          <w:rFonts w:ascii="Courier New" w:cs="Courier New" w:eastAsia="Courier New" w:hAnsi="Courier New"/>
          <w:sz w:val="14"/>
          <w:szCs w:val="14"/>
          <w:color w:val="auto"/>
        </w:rPr>
        <w:t>OPTION PRICE</w:t>
      </w:r>
    </w:p>
    <w:p>
      <w:pPr>
        <w:spacing w:after="0" w:line="7" w:lineRule="exact"/>
        <w:rPr>
          <w:sz w:val="20"/>
          <w:szCs w:val="20"/>
          <w:color w:val="auto"/>
        </w:rPr>
      </w:pPr>
    </w:p>
    <w:p>
      <w:pPr>
        <w:spacing w:after="0"/>
        <w:tabs>
          <w:tab w:leader="none" w:pos="4460" w:val="left"/>
          <w:tab w:leader="none" w:pos="8340" w:val="left"/>
        </w:tabs>
        <w:rPr>
          <w:sz w:val="20"/>
          <w:szCs w:val="20"/>
          <w:color w:val="auto"/>
        </w:rPr>
      </w:pPr>
      <w:r>
        <w:rPr>
          <w:rFonts w:ascii="Courier New" w:cs="Courier New" w:eastAsia="Courier New" w:hAnsi="Courier New"/>
          <w:sz w:val="14"/>
          <w:szCs w:val="14"/>
          <w:color w:val="auto"/>
        </w:rPr>
        <w:t>YEAR ENDED DECEMBER 31,</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Options Outstanding, January 1</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21,378,667</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545,114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$10.22</w:t>
            </w:r>
          </w:p>
        </w:tc>
        <w:tc>
          <w:tcPr>
            <w:tcW w:w="9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$43.13</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17,210,853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792,130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$10.22--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$43.13</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4,936,692</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33.06</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54.93</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6,032,785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21.80--</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40.19</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(4,252,101)</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(137,204)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10.22</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43.13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(1,274,365)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(130,131)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10.22--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39.06</w:t>
            </w:r>
          </w:p>
        </w:tc>
      </w:tr>
      <w:tr>
        <w:trPr>
          <w:trHeight w:val="166"/>
        </w:trPr>
        <w:tc>
          <w:tcPr>
            <w:tcW w:w="290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13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(439,251)</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(195,606)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10.22</w:t>
            </w:r>
          </w:p>
        </w:tc>
        <w:tc>
          <w:tcPr>
            <w:tcW w:w="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46.80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(590,606)</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(116,885)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10.22--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43.13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180" w:val="left"/>
          <w:tab w:leader="none" w:pos="4460" w:val="left"/>
          <w:tab w:leader="none" w:pos="5420" w:val="left"/>
          <w:tab w:leader="none" w:pos="7060" w:val="left"/>
          <w:tab w:leader="none" w:pos="8260" w:val="left"/>
          <w:tab w:leader="none" w:pos="9200" w:val="left"/>
        </w:tabs>
        <w:rPr>
          <w:sz w:val="20"/>
          <w:szCs w:val="20"/>
          <w:color w:val="auto"/>
        </w:rPr>
      </w:pPr>
      <w:r>
        <w:rPr>
          <w:rFonts w:ascii="Courier New" w:cs="Courier New" w:eastAsia="Courier New" w:hAnsi="Courier New"/>
          <w:sz w:val="14"/>
          <w:szCs w:val="14"/>
          <w:color w:val="auto"/>
        </w:rPr>
        <w:t>Options Outstanding, December 31</w:t>
      </w:r>
      <w:r>
        <w:rPr>
          <w:sz w:val="20"/>
          <w:szCs w:val="20"/>
          <w:color w:val="auto"/>
        </w:rPr>
        <w:tab/>
      </w:r>
      <w:r>
        <w:rPr>
          <w:rFonts w:ascii="Courier New" w:cs="Courier New" w:eastAsia="Courier New" w:hAnsi="Courier New"/>
          <w:sz w:val="14"/>
          <w:szCs w:val="14"/>
          <w:color w:val="auto"/>
        </w:rPr>
        <w:t>21,624,007</w:t>
      </w:r>
      <w:r>
        <w:rPr>
          <w:sz w:val="20"/>
          <w:szCs w:val="20"/>
          <w:color w:val="auto"/>
        </w:rPr>
        <w:tab/>
      </w:r>
      <w:r>
        <w:rPr>
          <w:rFonts w:ascii="Courier New" w:cs="Courier New" w:eastAsia="Courier New" w:hAnsi="Courier New"/>
          <w:sz w:val="14"/>
          <w:szCs w:val="14"/>
          <w:color w:val="auto"/>
        </w:rPr>
        <w:t>212,304</w:t>
      </w:r>
      <w:r>
        <w:rPr>
          <w:sz w:val="20"/>
          <w:szCs w:val="20"/>
          <w:color w:val="auto"/>
        </w:rPr>
        <w:tab/>
      </w:r>
      <w:r>
        <w:rPr>
          <w:rFonts w:ascii="Courier New" w:cs="Courier New" w:eastAsia="Courier New" w:hAnsi="Courier New"/>
          <w:sz w:val="14"/>
          <w:szCs w:val="14"/>
          <w:color w:val="auto"/>
        </w:rPr>
        <w:t>$10.22 - $54.93</w:t>
      </w:r>
      <w:r>
        <w:rPr>
          <w:sz w:val="20"/>
          <w:szCs w:val="20"/>
          <w:color w:val="auto"/>
        </w:rPr>
        <w:tab/>
      </w:r>
      <w:r>
        <w:rPr>
          <w:rFonts w:ascii="Courier New" w:cs="Courier New" w:eastAsia="Courier New" w:hAnsi="Courier New"/>
          <w:sz w:val="14"/>
          <w:szCs w:val="14"/>
          <w:color w:val="auto"/>
        </w:rPr>
        <w:t>21,378,667</w:t>
      </w:r>
      <w:r>
        <w:rPr>
          <w:sz w:val="20"/>
          <w:szCs w:val="20"/>
          <w:color w:val="auto"/>
        </w:rPr>
        <w:tab/>
      </w:r>
      <w:r>
        <w:rPr>
          <w:rFonts w:ascii="Courier New" w:cs="Courier New" w:eastAsia="Courier New" w:hAnsi="Courier New"/>
          <w:sz w:val="14"/>
          <w:szCs w:val="14"/>
          <w:color w:val="auto"/>
        </w:rPr>
        <w:t>545,114</w:t>
      </w:r>
      <w:r>
        <w:rPr>
          <w:sz w:val="20"/>
          <w:szCs w:val="20"/>
          <w:color w:val="auto"/>
        </w:rPr>
        <w:tab/>
      </w:r>
      <w:r>
        <w:rPr>
          <w:rFonts w:ascii="Courier New" w:cs="Courier New" w:eastAsia="Courier New" w:hAnsi="Courier New"/>
          <w:sz w:val="14"/>
          <w:szCs w:val="14"/>
          <w:color w:val="auto"/>
        </w:rPr>
        <w:t>$10.22--$43.13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180" w:val="left"/>
          <w:tab w:leader="none" w:pos="4460" w:val="left"/>
          <w:tab w:leader="none" w:pos="5420" w:val="left"/>
          <w:tab w:leader="none" w:pos="7060" w:val="left"/>
          <w:tab w:leader="none" w:pos="8260" w:val="left"/>
          <w:tab w:leader="none" w:pos="9200" w:val="left"/>
        </w:tabs>
        <w:rPr>
          <w:sz w:val="20"/>
          <w:szCs w:val="20"/>
          <w:color w:val="auto"/>
        </w:rPr>
      </w:pPr>
      <w:r>
        <w:rPr>
          <w:rFonts w:ascii="Courier New" w:cs="Courier New" w:eastAsia="Courier New" w:hAnsi="Courier New"/>
          <w:sz w:val="14"/>
          <w:szCs w:val="14"/>
          <w:color w:val="auto"/>
        </w:rPr>
        <w:t>Options Exercisable at December 31</w:t>
      </w:r>
      <w:r>
        <w:rPr>
          <w:sz w:val="20"/>
          <w:szCs w:val="20"/>
          <w:color w:val="auto"/>
        </w:rPr>
        <w:tab/>
      </w:r>
      <w:r>
        <w:rPr>
          <w:rFonts w:ascii="Courier New" w:cs="Courier New" w:eastAsia="Courier New" w:hAnsi="Courier New"/>
          <w:sz w:val="14"/>
          <w:szCs w:val="14"/>
          <w:color w:val="auto"/>
        </w:rPr>
        <w:t>12,535,615</w:t>
      </w:r>
      <w:r>
        <w:rPr>
          <w:sz w:val="20"/>
          <w:szCs w:val="20"/>
          <w:color w:val="auto"/>
        </w:rPr>
        <w:tab/>
      </w:r>
      <w:r>
        <w:rPr>
          <w:rFonts w:ascii="Courier New" w:cs="Courier New" w:eastAsia="Courier New" w:hAnsi="Courier New"/>
          <w:sz w:val="14"/>
          <w:szCs w:val="14"/>
          <w:color w:val="auto"/>
        </w:rPr>
        <w:t>212,304</w:t>
      </w:r>
      <w:r>
        <w:rPr>
          <w:sz w:val="20"/>
          <w:szCs w:val="20"/>
          <w:color w:val="auto"/>
        </w:rPr>
        <w:tab/>
      </w:r>
      <w:r>
        <w:rPr>
          <w:rFonts w:ascii="Courier New" w:cs="Courier New" w:eastAsia="Courier New" w:hAnsi="Courier New"/>
          <w:sz w:val="14"/>
          <w:szCs w:val="14"/>
          <w:color w:val="auto"/>
        </w:rPr>
        <w:t>$10.22 - $51.25</w:t>
      </w:r>
      <w:r>
        <w:rPr>
          <w:sz w:val="20"/>
          <w:szCs w:val="20"/>
          <w:color w:val="auto"/>
        </w:rPr>
        <w:tab/>
      </w:r>
      <w:r>
        <w:rPr>
          <w:rFonts w:ascii="Courier New" w:cs="Courier New" w:eastAsia="Courier New" w:hAnsi="Courier New"/>
          <w:sz w:val="14"/>
          <w:szCs w:val="14"/>
          <w:color w:val="auto"/>
        </w:rPr>
        <w:t>12,247,582</w:t>
      </w:r>
      <w:r>
        <w:rPr>
          <w:sz w:val="20"/>
          <w:szCs w:val="20"/>
          <w:color w:val="auto"/>
        </w:rPr>
        <w:tab/>
      </w:r>
      <w:r>
        <w:rPr>
          <w:rFonts w:ascii="Courier New" w:cs="Courier New" w:eastAsia="Courier New" w:hAnsi="Courier New"/>
          <w:sz w:val="14"/>
          <w:szCs w:val="14"/>
          <w:color w:val="auto"/>
        </w:rPr>
        <w:t>545,114</w:t>
      </w:r>
      <w:r>
        <w:rPr>
          <w:sz w:val="20"/>
          <w:szCs w:val="20"/>
          <w:color w:val="auto"/>
        </w:rPr>
        <w:tab/>
      </w:r>
      <w:r>
        <w:rPr>
          <w:rFonts w:ascii="Courier New" w:cs="Courier New" w:eastAsia="Courier New" w:hAnsi="Courier New"/>
          <w:sz w:val="14"/>
          <w:szCs w:val="14"/>
          <w:color w:val="auto"/>
        </w:rPr>
        <w:t>$10.22--$43.13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320" w:firstLine="431"/>
        <w:spacing w:after="0" w:line="251" w:lineRule="auto"/>
        <w:rPr>
          <w:sz w:val="20"/>
          <w:szCs w:val="20"/>
          <w:color w:val="auto"/>
        </w:rPr>
      </w:pPr>
      <w:r>
        <w:rPr>
          <w:rFonts w:ascii="Courier New" w:cs="Courier New" w:eastAsia="Courier New" w:hAnsi="Courier New"/>
          <w:sz w:val="14"/>
          <w:szCs w:val="14"/>
          <w:color w:val="auto"/>
        </w:rPr>
        <w:t>At December 31, 1995 and 1994, 16,727,850 and 19,078,482 shares, respectively, of the Corporation's common stock were reserved for issuance and available for future awards under the Chemical and Chase LTIPs. In January of 1995 and 1996, the Corporation, pursuant to the terms of the Chemical LTIP, reserved additional shares equal to 1.5% of its outstanding shares of common stock for future awards under the Chemical LTIP.</w:t>
      </w:r>
    </w:p>
    <w:p>
      <w:pPr>
        <w:sectPr>
          <w:pgSz w:w="11900" w:h="16838" w:orient="portrait"/>
          <w:cols w:equalWidth="0" w:num="1">
            <w:col w:w="11040"/>
          </w:cols>
          <w:pgMar w:left="220" w:top="285" w:right="639" w:bottom="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1040"/>
          </w:cols>
          <w:pgMar w:left="220" w:top="285" w:right="639" w:bottom="0" w:gutter="0" w:footer="0" w:header="0"/>
          <w:type w:val="continuous"/>
        </w:sectPr>
      </w:pPr>
    </w:p>
    <w:bookmarkStart w:id="91" w:name="page92"/>
    <w:bookmarkEnd w:id="91"/>
    <w:p>
      <w:pPr>
        <w:spacing w:after="0" w:line="4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52</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p>
      <w:pPr>
        <w:ind w:left="180" w:hanging="172"/>
        <w:spacing w:after="0"/>
        <w:tabs>
          <w:tab w:leader="none" w:pos="1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STOCK OPTION PLANS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addition to the awards granted under the Chemical and Chase LTIPs, the Corporation adopted a broad-based employee stock option plan in June 1994 and, as a result of the merger, assumed Chase's broad-based employee stock option plan, originally adopted in January 1994. Under the Chemical plan, Chemical granted 20,025,250 non-qualified stock options to purchase shares of its common stock to all full-time (500 options each) and part-time (250 options each) employees (excluding senior officers). These options were granted at the $40.50 market price of Chemical's common stock on June 15, 1994 and were exercisable in three installments if Chemical's common stock price closed at, or above, certain targeted prices for a pre-specified period. During 1995, all three minimum target prices were met and maintained for the specified periods giving grant recipients the right to exercise all of their options. Any options not exercised by June 14, 2004 will be forfeited as of that date.</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Under the Chase Plan, substantially all full-time employees were awarded options to purchase 400 shares of common stock, and substantially all part-time employees were awarded options to purchase 200 shares of common stock, at an exercise price of $35.50 per share. Employees who began employment after January 19, 1994 were awarded options to purchase a proportionately reduced number of shares based on the time remaining between the commencement of employment and the first date the options could be exercised. When granted, the options, which expire on January 19, 2004, were exercisable on January 19, 2003, with early exercise permitted commencing as early as January 1997, upon the occurrence of certain events. The options were accelerated to become exercisable on December 11, 1995 as a result of shareholder approval of the merger. The Corporation has assumed all such options that remained unexercised at the time of the merger.</w:t>
      </w:r>
    </w:p>
    <w:p>
      <w:pPr>
        <w:spacing w:after="0" w:line="163"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Neither the grant nor the exercise of such employee stock options result in a charge to the Corporation's earnings under current accounting rules.</w:t>
      </w:r>
    </w:p>
    <w:p>
      <w:pPr>
        <w:spacing w:after="0" w:line="160"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following table presents the activity in the broad-based employee stock option plans of Chemical and Chase during 1995 and 1994.</w:t>
      </w:r>
    </w:p>
    <w:p>
      <w:pPr>
        <w:sectPr>
          <w:pgSz w:w="11900" w:h="16880" w:orient="portrait"/>
          <w:cols w:equalWidth="0" w:num="1">
            <w:col w:w="10239"/>
          </w:cols>
          <w:pgMar w:left="220" w:top="285" w:right="144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left="3720"/>
        <w:spacing w:after="0"/>
        <w:rPr>
          <w:sz w:val="20"/>
          <w:szCs w:val="20"/>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jc w:val="center"/>
        <w:ind w:left="3720"/>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NUMBER OF</w:t>
      </w:r>
    </w:p>
    <w:p>
      <w:pPr>
        <w:spacing w:after="0" w:line="7"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 PRICE</w:t>
      </w:r>
    </w:p>
    <w:p>
      <w:pPr>
        <w:spacing w:after="0" w:line="7" w:lineRule="exact"/>
        <w:rPr>
          <w:sz w:val="20"/>
          <w:szCs w:val="20"/>
          <w:color w:val="auto"/>
        </w:rPr>
      </w:pPr>
    </w:p>
    <w:p>
      <w:pPr>
        <w:sectPr>
          <w:pgSz w:w="11900" w:h="16880" w:orient="portrait"/>
          <w:cols w:equalWidth="0" w:num="4">
            <w:col w:w="4480" w:space="700"/>
            <w:col w:w="1040" w:space="600"/>
            <w:col w:w="760" w:space="700"/>
            <w:col w:w="1959"/>
          </w:cols>
          <w:pgMar w:left="220" w:top="285" w:right="1440" w:bottom="0" w:gutter="0" w:footer="0" w:header="0"/>
          <w:type w:val="continuous"/>
        </w:sectPr>
      </w:pPr>
    </w:p>
    <w:p>
      <w:pPr>
        <w:spacing w:after="0"/>
        <w:tabs>
          <w:tab w:leader="none" w:pos="4560" w:val="left"/>
          <w:tab w:leader="none" w:pos="7740" w:val="left"/>
        </w:tabs>
        <w:rPr>
          <w:sz w:val="20"/>
          <w:szCs w:val="20"/>
          <w:color w:val="auto"/>
        </w:rPr>
      </w:pPr>
      <w:r>
        <w:rPr>
          <w:rFonts w:ascii="Courier New" w:cs="Courier New" w:eastAsia="Courier New" w:hAnsi="Courier New"/>
          <w:sz w:val="14"/>
          <w:szCs w:val="14"/>
          <w:color w:val="auto"/>
        </w:rPr>
        <w:t>YEAR ENDED DECEMBER 31,</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ectPr>
          <w:pgSz w:w="11900" w:h="16880" w:orient="portrait"/>
          <w:cols w:equalWidth="0" w:num="1">
            <w:col w:w="10239"/>
          </w:cols>
          <w:pgMar w:left="220" w:top="285"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Options Outstanding, January 1</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32,497,662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$30.77</w:t>
            </w:r>
          </w:p>
        </w:tc>
        <w:tc>
          <w:tcPr>
            <w:tcW w:w="10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$40.50</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7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449,448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34.19</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45.32</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36,202,427</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30.77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40.50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(11,385,569)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30.77</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45.32</w:t>
            </w:r>
          </w:p>
        </w:tc>
        <w:tc>
          <w:tcPr>
            <w:tcW w:w="14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17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(3,025,818)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30.77</w:t>
            </w:r>
          </w:p>
        </w:tc>
        <w:tc>
          <w:tcPr>
            <w:tcW w:w="2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45.32</w:t>
            </w:r>
          </w:p>
        </w:tc>
        <w:tc>
          <w:tcPr>
            <w:tcW w:w="1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(3,704,765)</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30.77</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40.50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600" w:val="left"/>
          <w:tab w:leader="none" w:pos="4980" w:val="left"/>
          <w:tab w:leader="none" w:pos="6800" w:val="left"/>
          <w:tab w:leader="none" w:pos="8180" w:val="left"/>
        </w:tabs>
        <w:rPr>
          <w:sz w:val="20"/>
          <w:szCs w:val="20"/>
          <w:color w:val="auto"/>
        </w:rPr>
      </w:pPr>
      <w:r>
        <w:rPr>
          <w:rFonts w:ascii="Courier New" w:cs="Courier New" w:eastAsia="Courier New" w:hAnsi="Courier New"/>
          <w:sz w:val="14"/>
          <w:szCs w:val="14"/>
          <w:color w:val="auto"/>
        </w:rPr>
        <w:t>Options Outstanding, December 31</w:t>
      </w:r>
      <w:r>
        <w:rPr>
          <w:sz w:val="20"/>
          <w:szCs w:val="20"/>
          <w:color w:val="auto"/>
        </w:rPr>
        <w:tab/>
      </w:r>
      <w:r>
        <w:rPr>
          <w:rFonts w:ascii="Courier New" w:cs="Courier New" w:eastAsia="Courier New" w:hAnsi="Courier New"/>
          <w:sz w:val="14"/>
          <w:szCs w:val="14"/>
          <w:color w:val="auto"/>
        </w:rPr>
        <w:t>18,535,723</w:t>
      </w:r>
      <w:r>
        <w:rPr>
          <w:sz w:val="20"/>
          <w:szCs w:val="20"/>
          <w:color w:val="auto"/>
        </w:rPr>
        <w:tab/>
      </w:r>
      <w:r>
        <w:rPr>
          <w:rFonts w:ascii="Courier New" w:cs="Courier New" w:eastAsia="Courier New" w:hAnsi="Courier New"/>
          <w:sz w:val="14"/>
          <w:szCs w:val="14"/>
          <w:color w:val="auto"/>
        </w:rPr>
        <w:t>$30.77 - $45.32</w:t>
      </w:r>
      <w:r>
        <w:rPr>
          <w:sz w:val="20"/>
          <w:szCs w:val="20"/>
          <w:color w:val="auto"/>
        </w:rPr>
        <w:tab/>
      </w:r>
      <w:r>
        <w:rPr>
          <w:rFonts w:ascii="Courier New" w:cs="Courier New" w:eastAsia="Courier New" w:hAnsi="Courier New"/>
          <w:sz w:val="14"/>
          <w:szCs w:val="14"/>
          <w:color w:val="auto"/>
        </w:rPr>
        <w:t>32,497,662</w:t>
      </w:r>
      <w:r>
        <w:rPr>
          <w:sz w:val="20"/>
          <w:szCs w:val="20"/>
          <w:color w:val="auto"/>
        </w:rPr>
        <w:tab/>
      </w:r>
      <w:r>
        <w:rPr>
          <w:rFonts w:ascii="Courier New" w:cs="Courier New" w:eastAsia="Courier New" w:hAnsi="Courier New"/>
          <w:sz w:val="14"/>
          <w:szCs w:val="14"/>
          <w:color w:val="auto"/>
        </w:rPr>
        <w:t>$ 30.77 - $40.50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RESTRUCTURING CHARGES AND OTHER EXPENSE</w:t>
      </w:r>
    </w:p>
    <w:p>
      <w:pPr>
        <w:spacing w:after="0" w:line="173" w:lineRule="exact"/>
        <w:rPr>
          <w:sz w:val="20"/>
          <w:szCs w:val="20"/>
          <w:color w:val="auto"/>
        </w:rPr>
      </w:pPr>
    </w:p>
    <w:p>
      <w:pPr>
        <w:ind w:right="3779"/>
        <w:spacing w:after="0" w:line="252" w:lineRule="auto"/>
        <w:rPr>
          <w:sz w:val="20"/>
          <w:szCs w:val="20"/>
          <w:color w:val="auto"/>
        </w:rPr>
      </w:pPr>
      <w:r>
        <w:rPr>
          <w:rFonts w:ascii="Courier New" w:cs="Courier New" w:eastAsia="Courier New" w:hAnsi="Courier New"/>
          <w:sz w:val="14"/>
          <w:szCs w:val="14"/>
          <w:color w:val="auto"/>
        </w:rPr>
        <w:t>Restructuring Charges: The 1995 results include a $15 million restructuring charge, taken by the Corporation relating to the exiting from a futures brokerage business.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1994 results include a pre-tax restructuring charge of $260 million taken by the Corporation in connection with the program to improve earnings per share. At December 31, 1995, the reserve balance associated with this charge was approximately $115 million relating substantially to the disposition of certain facilities, premises and equipment and the termination of leases. Additionally, a charge of $105 million was incurred by the Corporation relating to a voluntary retirement program offered to eligible employees. The Corporation also expensed $52 million for other productivity initiatives, such as exiting from certain consumer activities overseas, regionalizing foreign operations and for further streamlining of the domestic infrastructure. Further, during 1994, the Corporation incurred a restructuring charge of $48 million related to the closing of 50 New York branches and a staff reduction of 650.</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1993 results include a charge of $115 million taken by the Corporation after it completed an assessment of costs associated with the merger of Chemical and Manufacturers Hanover Corporation on December 31, 1991. Also in 1993, the Corporation's Texas Commerce subsidiary incurred a restructuring charge of $43 million in connection with the acquisition of assets and assumption of liabilities of four banks (the "First City Banks") of the former First City Bancorporation of Texas, Inc. from the Federal Deposit Insurance Corporation ("FDIC"). In 1993, the Corporation incurred a $45 million restructuring charge for the consolidation of data centers and other facilities.</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At December 31, 1995, the remaining reserves related to the above-mentioned restructuring charges (other than the reserve related to the program to improve earnings per share) were immaterial.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Expense: Details of other expense were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   1995</w:t>
            </w:r>
          </w:p>
        </w:tc>
        <w:tc>
          <w:tcPr>
            <w:tcW w:w="7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Other Expense:</w:t>
            </w:r>
          </w:p>
        </w:tc>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Professional</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559</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564</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486</w:t>
            </w:r>
          </w:p>
        </w:tc>
      </w:tr>
    </w:tbl>
    <w:p>
      <w:pPr>
        <w:sectPr>
          <w:pgSz w:w="11900" w:h="16880" w:orient="portrait"/>
          <w:cols w:equalWidth="0" w:num="1">
            <w:col w:w="10239"/>
          </w:cols>
          <w:pgMar w:left="220" w:top="285" w:right="1440" w:bottom="0" w:gutter="0" w:footer="0" w:header="0"/>
          <w:type w:val="continuous"/>
        </w:sectPr>
      </w:pPr>
    </w:p>
    <w:bookmarkStart w:id="92" w:name="page93"/>
    <w:bookmarkEnd w:id="92"/>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760" w:type="dxa"/>
            <w:vAlign w:val="bottom"/>
          </w:tcPr>
          <w:p>
            <w:pPr>
              <w:spacing w:after="0"/>
              <w:rPr>
                <w:sz w:val="20"/>
                <w:szCs w:val="20"/>
                <w:color w:val="auto"/>
              </w:rPr>
            </w:pPr>
            <w:r>
              <w:rPr>
                <w:rFonts w:ascii="Courier New" w:cs="Courier New" w:eastAsia="Courier New" w:hAnsi="Courier New"/>
                <w:sz w:val="14"/>
                <w:szCs w:val="14"/>
                <w:color w:val="auto"/>
              </w:rPr>
              <w:t>Marketing Expense</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372</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348</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FDIC Assessments</w:t>
            </w:r>
          </w:p>
        </w:tc>
        <w:tc>
          <w:tcPr>
            <w:tcW w:w="12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117(a)</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272</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Telecommunications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333</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244</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Amortization of Intangibles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182</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184</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All Other</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1,128</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Total Other Expense</w:t>
            </w:r>
          </w:p>
        </w:tc>
        <w:tc>
          <w:tcPr>
            <w:tcW w:w="1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$2,691</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$2,934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$ 2,654</w:t>
            </w:r>
          </w:p>
        </w:tc>
      </w:tr>
    </w:tbl>
    <w:p>
      <w:pPr>
        <w:spacing w:after="0" w:line="4" w:lineRule="exact"/>
        <w:rPr>
          <w:sz w:val="20"/>
          <w:szCs w:val="20"/>
          <w:color w:val="auto"/>
        </w:rPr>
      </w:pPr>
    </w:p>
    <w:p>
      <w:pPr>
        <w:ind w:left="180" w:hanging="172"/>
        <w:spacing w:after="0"/>
        <w:tabs>
          <w:tab w:leader="none" w:pos="1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 Reflects the impact of a reduction in the FDIC assessment rate.</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141" w:right="1440" w:bottom="1440" w:gutter="0" w:footer="0" w:header="0"/>
        </w:sectPr>
      </w:pPr>
    </w:p>
    <w:bookmarkStart w:id="93" w:name="page94"/>
    <w:bookmarkEnd w:id="93"/>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ind w:left="180" w:hanging="172"/>
        <w:spacing w:after="0"/>
        <w:tabs>
          <w:tab w:leader="none" w:pos="1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16. INCOME TAXES</w:t>
      </w:r>
    </w:p>
    <w:p>
      <w:pPr>
        <w:spacing w:after="0" w:line="173" w:lineRule="exact"/>
        <w:rPr>
          <w:sz w:val="20"/>
          <w:szCs w:val="20"/>
          <w:color w:val="auto"/>
        </w:rPr>
      </w:pPr>
    </w:p>
    <w:p>
      <w:pPr>
        <w:jc w:val="both"/>
        <w:ind w:right="3939"/>
        <w:spacing w:after="0" w:line="252" w:lineRule="auto"/>
        <w:rPr>
          <w:sz w:val="20"/>
          <w:szCs w:val="20"/>
          <w:color w:val="auto"/>
        </w:rPr>
      </w:pPr>
      <w:r>
        <w:rPr>
          <w:rFonts w:ascii="Courier New" w:cs="Courier New" w:eastAsia="Courier New" w:hAnsi="Courier New"/>
          <w:sz w:val="14"/>
          <w:szCs w:val="14"/>
          <w:color w:val="auto"/>
        </w:rPr>
        <w:t>As of January 1, 1993, the Corporation adopted SFAS 109 and, as a result, recognized a favorable cumulative effect on income tax expense of $1,053 million.</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valuation reserve was established as of January 1, 1993, in accordance with the requirements of SFAS 109, for tax benefits available to the Corporation but for which realization was in doubt. The Corporation's valuation reserve for Federal taxes was $115 million at December 31, 1995, relating primarily to tax benefits associated with foreign operations which are subject to tax law limitations on realization.</w:t>
      </w:r>
    </w:p>
    <w:p>
      <w:pPr>
        <w:spacing w:after="0" w:line="164" w:lineRule="exact"/>
        <w:rPr>
          <w:sz w:val="20"/>
          <w:szCs w:val="20"/>
          <w:color w:val="auto"/>
        </w:rPr>
      </w:pPr>
    </w:p>
    <w:p>
      <w:pPr>
        <w:ind w:right="3339" w:firstLine="431"/>
        <w:spacing w:after="0" w:line="252" w:lineRule="auto"/>
        <w:rPr>
          <w:sz w:val="20"/>
          <w:szCs w:val="20"/>
          <w:color w:val="auto"/>
        </w:rPr>
      </w:pPr>
      <w:r>
        <w:rPr>
          <w:rFonts w:ascii="Courier New" w:cs="Courier New" w:eastAsia="Courier New" w:hAnsi="Courier New"/>
          <w:sz w:val="14"/>
          <w:szCs w:val="14"/>
          <w:color w:val="auto"/>
        </w:rPr>
        <w:t>Deferred income tax expense (benefit) results from differences between amounts of assets and liabilities as measured for income tax return and financial reporting purposes. The significant components of Federal deferred tax assets and liabilities as of December 31, 1995 and 1994 are reflected in the following table.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20"/>
                <w:szCs w:val="20"/>
                <w:color w:val="auto"/>
              </w:rPr>
            </w:pPr>
            <w:r>
              <w:rPr>
                <w:rFonts w:ascii="Courier New" w:cs="Courier New" w:eastAsia="Courier New" w:hAnsi="Courier New"/>
                <w:sz w:val="14"/>
                <w:szCs w:val="14"/>
                <w:color w:val="auto"/>
              </w:rPr>
              <w:t>DECEMBER 31, (IN MILLIONS)</w:t>
            </w:r>
          </w:p>
        </w:tc>
        <w:tc>
          <w:tcPr>
            <w:tcW w:w="1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Federal Deferred Tax Assets:</w:t>
            </w: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Reserves for Credit Losses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933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983</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Reserves Other Than Credit Losses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716</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817</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Fair Value Adjustments-Available-for-</w:t>
            </w: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Sale-Securities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248</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Interest and Fee Accrual Differences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279</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Foreign Operations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197</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Securities Marked-to-Market for Tax</w:t>
            </w: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Purposes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Postretirement Benefits</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r>
      <w:tr>
        <w:trPr>
          <w:trHeight w:val="166"/>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Gross Federal Deferred Tax Assets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$2,657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$3,033</w:t>
            </w:r>
          </w:p>
        </w:tc>
      </w:tr>
    </w:tbl>
    <w:p>
      <w:pPr>
        <w:spacing w:after="0" w:line="4" w:lineRule="exact"/>
        <w:rPr>
          <w:sz w:val="20"/>
          <w:szCs w:val="20"/>
          <w:color w:val="auto"/>
        </w:rPr>
      </w:pPr>
    </w:p>
    <w:p>
      <w:pPr>
        <w:ind w:left="180" w:hanging="172"/>
        <w:spacing w:after="0"/>
        <w:tabs>
          <w:tab w:leader="none" w:pos="1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Federal Deferred Tax Liabilities:</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Leasing Transactions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$1,144</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Pension Benefits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Securities Marked-to-Market for Tax</w:t>
            </w: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Purposes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226</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Gross Federal Deferred Tax Liabilities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$1,445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$1,760</w:t>
            </w:r>
          </w:p>
        </w:tc>
      </w:tr>
    </w:tbl>
    <w:p>
      <w:pPr>
        <w:spacing w:after="0" w:line="4" w:lineRule="exact"/>
        <w:rPr>
          <w:sz w:val="20"/>
          <w:szCs w:val="20"/>
          <w:color w:val="auto"/>
        </w:rPr>
      </w:pPr>
    </w:p>
    <w:p>
      <w:pPr>
        <w:ind w:left="180" w:hanging="172"/>
        <w:spacing w:after="0"/>
        <w:tabs>
          <w:tab w:leader="none" w:pos="1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Federal Tax Asset Valuation</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160" w:type="dxa"/>
            <w:vAlign w:val="bottom"/>
          </w:tcPr>
          <w:p>
            <w:pPr>
              <w:spacing w:after="0"/>
              <w:rPr>
                <w:sz w:val="20"/>
                <w:szCs w:val="20"/>
                <w:color w:val="auto"/>
              </w:rPr>
            </w:pPr>
            <w:r>
              <w:rPr>
                <w:rFonts w:ascii="Courier New" w:cs="Courier New" w:eastAsia="Courier New" w:hAnsi="Courier New"/>
                <w:sz w:val="14"/>
                <w:szCs w:val="14"/>
                <w:color w:val="auto"/>
              </w:rPr>
              <w:t>Reserve</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115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  144</w:t>
            </w:r>
          </w:p>
        </w:tc>
      </w:tr>
    </w:tbl>
    <w:p>
      <w:pPr>
        <w:spacing w:after="0" w:line="4" w:lineRule="exact"/>
        <w:rPr>
          <w:sz w:val="20"/>
          <w:szCs w:val="20"/>
          <w:color w:val="auto"/>
        </w:rPr>
      </w:pPr>
    </w:p>
    <w:p>
      <w:pPr>
        <w:ind w:left="180" w:hanging="172"/>
        <w:spacing w:after="0"/>
        <w:tabs>
          <w:tab w:leader="none" w:pos="18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Federal Deferred Tax Asset After</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580" w:type="dxa"/>
            <w:vAlign w:val="bottom"/>
          </w:tcPr>
          <w:p>
            <w:pPr>
              <w:spacing w:after="0"/>
              <w:rPr>
                <w:sz w:val="20"/>
                <w:szCs w:val="20"/>
                <w:color w:val="auto"/>
              </w:rPr>
            </w:pPr>
            <w:r>
              <w:rPr>
                <w:rFonts w:ascii="Courier New" w:cs="Courier New" w:eastAsia="Courier New" w:hAnsi="Courier New"/>
                <w:sz w:val="14"/>
                <w:szCs w:val="14"/>
                <w:color w:val="auto"/>
              </w:rPr>
              <w:t>Valuation Reserve</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 valuation reserve of $148 million as of December 31, 1995, has been established against all New York State and City deferred tax assets. The Corporation has recorded deferred New York State and City tax liabilities of approximately $140 million, net of deferred tax assets and related valuation reserve, as of December 31, 1995. Foreign deferred taxes are approximately $321 million as of December 31, 1995 and a Federal deferred tax asset has been recorded in accordance with SFAS 109. The Corporation expects that when paid, these foreign taxes will be creditable against its Federal income tax liability.</w:t>
      </w:r>
    </w:p>
    <w:p>
      <w:pPr>
        <w:spacing w:after="0" w:line="164"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components of income tax expense included in the Consolidated Statement of Income were as follows: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1995   1994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Current Income Tax Expense:</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$1,232</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605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$ 389</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343</w:t>
            </w:r>
          </w:p>
        </w:tc>
      </w:tr>
      <w:tr>
        <w:trPr>
          <w:trHeight w:val="166"/>
        </w:trPr>
        <w:tc>
          <w:tcPr>
            <w:tcW w:w="2860" w:type="dxa"/>
            <w:vAlign w:val="bottom"/>
          </w:tcPr>
          <w:p>
            <w:pPr>
              <w:spacing w:after="0"/>
              <w:rPr>
                <w:sz w:val="20"/>
                <w:szCs w:val="20"/>
                <w:color w:val="auto"/>
              </w:rPr>
            </w:pPr>
            <w:r>
              <w:rPr>
                <w:rFonts w:ascii="Courier New" w:cs="Courier New" w:eastAsia="Courier New" w:hAnsi="Courier New"/>
                <w:sz w:val="14"/>
                <w:szCs w:val="14"/>
                <w:color w:val="auto"/>
              </w:rPr>
              <w:t>State and Local</w:t>
            </w:r>
          </w:p>
        </w:tc>
        <w:tc>
          <w:tcPr>
            <w:tcW w:w="1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264</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Total Current</w:t>
            </w:r>
          </w:p>
        </w:tc>
        <w:tc>
          <w:tcPr>
            <w:tcW w:w="17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1,877</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974</w:t>
            </w:r>
          </w:p>
        </w:tc>
      </w:tr>
    </w:tbl>
    <w:p>
      <w:pPr>
        <w:spacing w:after="0" w:line="4" w:lineRule="exact"/>
        <w:rPr>
          <w:sz w:val="20"/>
          <w:szCs w:val="20"/>
          <w:color w:val="auto"/>
        </w:rPr>
      </w:pPr>
    </w:p>
    <w:p>
      <w:pPr>
        <w:ind w:left="180" w:hanging="172"/>
        <w:spacing w:after="0"/>
        <w:tabs>
          <w:tab w:leader="none" w:pos="18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Income Tax Expense (Benefit):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20"/>
                <w:szCs w:val="20"/>
                <w:color w:val="auto"/>
              </w:rPr>
            </w:pPr>
            <w:r>
              <w:rPr>
                <w:rFonts w:ascii="Courier New" w:cs="Courier New" w:eastAsia="Courier New" w:hAnsi="Courier New"/>
                <w:sz w:val="14"/>
                <w:szCs w:val="14"/>
                <w:color w:val="auto"/>
              </w:rPr>
              <w:t>Federal</w:t>
            </w:r>
          </w:p>
        </w:tc>
        <w:tc>
          <w:tcPr>
            <w:tcW w:w="17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(164)</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266</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(169)</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State and Local</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3600" w:val="left"/>
          <w:tab w:leader="none" w:pos="4380" w:val="left"/>
          <w:tab w:leader="none" w:pos="5080" w:val="left"/>
        </w:tabs>
        <w:rPr>
          <w:sz w:val="20"/>
          <w:szCs w:val="20"/>
          <w:color w:val="auto"/>
        </w:rPr>
      </w:pPr>
      <w:r>
        <w:rPr>
          <w:rFonts w:ascii="Courier New" w:cs="Courier New" w:eastAsia="Courier New" w:hAnsi="Courier New"/>
          <w:sz w:val="14"/>
          <w:szCs w:val="14"/>
          <w:color w:val="auto"/>
        </w:rPr>
        <w:t>Total Deferred</w:t>
      </w:r>
      <w:r>
        <w:rPr>
          <w:sz w:val="20"/>
          <w:szCs w:val="20"/>
          <w:color w:val="auto"/>
        </w:rPr>
        <w:tab/>
      </w: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373</w:t>
      </w:r>
      <w:r>
        <w:rPr>
          <w:sz w:val="20"/>
          <w:szCs w:val="20"/>
          <w:color w:val="auto"/>
        </w:rPr>
        <w:tab/>
      </w:r>
      <w:r>
        <w:rPr>
          <w:rFonts w:ascii="Courier New" w:cs="Courier New" w:eastAsia="Courier New" w:hAnsi="Courier New"/>
          <w:sz w:val="14"/>
          <w:szCs w:val="14"/>
          <w:color w:val="auto"/>
        </w:rPr>
        <w:t>(176)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3340" w:val="left"/>
          <w:tab w:leader="none" w:pos="4120" w:val="left"/>
          <w:tab w:leader="none" w:pos="4980" w:val="left"/>
        </w:tabs>
        <w:rPr>
          <w:sz w:val="20"/>
          <w:szCs w:val="20"/>
          <w:color w:val="auto"/>
        </w:rPr>
      </w:pPr>
      <w:r>
        <w:rPr>
          <w:rFonts w:ascii="Courier New" w:cs="Courier New" w:eastAsia="Courier New" w:hAnsi="Courier New"/>
          <w:sz w:val="14"/>
          <w:szCs w:val="14"/>
          <w:color w:val="auto"/>
        </w:rPr>
        <w:t>Total Income Tax Expense</w:t>
      </w:r>
      <w:r>
        <w:rPr>
          <w:sz w:val="20"/>
          <w:szCs w:val="20"/>
          <w:color w:val="auto"/>
        </w:rPr>
        <w:tab/>
      </w:r>
      <w:r>
        <w:rPr>
          <w:rFonts w:ascii="Courier New" w:cs="Courier New" w:eastAsia="Courier New" w:hAnsi="Courier New"/>
          <w:sz w:val="14"/>
          <w:szCs w:val="14"/>
          <w:color w:val="auto"/>
        </w:rPr>
        <w:t>$1,842</w:t>
      </w:r>
      <w:r>
        <w:rPr>
          <w:sz w:val="20"/>
          <w:szCs w:val="20"/>
          <w:color w:val="auto"/>
        </w:rPr>
        <w:tab/>
      </w:r>
      <w:r>
        <w:rPr>
          <w:rFonts w:ascii="Courier New" w:cs="Courier New" w:eastAsia="Courier New" w:hAnsi="Courier New"/>
          <w:sz w:val="14"/>
          <w:szCs w:val="14"/>
          <w:color w:val="auto"/>
        </w:rPr>
        <w:t>$1,475</w:t>
      </w:r>
      <w:r>
        <w:rPr>
          <w:sz w:val="20"/>
          <w:szCs w:val="20"/>
          <w:color w:val="auto"/>
        </w:rPr>
        <w:tab/>
      </w:r>
      <w:r>
        <w:rPr>
          <w:rFonts w:ascii="Courier New" w:cs="Courier New" w:eastAsia="Courier New" w:hAnsi="Courier New"/>
          <w:sz w:val="14"/>
          <w:szCs w:val="14"/>
          <w:color w:val="auto"/>
        </w:rPr>
        <w:t>$ 798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0239"/>
          </w:cols>
          <w:pgMar w:left="220" w:top="285" w:right="1440" w:bottom="0" w:gutter="0" w:footer="0" w:header="0"/>
        </w:sectPr>
      </w:pPr>
    </w:p>
    <w:bookmarkStart w:id="94" w:name="page95"/>
    <w:bookmarkEnd w:id="94"/>
    <w:p>
      <w:pPr>
        <w:ind w:right="3339" w:firstLine="431"/>
        <w:spacing w:after="0" w:line="251" w:lineRule="auto"/>
        <w:rPr>
          <w:sz w:val="20"/>
          <w:szCs w:val="20"/>
          <w:color w:val="auto"/>
        </w:rPr>
      </w:pPr>
      <w:r>
        <w:rPr>
          <w:rFonts w:ascii="Courier New" w:cs="Courier New" w:eastAsia="Courier New" w:hAnsi="Courier New"/>
          <w:sz w:val="14"/>
          <w:szCs w:val="14"/>
          <w:color w:val="auto"/>
        </w:rPr>
        <w:t>Not reflected in the preceding table are the tax effects of unrealized gains and losses, with respect to available-for-sale securities that are recorded directly in stockholders' equity, pursuant to SFAS 115, and certain tax benefits associated with the Corporation's employee stock plans. Stockholders' equity decreased by $38 million and $319 million, respectively, in 1995 and 1993 and increased by $676 million in 1994 as a result of the tax effects.</w:t>
      </w:r>
    </w:p>
    <w:p>
      <w:pPr>
        <w:spacing w:after="0" w:line="164" w:lineRule="exact"/>
        <w:rPr>
          <w:sz w:val="20"/>
          <w:szCs w:val="20"/>
          <w:color w:val="auto"/>
        </w:rPr>
      </w:pPr>
    </w:p>
    <w:p>
      <w:pPr>
        <w:ind w:right="3339" w:firstLine="431"/>
        <w:spacing w:after="0" w:line="255" w:lineRule="auto"/>
        <w:rPr>
          <w:sz w:val="20"/>
          <w:szCs w:val="20"/>
          <w:color w:val="auto"/>
        </w:rPr>
      </w:pPr>
      <w:r>
        <w:rPr>
          <w:rFonts w:ascii="Courier New" w:cs="Courier New" w:eastAsia="Courier New" w:hAnsi="Courier New"/>
          <w:sz w:val="14"/>
          <w:szCs w:val="14"/>
          <w:color w:val="auto"/>
        </w:rPr>
        <w:t>The tax expense applicable to securities gains and losses for the years 1995, 1994 and 1993 was $68 million, $73 million, and $77 million, respectively.</w:t>
      </w:r>
    </w:p>
    <w:p>
      <w:pPr>
        <w:spacing w:after="0" w:line="160" w:lineRule="exact"/>
        <w:rPr>
          <w:sz w:val="20"/>
          <w:szCs w:val="20"/>
          <w:color w:val="auto"/>
        </w:rPr>
      </w:pPr>
    </w:p>
    <w:p>
      <w:pPr>
        <w:ind w:right="3679" w:firstLine="431"/>
        <w:spacing w:after="0" w:line="252" w:lineRule="auto"/>
        <w:rPr>
          <w:sz w:val="20"/>
          <w:szCs w:val="20"/>
          <w:color w:val="auto"/>
        </w:rPr>
      </w:pPr>
      <w:r>
        <w:rPr>
          <w:rFonts w:ascii="Courier New" w:cs="Courier New" w:eastAsia="Courier New" w:hAnsi="Courier New"/>
          <w:sz w:val="14"/>
          <w:szCs w:val="14"/>
          <w:color w:val="auto"/>
        </w:rPr>
        <w:t>A reconciliation of the income tax expense computed at the applicable statutory U.S. income tax rate to the actual income tax expense for the past three years is shown in the following table.</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1995</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Statutory U.S. Federal Tax Expense</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$1,684</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$1,386</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$ 988</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Increase (Decrease) in Tax Expense</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Resulting From:</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(Recognized) Unrecognized Tax Benefits</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(331)</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Tax-Exempt Interest and Dividends</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State and Local Income Taxes, Net of</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3320" w:type="dxa"/>
            <w:vAlign w:val="bottom"/>
          </w:tcPr>
          <w:p>
            <w:pPr>
              <w:ind w:left="180"/>
              <w:spacing w:after="0"/>
              <w:rPr>
                <w:sz w:val="20"/>
                <w:szCs w:val="20"/>
                <w:color w:val="auto"/>
              </w:rPr>
            </w:pPr>
            <w:r>
              <w:rPr>
                <w:rFonts w:ascii="Courier New" w:cs="Courier New" w:eastAsia="Courier New" w:hAnsi="Courier New"/>
                <w:sz w:val="14"/>
                <w:szCs w:val="14"/>
                <w:color w:val="auto"/>
              </w:rPr>
              <w:t>Federal Income Tax Benefit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183</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Nondeductible Expense</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w:t>
            </w:r>
          </w:p>
        </w:tc>
      </w:tr>
      <w:tr>
        <w:trPr>
          <w:trHeight w:val="166"/>
        </w:trPr>
        <w:tc>
          <w:tcPr>
            <w:tcW w:w="3320" w:type="dxa"/>
            <w:vAlign w:val="bottom"/>
          </w:tcPr>
          <w:p>
            <w:pPr>
              <w:spacing w:after="0"/>
              <w:rPr>
                <w:sz w:val="20"/>
                <w:szCs w:val="20"/>
                <w:color w:val="auto"/>
              </w:rPr>
            </w:pPr>
            <w:r>
              <w:rPr>
                <w:rFonts w:ascii="Courier New" w:cs="Courier New" w:eastAsia="Courier New" w:hAnsi="Courier New"/>
                <w:sz w:val="14"/>
                <w:szCs w:val="14"/>
                <w:color w:val="auto"/>
              </w:rPr>
              <w:t>Other--Net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340" w:val="left"/>
          <w:tab w:leader="none" w:pos="4120" w:val="left"/>
          <w:tab w:leader="none" w:pos="4980" w:val="left"/>
        </w:tabs>
        <w:rPr>
          <w:sz w:val="20"/>
          <w:szCs w:val="20"/>
          <w:color w:val="auto"/>
        </w:rPr>
      </w:pPr>
      <w:r>
        <w:rPr>
          <w:rFonts w:ascii="Courier New" w:cs="Courier New" w:eastAsia="Courier New" w:hAnsi="Courier New"/>
          <w:sz w:val="14"/>
          <w:szCs w:val="14"/>
          <w:color w:val="auto"/>
        </w:rPr>
        <w:t>Total Income Tax Expense</w:t>
      </w:r>
      <w:r>
        <w:rPr>
          <w:sz w:val="20"/>
          <w:szCs w:val="20"/>
          <w:color w:val="auto"/>
        </w:rPr>
        <w:tab/>
      </w:r>
      <w:r>
        <w:rPr>
          <w:rFonts w:ascii="Courier New" w:cs="Courier New" w:eastAsia="Courier New" w:hAnsi="Courier New"/>
          <w:sz w:val="14"/>
          <w:szCs w:val="14"/>
          <w:color w:val="auto"/>
        </w:rPr>
        <w:t>$1,842</w:t>
      </w:r>
      <w:r>
        <w:rPr>
          <w:sz w:val="20"/>
          <w:szCs w:val="20"/>
          <w:color w:val="auto"/>
        </w:rPr>
        <w:tab/>
      </w:r>
      <w:r>
        <w:rPr>
          <w:rFonts w:ascii="Courier New" w:cs="Courier New" w:eastAsia="Courier New" w:hAnsi="Courier New"/>
          <w:sz w:val="14"/>
          <w:szCs w:val="14"/>
          <w:color w:val="auto"/>
        </w:rPr>
        <w:t>$1,475</w:t>
      </w:r>
      <w:r>
        <w:rPr>
          <w:sz w:val="20"/>
          <w:szCs w:val="20"/>
          <w:color w:val="auto"/>
        </w:rPr>
        <w:tab/>
      </w:r>
      <w:r>
        <w:rPr>
          <w:rFonts w:ascii="Courier New" w:cs="Courier New" w:eastAsia="Courier New" w:hAnsi="Courier New"/>
          <w:sz w:val="14"/>
          <w:szCs w:val="14"/>
          <w:color w:val="auto"/>
        </w:rPr>
        <w:t>$ 798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The 1994 and 1993 income tax expense was reduced by $70 million and $331 million, respectively, of tax benefits recognized in accordance with SFAS 109. The following table presents the domestic and foreign components of income before income taxes for the past three years.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c>
          <w:tcPr>
            <w:tcW w:w="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Domestic</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$3,710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$2,369</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$1,569</w:t>
            </w:r>
          </w:p>
        </w:tc>
      </w:tr>
      <w:tr>
        <w:trPr>
          <w:trHeight w:val="166"/>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Foreign(a)</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1,102</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1,592</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1,255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Income Taxes</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$4,812</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$3,961</w:t>
            </w:r>
          </w:p>
        </w:tc>
        <w:tc>
          <w:tcPr>
            <w:tcW w:w="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$2,824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54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right="4019" w:firstLine="8"/>
        <w:spacing w:after="0" w:line="255" w:lineRule="auto"/>
        <w:tabs>
          <w:tab w:leader="none" w:pos="344"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disclosure, foreign income is defined as income generated from operations located outside the United States.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472"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54</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and Subsidiaries</w:t>
      </w:r>
    </w:p>
    <w:p>
      <w:pPr>
        <w:spacing w:after="0" w:line="7" w:lineRule="exact"/>
        <w:rPr>
          <w:sz w:val="20"/>
          <w:szCs w:val="20"/>
          <w:color w:val="auto"/>
        </w:rPr>
      </w:pPr>
    </w:p>
    <w:p>
      <w:pPr>
        <w:ind w:left="180" w:hanging="172"/>
        <w:spacing w:after="0"/>
        <w:tabs>
          <w:tab w:leader="none" w:pos="1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17. RESTRICTIONS ON CASH AND INTERCOMPANY FUNDS TRANSFERS</w:t>
      </w:r>
    </w:p>
    <w:p>
      <w:pPr>
        <w:spacing w:after="0" w:line="173" w:lineRule="exact"/>
        <w:rPr>
          <w:sz w:val="20"/>
          <w:szCs w:val="20"/>
          <w:color w:val="auto"/>
        </w:rPr>
      </w:pPr>
    </w:p>
    <w:p>
      <w:pPr>
        <w:ind w:right="3599"/>
        <w:spacing w:after="0" w:line="252" w:lineRule="auto"/>
        <w:rPr>
          <w:sz w:val="20"/>
          <w:szCs w:val="20"/>
          <w:color w:val="auto"/>
        </w:rPr>
      </w:pPr>
      <w:r>
        <w:rPr>
          <w:rFonts w:ascii="Courier New" w:cs="Courier New" w:eastAsia="Courier New" w:hAnsi="Courier New"/>
          <w:sz w:val="14"/>
          <w:szCs w:val="14"/>
          <w:color w:val="auto"/>
        </w:rPr>
        <w:t>Federal Reserve Board regulations require depository institutions to maintain cash reserves with a Federal Reserve Bank. The average amount of reserve balances deposited by the Corporation with various Federal Reserve Banks was approximately $1.2 billion during 1995 and $1.6 billion during 1994.</w:t>
      </w:r>
    </w:p>
    <w:p>
      <w:pPr>
        <w:spacing w:after="0" w:line="162"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Restrictions imposed by Federal law prohibit the Corporation and certain other affiliates from borrowing from banking subsidiaries unless the loans are secured in specified amounts. Such secured loans to the Corporation or to each of certain other affiliates generally are limited to 10% of the banking subsidiary's capital and surplus; the aggregate amount of all such loans is limited to 20% of the banking subsidiary's capital and surplus. The Corporation was well within these limits throughout the year.</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The principal sources of the Corporation's income (on a parent company-only basis) are dividends and interest from The Chase Manhattan Bank, Chemical Bank and the other banking and non-banking subsidiaries of the Corporation. Federal law imposes limitations on the payment of dividends by the subsidiaries of the Corporation that are state member banks of the Federal Reserve System (a "state member bank") or are national banks. Under such limitations, dividend payments by such banks are limited to the lesser of (i) the amount of "undivided profits" (as defined) and (ii) absent regulatory approval, an amount not in excess of "net income" (as defined) for the current year plus "retained net income" (as defined) for the preceding two years. Non-bank subsidiaries of the Corporation are not subject to such limitations.</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In accordance with the foregoing restrictions, the Corporation's bank subsidiaries could, during 1996, without the approval of their relevant banking regulators, pay dividends of approximately $2.5 billion to their respective bank holding companies, plus an additional amount equal to their net income from January 1, 1996 through the date in 1996 of any such dividend payment.</w:t>
      </w:r>
    </w:p>
    <w:p>
      <w:pPr>
        <w:spacing w:after="0" w:line="165" w:lineRule="exact"/>
        <w:rPr>
          <w:sz w:val="20"/>
          <w:szCs w:val="20"/>
          <w:color w:val="auto"/>
        </w:rPr>
      </w:pPr>
    </w:p>
    <w:p>
      <w:pPr>
        <w:ind w:left="180" w:hanging="172"/>
        <w:spacing w:after="0"/>
        <w:tabs>
          <w:tab w:leader="none" w:pos="1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18. DERIVATIVE AND FOREIGN EXCHANGE FINANCIAL INSTRUMENTS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The Corporation utilizes various derivative and foreign exchange financial instruments for trading purposes and for purposes other than trading, such as ALM. These financial instruments represent contracts with counterparties where payments are made to or from the counterparty based upon specific interest rates, currency levels, other market rates or on terms predetermined by the contract. Such derivative and foreign exchange transactions involve, to varying degrees, credit risk and market risk. For a discussion of the credit and market risks involved with derivative and foreign exchange financial instruments, reference is made to the first three paragraphs of the Derivative and Foreign Exchange Financial Instruments section of the Management's Discussion and Analysis ("MD&amp;A") on page 38, the first ten paragraphs of the Credit Risk Management section of the MD&amp;A on pages 31-32, and paragraphs one, two and eight through ten of the Market Risk Management section of the MD&amp;A on page 40.</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DERIVATIVE AND FOREIGN EXCHANGE INSTRUMENTS USED FOR TRADING PURPOSES: The credit risk associated with the Corporation's trading activities is disclosed on the balance sheet. The effects of any market risk (gains or losses) on the Corporation's trading activities have been reflected in trading revenue, as the trading instruments are marked-to-market on a daily basis. See Note One for a discussion of the Corporation's trading activities and Note Three for the types and categories of these trading instruments.</w:t>
      </w:r>
    </w:p>
    <w:p>
      <w:pPr>
        <w:spacing w:after="0" w:line="164"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DERIVATIVE AND FOREIGN EXCHANGE INSTRUMENTS USED FOR PURPOSES OTHER THAN TRADING: The Corporation's principal objective in using derivatives for purposes other than trading is for its ALM activities. For a further discussion of the Corporation's objectives and strategies for employing derivative and foreign exchange instruments for ALM activities, reference is made to the first three paragraphs of the Asset/Liability Management discussion of the MD&amp;A on page 41 and paragraphs three through five on page 44.</w:t>
      </w:r>
    </w:p>
    <w:p>
      <w:pPr>
        <w:spacing w:after="0" w:line="164" w:lineRule="exact"/>
        <w:rPr>
          <w:sz w:val="20"/>
          <w:szCs w:val="20"/>
          <w:color w:val="auto"/>
        </w:rPr>
      </w:pPr>
    </w:p>
    <w:p>
      <w:pPr>
        <w:ind w:right="3519" w:firstLine="431"/>
        <w:spacing w:after="0" w:line="255" w:lineRule="auto"/>
        <w:rPr>
          <w:sz w:val="20"/>
          <w:szCs w:val="20"/>
          <w:color w:val="auto"/>
        </w:rPr>
      </w:pPr>
      <w:r>
        <w:rPr>
          <w:rFonts w:ascii="Courier New" w:cs="Courier New" w:eastAsia="Courier New" w:hAnsi="Courier New"/>
          <w:sz w:val="14"/>
          <w:szCs w:val="14"/>
          <w:color w:val="auto"/>
        </w:rPr>
        <w:t>The majority of the Corporation's derivatives used for ALM are transacted through its trading units.</w:t>
      </w:r>
    </w:p>
    <w:p>
      <w:pPr>
        <w:spacing w:after="0" w:line="160" w:lineRule="exact"/>
        <w:rPr>
          <w:sz w:val="20"/>
          <w:szCs w:val="20"/>
          <w:color w:val="auto"/>
        </w:rPr>
      </w:pPr>
    </w:p>
    <w:p>
      <w:pPr>
        <w:ind w:right="3419" w:firstLine="431"/>
        <w:spacing w:after="0" w:line="255" w:lineRule="auto"/>
        <w:rPr>
          <w:sz w:val="20"/>
          <w:szCs w:val="20"/>
          <w:color w:val="auto"/>
        </w:rPr>
      </w:pPr>
      <w:r>
        <w:rPr>
          <w:rFonts w:ascii="Courier New" w:cs="Courier New" w:eastAsia="Courier New" w:hAnsi="Courier New"/>
          <w:sz w:val="14"/>
          <w:szCs w:val="14"/>
          <w:color w:val="auto"/>
        </w:rPr>
        <w:t>For the disclosure of the fair value associated with the Corporation's ALM activities, see Note Twenty One.</w:t>
      </w:r>
    </w:p>
    <w:p>
      <w:pPr>
        <w:spacing w:after="0" w:line="16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At December 31, 1995, gross deferred gains and gross deferred losses relating to closed derivative contracts used in ALM activities were $528 million and $626 million, respectively. See Note One for the accounting method used for these contracts and the Amortization of Net Deferred Gains/Losses on Closed ALM Contracts table on page 44 of the MD&amp;A.</w:t>
      </w:r>
    </w:p>
    <w:p>
      <w:pPr>
        <w:spacing w:after="0" w:line="165"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The Corporation also uses selected derivative financial instruments to manage the sensitivity to changes in market interest rates on anticipated transactions; however, such transactions are not significant. Accordingly, at December 31, 1995, deferred gains and losses associated with such transactions were insignificant.</w:t>
      </w:r>
    </w:p>
    <w:p>
      <w:pPr>
        <w:spacing w:after="0" w:line="165" w:lineRule="exact"/>
        <w:rPr>
          <w:sz w:val="20"/>
          <w:szCs w:val="20"/>
          <w:color w:val="auto"/>
        </w:rPr>
      </w:pPr>
    </w:p>
    <w:p>
      <w:pPr>
        <w:ind w:right="3419" w:firstLine="431"/>
        <w:spacing w:after="0" w:line="251" w:lineRule="auto"/>
        <w:rPr>
          <w:sz w:val="20"/>
          <w:szCs w:val="20"/>
          <w:color w:val="auto"/>
        </w:rPr>
      </w:pPr>
      <w:r>
        <w:rPr>
          <w:rFonts w:ascii="Courier New" w:cs="Courier New" w:eastAsia="Courier New" w:hAnsi="Courier New"/>
          <w:sz w:val="14"/>
          <w:szCs w:val="14"/>
          <w:color w:val="auto"/>
        </w:rPr>
        <w:t>The following table summarizes the aggregate notional amounts of interest rate and foreign exchange contracts as well as the credit exposure related to these instruments (after taking into account the effects of legally enforceable master netting agreements) for the dates indicated below. The table should be read in conjunction with the preceding narrative as well as the descriptions of these products and their risks immediately following.</w:t>
      </w:r>
    </w:p>
    <w:p>
      <w:pPr>
        <w:spacing w:after="0" w:line="164"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285" w:right="1440" w:bottom="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55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left="4920"/>
        <w:spacing w:after="0"/>
        <w:tabs>
          <w:tab w:leader="none" w:pos="7140" w:val="left"/>
        </w:tabs>
        <w:rPr>
          <w:sz w:val="20"/>
          <w:szCs w:val="20"/>
          <w:color w:val="auto"/>
        </w:rPr>
      </w:pPr>
      <w:r>
        <w:rPr>
          <w:rFonts w:ascii="Courier New" w:cs="Courier New" w:eastAsia="Courier New" w:hAnsi="Courier New"/>
          <w:sz w:val="14"/>
          <w:szCs w:val="14"/>
          <w:color w:val="auto"/>
        </w:rPr>
        <w:t>NOTIONAL AMOUNTS(A)</w:t>
      </w:r>
      <w:r>
        <w:rPr>
          <w:sz w:val="20"/>
          <w:szCs w:val="20"/>
          <w:color w:val="auto"/>
        </w:rPr>
        <w:tab/>
      </w:r>
      <w:r>
        <w:rPr>
          <w:rFonts w:ascii="Courier New" w:cs="Courier New" w:eastAsia="Courier New" w:hAnsi="Courier New"/>
          <w:sz w:val="14"/>
          <w:szCs w:val="14"/>
          <w:color w:val="auto"/>
        </w:rPr>
        <w:t>CREDIT EXPOSURE</w:t>
      </w:r>
    </w:p>
    <w:p>
      <w:pPr>
        <w:spacing w:after="0" w:line="173" w:lineRule="exact"/>
        <w:rPr>
          <w:sz w:val="20"/>
          <w:szCs w:val="20"/>
          <w:color w:val="auto"/>
        </w:rPr>
      </w:pPr>
    </w:p>
    <w:p>
      <w:pPr>
        <w:spacing w:after="0"/>
        <w:tabs>
          <w:tab w:leader="none" w:pos="5160" w:val="left"/>
          <w:tab w:leader="none" w:pos="6360" w:val="left"/>
          <w:tab w:leader="none" w:pos="7300" w:val="left"/>
          <w:tab w:leader="none" w:pos="8260" w:val="left"/>
        </w:tabs>
        <w:rPr>
          <w:sz w:val="20"/>
          <w:szCs w:val="20"/>
          <w:color w:val="auto"/>
        </w:rPr>
      </w:pPr>
      <w:r>
        <w:rPr>
          <w:rFonts w:ascii="Courier New" w:cs="Courier New" w:eastAsia="Courier New" w:hAnsi="Courier New"/>
          <w:sz w:val="14"/>
          <w:szCs w:val="14"/>
          <w:color w:val="auto"/>
        </w:rPr>
        <w:t>DECEMBER 31, (IN BILLIONS)</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gridSpan w:val="2"/>
          </w:tcPr>
          <w:p>
            <w:pPr>
              <w:spacing w:after="0"/>
              <w:rPr>
                <w:sz w:val="20"/>
                <w:szCs w:val="20"/>
                <w:color w:val="auto"/>
              </w:rPr>
            </w:pPr>
            <w:r>
              <w:rPr>
                <w:rFonts w:ascii="Courier New" w:cs="Courier New" w:eastAsia="Courier New" w:hAnsi="Courier New"/>
                <w:sz w:val="14"/>
                <w:szCs w:val="14"/>
                <w:color w:val="auto"/>
              </w:rPr>
              <w:t>INTEREST RATE CONTRACTS</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280" w:type="dxa"/>
            <w:vAlign w:val="bottom"/>
            <w:gridSpan w:val="2"/>
          </w:tcPr>
          <w:p>
            <w:pPr>
              <w:spacing w:after="0"/>
              <w:rPr>
                <w:sz w:val="20"/>
                <w:szCs w:val="20"/>
                <w:color w:val="auto"/>
              </w:rPr>
            </w:pPr>
            <w:r>
              <w:rPr>
                <w:rFonts w:ascii="Courier New" w:cs="Courier New" w:eastAsia="Courier New" w:hAnsi="Courier New"/>
                <w:sz w:val="14"/>
                <w:szCs w:val="14"/>
                <w:color w:val="auto"/>
              </w:rPr>
              <w:t>Futures, Forwards and Forward Rate Agreements</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2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Trading</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1,047.5</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1,203.3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1.3</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w w:val="98"/>
              </w:rPr>
              <w:t>$   0.9</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Asset</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and Liability Management</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47.5</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0.1</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4280" w:type="dxa"/>
            <w:vAlign w:val="bottom"/>
            <w:gridSpan w:val="2"/>
          </w:tcPr>
          <w:p>
            <w:pPr>
              <w:spacing w:after="0"/>
              <w:rPr>
                <w:sz w:val="20"/>
                <w:szCs w:val="20"/>
                <w:color w:val="auto"/>
              </w:rPr>
            </w:pPr>
            <w:r>
              <w:rPr>
                <w:rFonts w:ascii="Courier New" w:cs="Courier New" w:eastAsia="Courier New" w:hAnsi="Courier New"/>
                <w:sz w:val="14"/>
                <w:szCs w:val="14"/>
                <w:color w:val="auto"/>
              </w:rPr>
              <w:t>Interest Rate Swaps</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2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Trading</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1,692.6</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1,358.0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w w:val="95"/>
              </w:rPr>
              <w:t>9.2</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Asset</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and Liability Management</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69.7</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101.8</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0.3</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w w:val="95"/>
              </w:rPr>
              <w:t>0.3</w:t>
            </w:r>
          </w:p>
        </w:tc>
      </w:tr>
      <w:tr>
        <w:trPr>
          <w:trHeight w:val="166"/>
        </w:trPr>
        <w:tc>
          <w:tcPr>
            <w:tcW w:w="4280" w:type="dxa"/>
            <w:vAlign w:val="bottom"/>
            <w:gridSpan w:val="2"/>
          </w:tcPr>
          <w:p>
            <w:pPr>
              <w:spacing w:after="0"/>
              <w:rPr>
                <w:sz w:val="20"/>
                <w:szCs w:val="20"/>
                <w:color w:val="auto"/>
              </w:rPr>
            </w:pPr>
            <w:r>
              <w:rPr>
                <w:rFonts w:ascii="Courier New" w:cs="Courier New" w:eastAsia="Courier New" w:hAnsi="Courier New"/>
                <w:sz w:val="14"/>
                <w:szCs w:val="14"/>
                <w:color w:val="auto"/>
              </w:rPr>
              <w:t>Purchased Options</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2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Trading</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147.2</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118.4</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0.7</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w w:val="95"/>
              </w:rPr>
              <w:t>0.5</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Asset</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and Liability Management</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22.2</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Written</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Options</w:t>
            </w: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2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Trading</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161.0</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141.7</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Asset</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and Liability Management</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Total Interest Rate Contracts</w:t>
            </w:r>
          </w:p>
        </w:tc>
        <w:tc>
          <w:tcPr>
            <w:tcW w:w="2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3,190.4</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2,996.3</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12.8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10.9</w:t>
            </w:r>
          </w:p>
        </w:tc>
      </w:tr>
    </w:tbl>
    <w:p>
      <w:pPr>
        <w:spacing w:after="0" w:line="4" w:lineRule="exact"/>
        <w:rPr>
          <w:sz w:val="20"/>
          <w:szCs w:val="20"/>
          <w:color w:val="auto"/>
        </w:rPr>
      </w:pPr>
    </w:p>
    <w:p>
      <w:pPr>
        <w:ind w:left="180" w:hanging="172"/>
        <w:spacing w:after="0"/>
        <w:tabs>
          <w:tab w:leader="none" w:pos="18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FOREIGN EXCHANGE CONTRACTS</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Spot, Forward and Futures Contracts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Trading</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1,352.1</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1,335.9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11.0</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Asset</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and Liability Management</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13.4</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Other Foreign Exchange Contracts(b)</w:t>
            </w:r>
          </w:p>
        </w:tc>
        <w:tc>
          <w:tcPr>
            <w:tcW w:w="1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Trading</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241.6</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199.2</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3.6</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w w:val="95"/>
              </w:rPr>
              <w:t>3.6</w:t>
            </w:r>
          </w:p>
        </w:tc>
      </w:tr>
      <w:tr>
        <w:trPr>
          <w:trHeight w:val="166"/>
        </w:trPr>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Asset</w:t>
            </w:r>
          </w:p>
        </w:tc>
        <w:tc>
          <w:tcPr>
            <w:tcW w:w="3180" w:type="dxa"/>
            <w:vAlign w:val="bottom"/>
          </w:tcPr>
          <w:p>
            <w:pPr>
              <w:ind w:left="40"/>
              <w:spacing w:after="0"/>
              <w:rPr>
                <w:sz w:val="20"/>
                <w:szCs w:val="20"/>
                <w:color w:val="auto"/>
              </w:rPr>
            </w:pPr>
            <w:r>
              <w:rPr>
                <w:rFonts w:ascii="Courier New" w:cs="Courier New" w:eastAsia="Courier New" w:hAnsi="Courier New"/>
                <w:sz w:val="14"/>
                <w:szCs w:val="14"/>
                <w:color w:val="auto"/>
              </w:rPr>
              <w:t>and Liability Management</w:t>
            </w:r>
          </w:p>
        </w:tc>
        <w:tc>
          <w:tcPr>
            <w:tcW w:w="1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Total Foreign Exchange Contracts</w:t>
            </w:r>
          </w:p>
        </w:tc>
        <w:tc>
          <w:tcPr>
            <w:tcW w:w="19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1,606.2</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1,549.2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12.4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14.6</w:t>
            </w:r>
          </w:p>
        </w:tc>
      </w:tr>
    </w:tbl>
    <w:p>
      <w:pPr>
        <w:spacing w:after="0" w:line="4" w:lineRule="exact"/>
        <w:rPr>
          <w:sz w:val="20"/>
          <w:szCs w:val="20"/>
          <w:color w:val="auto"/>
        </w:rPr>
      </w:pPr>
    </w:p>
    <w:p>
      <w:pPr>
        <w:ind w:left="180" w:hanging="172"/>
        <w:spacing w:after="0"/>
        <w:tabs>
          <w:tab w:leader="none" w:pos="180"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STOCK INDEX OPTIONS AND COMMODITY CONTRACTS</w:t>
      </w:r>
    </w:p>
    <w:p>
      <w:pPr>
        <w:spacing w:after="0" w:line="7" w:lineRule="exact"/>
        <w:rPr>
          <w:sz w:val="20"/>
          <w:szCs w:val="20"/>
          <w:color w:val="auto"/>
        </w:rPr>
      </w:pPr>
    </w:p>
    <w:p>
      <w:pPr>
        <w:ind w:left="180"/>
        <w:spacing w:after="0"/>
        <w:tabs>
          <w:tab w:leader="none" w:pos="4640" w:val="left"/>
          <w:tab w:leader="none" w:pos="5160" w:val="left"/>
          <w:tab w:leader="none" w:pos="5840" w:val="left"/>
          <w:tab w:leader="none" w:pos="6360" w:val="left"/>
          <w:tab w:leader="none" w:pos="7060" w:val="left"/>
          <w:tab w:leader="none" w:pos="7400" w:val="left"/>
          <w:tab w:leader="none" w:pos="8000" w:val="left"/>
          <w:tab w:leader="none" w:pos="8340" w:val="left"/>
        </w:tabs>
        <w:rPr>
          <w:sz w:val="20"/>
          <w:szCs w:val="20"/>
          <w:color w:val="auto"/>
        </w:rPr>
      </w:pPr>
      <w:r>
        <w:rPr>
          <w:rFonts w:ascii="Courier New" w:cs="Courier New" w:eastAsia="Courier New" w:hAnsi="Courier New"/>
          <w:sz w:val="14"/>
          <w:szCs w:val="14"/>
          <w:color w:val="auto"/>
        </w:rPr>
        <w:t>Trading</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37.7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20.6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640" w:val="left"/>
          <w:tab w:leader="none" w:pos="5160" w:val="left"/>
          <w:tab w:leader="none" w:pos="5840" w:val="left"/>
          <w:tab w:leader="none" w:pos="6360" w:val="left"/>
          <w:tab w:leader="none" w:pos="7060" w:val="left"/>
          <w:tab w:leader="none" w:pos="7400" w:val="left"/>
          <w:tab w:leader="none" w:pos="8000" w:val="left"/>
          <w:tab w:leader="none" w:pos="8340" w:val="left"/>
        </w:tabs>
        <w:rPr>
          <w:sz w:val="20"/>
          <w:szCs w:val="20"/>
          <w:color w:val="auto"/>
        </w:rPr>
      </w:pPr>
      <w:r>
        <w:rPr>
          <w:rFonts w:ascii="Courier New" w:cs="Courier New" w:eastAsia="Courier New" w:hAnsi="Courier New"/>
          <w:sz w:val="14"/>
          <w:szCs w:val="14"/>
          <w:color w:val="auto"/>
        </w:rPr>
        <w:t>Total Stock Index Options and Commodity Contracts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37.7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20.6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060" w:val="left"/>
          <w:tab w:leader="none" w:pos="7300" w:val="left"/>
          <w:tab w:leader="none" w:pos="8000" w:val="left"/>
          <w:tab w:leader="none" w:pos="8260" w:val="left"/>
        </w:tabs>
        <w:rPr>
          <w:sz w:val="20"/>
          <w:szCs w:val="20"/>
          <w:color w:val="auto"/>
        </w:rPr>
      </w:pPr>
      <w:r>
        <w:rPr>
          <w:rFonts w:ascii="Courier New" w:cs="Courier New" w:eastAsia="Courier New" w:hAnsi="Courier New"/>
          <w:sz w:val="14"/>
          <w:szCs w:val="14"/>
          <w:color w:val="auto"/>
        </w:rPr>
        <w:t>Total Credit Exposure Recorded on the Balance Sheet</w:t>
      </w:r>
      <w:r>
        <w:rPr>
          <w:sz w:val="20"/>
          <w:szCs w:val="20"/>
          <w:color w:val="auto"/>
        </w:rPr>
        <w:tab/>
      </w:r>
      <w:r>
        <w:rPr>
          <w:rFonts w:ascii="Courier New" w:cs="Courier New" w:eastAsia="Courier New" w:hAnsi="Courier New"/>
          <w:sz w:val="14"/>
          <w:szCs w:val="14"/>
          <w:color w:val="auto"/>
        </w:rPr>
        <w:t>$</w:t>
        <w:tab/>
        <w:t>26.2</w:t>
      </w:r>
      <w:r>
        <w:rPr>
          <w:sz w:val="20"/>
          <w:szCs w:val="20"/>
          <w:color w:val="auto"/>
        </w:rPr>
        <w:tab/>
      </w:r>
      <w:r>
        <w:rPr>
          <w:rFonts w:ascii="Courier New" w:cs="Courier New" w:eastAsia="Courier New" w:hAnsi="Courier New"/>
          <w:sz w:val="14"/>
          <w:szCs w:val="14"/>
          <w:color w:val="auto"/>
        </w:rPr>
        <w:t>$</w:t>
        <w:tab/>
        <w:t>26.3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339" w:firstLine="8"/>
        <w:spacing w:after="0" w:line="251" w:lineRule="auto"/>
        <w:tabs>
          <w:tab w:leader="none" w:pos="344"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notional amounts of exchange-traded interest rate contracts, foreign exchange contracts, and stock index options and commodity contracts were $417.7 billion, $10.6 billion and $5.1 billion, respectively, at December 31, 1995. The credit risk amounts of these contracts were minimal since exchange-traded contracts principally settle daily in cash.</w:t>
      </w:r>
    </w:p>
    <w:p>
      <w:pPr>
        <w:spacing w:after="0" w:line="164"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notional amounts of purchased options, written options and</w:t>
      </w:r>
    </w:p>
    <w:p>
      <w:pPr>
        <w:spacing w:after="0" w:line="7"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cross-currency interest rate swaps of $92.2 billion, $92.4 billion and $58.6 billion, respectively, at December 31, 1995, compared with $71.0 billion, $87.4 billion and $41.5 billion, respectively, at December 31, 1994.</w:t>
      </w:r>
    </w:p>
    <w:p>
      <w:pPr>
        <w:spacing w:after="0" w:line="16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CLASSES OF DERIVATIVE AND FOREIGN EXCHANGE INSTRUMENTS: The following classes of derivative and foreign exchange instruments refer to instruments that are used by the Corporation for purposes of both trading and ALM.</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Interest rate futures and forwards are contracts for the delayed delivery of securities or money market instruments in which the seller agrees to deliver on a specified future date, a specified instrument, at a specified price or yield. The credit risk inherent in futures and forwards is the risk that the exchange party may default. Futures contracts settle in cash daily and, therefore, there is minimal credit risk to the Corporation. The credit risk inherent in forwards arises from the potential inability of counterparties to meet the terms of their contracts. Both futures and forwards are also subject to the risk of movements in interest rates or the value of the underlying securities or instruments.</w:t>
      </w:r>
    </w:p>
    <w:p>
      <w:pPr>
        <w:spacing w:after="0" w:line="164"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Forward rate agreements are contracts to exchange payments on a certain future date, based on a market change in interest rates from trade date to contract settlement date. The notional amount on which the interest payments are based is not exchanged. The maturity of these agreements is typically less than two years.</w:t>
      </w:r>
    </w:p>
    <w:p>
      <w:pPr>
        <w:spacing w:after="0" w:line="328"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Interest rate swaps are contracts in which a series of interest rate flows in a single currency are exchanged over a prescribed period. The notional amount on which the interest payments are based is not exchanged. Most interest rate swaps involve the exchange of fixed and floating interest payments. Cross-currency interest rate swaps are contracts that involve the exchange of both interest and principal amounts in two different currencies. The risks inherent in interest rate and cross-currency swap contracts are the potential inability of a counterparty to meet the terms of its contract and the risk associated with changes in the market values of the contracts due to movements in the underlying interest rates.</w:t>
      </w:r>
    </w:p>
    <w:p>
      <w:pPr>
        <w:spacing w:after="0" w:line="329"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Interest rate options, which include caps and floors, are contracts which transfer, modify, or reduce interest rate risk in exchange for the payment of a premium when the contract is initiated. As a writer of interest rate caps, floors, and other options, the Corporation receives a premium in exchange for bearing the risk of unfavorable changes in interest rates. Conversely, as a purchaser of an option, the Corporation pays a premium for the right, but not the obligation, to buy or sell a financial instrument</w:t>
      </w:r>
    </w:p>
    <w:p>
      <w:pPr>
        <w:sectPr>
          <w:pgSz w:w="11900" w:h="16838" w:orient="portrait"/>
          <w:cols w:equalWidth="0" w:num="1">
            <w:col w:w="10239"/>
          </w:cols>
          <w:pgMar w:left="220" w:top="285" w:right="1440" w:bottom="0"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285" w:right="1440" w:bottom="0" w:gutter="0" w:footer="0" w:header="0"/>
          <w:type w:val="continuous"/>
        </w:sectPr>
      </w:pPr>
    </w:p>
    <w:bookmarkStart w:id="97" w:name="page98"/>
    <w:bookmarkEnd w:id="97"/>
    <w:p>
      <w:pPr>
        <w:spacing w:after="0" w:line="4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56</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and Subsidiaries</w:t>
      </w:r>
    </w:p>
    <w:p>
      <w:pPr>
        <w:spacing w:after="0" w:line="7" w:lineRule="exact"/>
        <w:rPr>
          <w:sz w:val="20"/>
          <w:szCs w:val="20"/>
          <w:color w:val="auto"/>
        </w:rPr>
      </w:pPr>
    </w:p>
    <w:p>
      <w:pPr>
        <w:ind w:left="180" w:hanging="172"/>
        <w:spacing w:after="0"/>
        <w:tabs>
          <w:tab w:leader="none" w:pos="180"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35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or currency at predetermined terms in the future. Foreign currency options are similar to interest rate option contracts, except that they are based on currencies instead of interest rates.</w:t>
      </w:r>
    </w:p>
    <w:p>
      <w:pPr>
        <w:spacing w:after="0" w:line="163"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The Corporation's use of written options as part of its ALM is permitted only in those circumstances where they are specifically linked to purchased options and in order to mitigate interest rate risk. All unmatched written options are included in the trading portfolio and are marked-to-market.</w:t>
      </w:r>
    </w:p>
    <w:p>
      <w:pPr>
        <w:spacing w:after="0" w:line="162"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Foreign exchange contracts are contracts for the future receipt or delivery of foreign currency at previously agreed-upon terms. The risks inherent in these contracts are the potential inability of a counterparty to meet the terms of its contract and the risk associated with changes in the market values of the underlying currencies.</w:t>
      </w:r>
    </w:p>
    <w:p>
      <w:pPr>
        <w:spacing w:after="0" w:line="165"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Stock index option contracts are contracts to pay or receive cash flows from counterparties based upon the increase or decrease in the underlying index. Commodity contracts include swaps, caps and floors and are similar to interest rate contracts, except that they are based on commodity indices instead of interest rates.</w:t>
      </w:r>
    </w:p>
    <w:p>
      <w:pPr>
        <w:spacing w:after="0" w:line="165" w:lineRule="exact"/>
        <w:rPr>
          <w:sz w:val="20"/>
          <w:szCs w:val="20"/>
          <w:color w:val="auto"/>
        </w:rPr>
      </w:pPr>
    </w:p>
    <w:p>
      <w:pPr>
        <w:jc w:val="both"/>
        <w:ind w:right="3419" w:firstLine="258"/>
        <w:spacing w:after="0" w:line="252" w:lineRule="auto"/>
        <w:rPr>
          <w:sz w:val="20"/>
          <w:szCs w:val="20"/>
          <w:color w:val="auto"/>
        </w:rPr>
      </w:pPr>
      <w:r>
        <w:rPr>
          <w:rFonts w:ascii="Courier New" w:cs="Courier New" w:eastAsia="Courier New" w:hAnsi="Courier New"/>
          <w:sz w:val="14"/>
          <w:szCs w:val="14"/>
          <w:color w:val="auto"/>
        </w:rPr>
        <w:t>To reduce its exposure to market risk related to the above-mentioned classes of derivative and foreign exchange instruments, the Corporation may enter into offsetting positions.</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To reduce credit risk, management may deem it necessary to obtain collateral. The amount and nature of the collateral obtained is based on management's credit evaluation of the customer. Collateral held varies but may include cash, securities, accounts receivable, inventory, property, plant and equipment, and real estate.</w:t>
      </w:r>
    </w:p>
    <w:p>
      <w:pPr>
        <w:spacing w:after="0" w:line="165"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Derivatives and foreign exchange instruments are generally either negotiated over-the-counter ("OTC") contracts or standardized contracts executed on a recognized exchange. Standardized exchange-traded derivatives primarily include futures and options. Negotiated OTC derivatives are generally entered into between two counterparties that negotiate specific agreement terms, including the underlying instrument, amount, exercise price and maturity.</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Included as part of the financial instruments presented in the preceding notional table are transactions involving "when-issued securities" which the Corporation enters into primarily as part of its trading activities. When-issued securities are commitments to purchase or sell securities authorized for issuance, but not yet actually issued, and are not recorded on the balance sheet until issued. However, these commitments are marked-to-market with the resulting gains or losses reflected in trading revenue.</w:t>
      </w:r>
    </w:p>
    <w:p>
      <w:pPr>
        <w:spacing w:after="0" w:line="164" w:lineRule="exact"/>
        <w:rPr>
          <w:sz w:val="20"/>
          <w:szCs w:val="20"/>
          <w:color w:val="auto"/>
        </w:rPr>
      </w:pPr>
    </w:p>
    <w:p>
      <w:pPr>
        <w:ind w:left="180" w:hanging="172"/>
        <w:spacing w:after="0"/>
        <w:tabs>
          <w:tab w:leader="none" w:pos="180"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   OFF-BALANCE SHEET LENDING-RELATED FINANCIAL INSTRUMENTS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In addition to using derivative and foreign exchange financial instruments, the Corporation also utilizes lending-related financial instruments in order to meet the financing needs of its customers. The Corporation issues commitments to extend credit, standby and other letters of credit and guarantees, and also provides securities-lending services. For these instruments, the contractual amount of the financial instrument represents the maximum potential credit risk if the counterparty does not perform according to the terms of the contract. A large majority of these commitments expire without being drawn upon. As a result, total contractual amounts are not representative of the Corporation's actual future credit exposure or liquidity requirements for such commitments.</w:t>
      </w:r>
    </w:p>
    <w:p>
      <w:pPr>
        <w:spacing w:after="0" w:line="163" w:lineRule="exact"/>
        <w:rPr>
          <w:sz w:val="20"/>
          <w:szCs w:val="20"/>
          <w:color w:val="auto"/>
        </w:rPr>
      </w:pPr>
    </w:p>
    <w:p>
      <w:pPr>
        <w:ind w:right="3679" w:firstLine="258"/>
        <w:spacing w:after="0" w:line="252" w:lineRule="auto"/>
        <w:rPr>
          <w:sz w:val="20"/>
          <w:szCs w:val="20"/>
          <w:color w:val="auto"/>
        </w:rPr>
      </w:pPr>
      <w:r>
        <w:rPr>
          <w:rFonts w:ascii="Courier New" w:cs="Courier New" w:eastAsia="Courier New" w:hAnsi="Courier New"/>
          <w:sz w:val="14"/>
          <w:szCs w:val="14"/>
          <w:color w:val="auto"/>
        </w:rPr>
        <w:t>The following table summarizes the contract amounts relating to the Corporation's lending-related financial instruments at December 31, 1995 and 1994.</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LENDING-RELATED FINANCIAL INSTRUMENTS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December 31, (in millions)</w:t>
            </w:r>
          </w:p>
        </w:tc>
        <w:tc>
          <w:tcPr>
            <w:tcW w:w="2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gridSpan w:val="3"/>
          </w:tcPr>
          <w:p>
            <w:pPr>
              <w:spacing w:after="0"/>
              <w:rPr>
                <w:sz w:val="20"/>
                <w:szCs w:val="20"/>
                <w:color w:val="auto"/>
              </w:rPr>
            </w:pPr>
            <w:r>
              <w:rPr>
                <w:rFonts w:ascii="Courier New" w:cs="Courier New" w:eastAsia="Courier New" w:hAnsi="Courier New"/>
                <w:sz w:val="14"/>
                <w:szCs w:val="14"/>
                <w:color w:val="auto"/>
              </w:rPr>
              <w:t>Commitments to Extend Credit</w:t>
            </w: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$95,555(a)</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$82,766(a)</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Standby</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Letters of Credit</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and Guarantees (Net of</w:t>
            </w: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660" w:type="dxa"/>
            <w:vAlign w:val="bottom"/>
          </w:tcPr>
          <w:p>
            <w:pPr>
              <w:ind w:left="260"/>
              <w:spacing w:after="0"/>
              <w:rPr>
                <w:sz w:val="20"/>
                <w:szCs w:val="20"/>
                <w:color w:val="auto"/>
              </w:rPr>
            </w:pPr>
            <w:r>
              <w:rPr>
                <w:rFonts w:ascii="Courier New" w:cs="Courier New" w:eastAsia="Courier New" w:hAnsi="Courier New"/>
                <w:sz w:val="14"/>
                <w:szCs w:val="14"/>
                <w:color w:val="auto"/>
              </w:rPr>
              <w:t>Risk</w:t>
            </w:r>
          </w:p>
        </w:tc>
        <w:tc>
          <w:tcPr>
            <w:tcW w:w="1580" w:type="dxa"/>
            <w:vAlign w:val="bottom"/>
          </w:tcPr>
          <w:p>
            <w:pPr>
              <w:ind w:left="40"/>
              <w:spacing w:after="0"/>
              <w:rPr>
                <w:sz w:val="20"/>
                <w:szCs w:val="20"/>
                <w:color w:val="auto"/>
              </w:rPr>
            </w:pPr>
            <w:r>
              <w:rPr>
                <w:rFonts w:ascii="Courier New" w:cs="Courier New" w:eastAsia="Courier New" w:hAnsi="Courier New"/>
                <w:sz w:val="14"/>
                <w:szCs w:val="14"/>
                <w:color w:val="auto"/>
              </w:rPr>
              <w:t>Participations of</w:t>
            </w:r>
          </w:p>
        </w:tc>
        <w:tc>
          <w:tcPr>
            <w:tcW w:w="2240" w:type="dxa"/>
            <w:vAlign w:val="bottom"/>
          </w:tcPr>
          <w:p>
            <w:pPr>
              <w:spacing w:after="0"/>
              <w:rPr>
                <w:sz w:val="20"/>
                <w:szCs w:val="20"/>
                <w:color w:val="auto"/>
              </w:rPr>
            </w:pPr>
            <w:r>
              <w:rPr>
                <w:rFonts w:ascii="Courier New" w:cs="Courier New" w:eastAsia="Courier New" w:hAnsi="Courier New"/>
                <w:sz w:val="14"/>
                <w:szCs w:val="14"/>
                <w:color w:val="auto"/>
              </w:rPr>
              <w:t>$4,861 and $6,241)</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24,745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22,797</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Other Letters of Credit</w:t>
            </w:r>
          </w:p>
        </w:tc>
        <w:tc>
          <w:tcPr>
            <w:tcW w:w="224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5,907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5,806</w:t>
            </w:r>
          </w:p>
        </w:tc>
      </w:tr>
      <w:tr>
        <w:trPr>
          <w:trHeight w:val="166"/>
        </w:trPr>
        <w:tc>
          <w:tcPr>
            <w:tcW w:w="2240" w:type="dxa"/>
            <w:vAlign w:val="bottom"/>
            <w:gridSpan w:val="2"/>
          </w:tcPr>
          <w:p>
            <w:pPr>
              <w:spacing w:after="0"/>
              <w:rPr>
                <w:sz w:val="20"/>
                <w:szCs w:val="20"/>
                <w:color w:val="auto"/>
              </w:rPr>
            </w:pPr>
            <w:r>
              <w:rPr>
                <w:rFonts w:ascii="Courier New" w:cs="Courier New" w:eastAsia="Courier New" w:hAnsi="Courier New"/>
                <w:sz w:val="14"/>
                <w:szCs w:val="14"/>
                <w:color w:val="auto"/>
              </w:rPr>
              <w:t>Customers' Securities Lent</w:t>
            </w:r>
          </w:p>
        </w:tc>
        <w:tc>
          <w:tcPr>
            <w:tcW w:w="2240" w:type="dxa"/>
            <w:vAlign w:val="bottom"/>
          </w:tcPr>
          <w:p>
            <w:pPr>
              <w:spacing w:after="0"/>
              <w:rPr>
                <w:sz w:val="14"/>
                <w:szCs w:val="14"/>
                <w:color w:val="auto"/>
              </w:rPr>
            </w:pP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27,169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859" w:firstLine="8"/>
        <w:spacing w:after="0" w:line="255" w:lineRule="auto"/>
        <w:tabs>
          <w:tab w:leader="none" w:pos="344"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credit card commitments of $47.6 billion and $47.5 billion at December 31, 1995 and 1994, respectively.</w:t>
      </w:r>
    </w:p>
    <w:p>
      <w:pPr>
        <w:spacing w:after="0" w:line="160" w:lineRule="exact"/>
        <w:rPr>
          <w:sz w:val="20"/>
          <w:szCs w:val="20"/>
          <w:color w:val="auto"/>
        </w:rPr>
      </w:pPr>
    </w:p>
    <w:p>
      <w:pPr>
        <w:ind w:right="3599" w:firstLine="258"/>
        <w:spacing w:after="0" w:line="252" w:lineRule="auto"/>
        <w:rPr>
          <w:sz w:val="20"/>
          <w:szCs w:val="20"/>
          <w:color w:val="auto"/>
        </w:rPr>
      </w:pPr>
      <w:r>
        <w:rPr>
          <w:rFonts w:ascii="Courier New" w:cs="Courier New" w:eastAsia="Courier New" w:hAnsi="Courier New"/>
          <w:sz w:val="14"/>
          <w:szCs w:val="14"/>
          <w:color w:val="auto"/>
        </w:rPr>
        <w:t>Unfunded commitments to extend credit are agreements to lend to a customer who has complied with predetermined contractual conditions. Commitments generally have fixed expiration dates.</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Standby letters of credit and guarantees are conditional commitments issued by the Corporation generally to guarantee the performance of a customer to a third party in borrowing arrangements, such as commercial paper, bond financing, construction and similar transactions. The credit risk involved in issuing standby letters of credit is essentially the same as that involved in extending loan facilities to customers and may be reduced by participations to third parties. The Corporation holds collateral to support those standby letters of credit and guarantees written for which collateral is deemed necessary. At</w:t>
      </w:r>
    </w:p>
    <w:p>
      <w:pPr>
        <w:sectPr>
          <w:pgSz w:w="11900" w:h="16886" w:orient="portrait"/>
          <w:cols w:equalWidth="0" w:num="1">
            <w:col w:w="10239"/>
          </w:cols>
          <w:pgMar w:left="220" w:top="285" w:right="1440" w:bottom="0" w:gutter="0" w:footer="0" w:header="0"/>
        </w:sectPr>
      </w:pPr>
    </w:p>
    <w:bookmarkStart w:id="98" w:name="page99"/>
    <w:bookmarkEnd w:id="98"/>
    <w:p>
      <w:pPr>
        <w:ind w:right="3939"/>
        <w:spacing w:after="0" w:line="255" w:lineRule="auto"/>
        <w:rPr>
          <w:sz w:val="20"/>
          <w:szCs w:val="20"/>
          <w:color w:val="auto"/>
        </w:rPr>
      </w:pPr>
      <w:r>
        <w:rPr>
          <w:rFonts w:ascii="Courier New" w:cs="Courier New" w:eastAsia="Courier New" w:hAnsi="Courier New"/>
          <w:sz w:val="14"/>
          <w:szCs w:val="14"/>
          <w:color w:val="auto"/>
        </w:rPr>
        <w:t>December 31, 1995, all of the Corporation's standby letters of credit and guarantees written expire in less than five years.</w:t>
      </w:r>
    </w:p>
    <w:p>
      <w:pPr>
        <w:spacing w:after="0" w:line="160"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Customers' securities lent are customers' securities held by the Corporation, as custodian, which are lent to third parties. The Corporation obtains collateral, with a market value exceeding 100% of the contract amount, for customers' securities lent, which is used to indemnify customers against possible losses resulting from third-party defaults.</w:t>
      </w:r>
    </w:p>
    <w:p>
      <w:pPr>
        <w:spacing w:after="0" w:line="16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141"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180" w:hanging="172"/>
        <w:spacing w:after="0"/>
        <w:tabs>
          <w:tab w:leader="none" w:pos="1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   SIGNIFICANT CONCENTRATIONS OF CREDIT RISK</w:t>
      </w:r>
    </w:p>
    <w:p>
      <w:pPr>
        <w:spacing w:after="0" w:line="173" w:lineRule="exact"/>
        <w:rPr>
          <w:sz w:val="20"/>
          <w:szCs w:val="20"/>
          <w:color w:val="auto"/>
        </w:rPr>
      </w:pPr>
    </w:p>
    <w:p>
      <w:pPr>
        <w:ind w:right="4400"/>
        <w:spacing w:after="0" w:line="251" w:lineRule="auto"/>
        <w:rPr>
          <w:sz w:val="20"/>
          <w:szCs w:val="20"/>
          <w:color w:val="auto"/>
        </w:rPr>
      </w:pPr>
      <w:r>
        <w:rPr>
          <w:rFonts w:ascii="Courier New" w:cs="Courier New" w:eastAsia="Courier New" w:hAnsi="Courier New"/>
          <w:sz w:val="14"/>
          <w:szCs w:val="14"/>
          <w:color w:val="auto"/>
        </w:rPr>
        <w:t>Concentrations of credit risk arise when a number of customers are engaged in similar business activities, or activities in the same geographic region, or have similar economic features that would cause their ability to meet contractual obligations to be similarly affected by changes in economic conditions.</w:t>
      </w:r>
    </w:p>
    <w:p>
      <w:pPr>
        <w:spacing w:after="0" w:line="165" w:lineRule="exact"/>
        <w:rPr>
          <w:sz w:val="20"/>
          <w:szCs w:val="20"/>
          <w:color w:val="auto"/>
        </w:rPr>
      </w:pPr>
    </w:p>
    <w:p>
      <w:pPr>
        <w:ind w:right="4140" w:firstLine="258"/>
        <w:spacing w:after="0" w:line="251" w:lineRule="auto"/>
        <w:rPr>
          <w:sz w:val="20"/>
          <w:szCs w:val="20"/>
          <w:color w:val="auto"/>
        </w:rPr>
      </w:pPr>
      <w:r>
        <w:rPr>
          <w:rFonts w:ascii="Courier New" w:cs="Courier New" w:eastAsia="Courier New" w:hAnsi="Courier New"/>
          <w:sz w:val="14"/>
          <w:szCs w:val="14"/>
          <w:color w:val="auto"/>
        </w:rPr>
        <w:t>Concentrations of credit risk indicate the relative sensitivity of the Corporation's performance to both positive and negative developments affecting a particular industry. Based on the nature of the banking business, management does not believe that any of these concentrations are unusual.The accompanying table presents the Corporation's significant concentrations of credit risk for on-balance sheet (principally loans) and off-balance sheet (principally commitments to extend credit) financial instruments. The Corporation has procedures to monitor counterparty credit risk and to obtain collateral when deemed necessary. Accordingly, management believes that the credit exposure shown below is not representative of the potential risk of loss inherent in the portfolio.</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020"/>
        <w:spacing w:after="0"/>
        <w:tabs>
          <w:tab w:leader="none" w:pos="4300" w:val="left"/>
          <w:tab w:leader="none" w:pos="5500" w:val="left"/>
          <w:tab w:leader="none" w:pos="7480" w:val="left"/>
          <w:tab w:leader="none" w:pos="8680" w:val="left"/>
          <w:tab w:leader="none" w:pos="9900" w:val="left"/>
        </w:tabs>
        <w:rPr>
          <w:sz w:val="20"/>
          <w:szCs w:val="20"/>
          <w:color w:val="auto"/>
        </w:rPr>
      </w:pPr>
      <w:r>
        <w:rPr>
          <w:rFonts w:ascii="Courier New" w:cs="Courier New" w:eastAsia="Courier New" w:hAnsi="Courier New"/>
          <w:sz w:val="14"/>
          <w:szCs w:val="14"/>
          <w:color w:val="auto"/>
        </w:rPr>
        <w:t>Credit</w:t>
      </w:r>
      <w:r>
        <w:rPr>
          <w:sz w:val="20"/>
          <w:szCs w:val="20"/>
          <w:color w:val="auto"/>
        </w:rPr>
        <w:tab/>
      </w:r>
      <w:r>
        <w:rPr>
          <w:rFonts w:ascii="Courier New" w:cs="Courier New" w:eastAsia="Courier New" w:hAnsi="Courier New"/>
          <w:sz w:val="14"/>
          <w:szCs w:val="14"/>
          <w:color w:val="auto"/>
        </w:rPr>
        <w:t>On-Balance</w:t>
      </w:r>
      <w:r>
        <w:rPr>
          <w:sz w:val="20"/>
          <w:szCs w:val="20"/>
          <w:color w:val="auto"/>
        </w:rPr>
        <w:tab/>
      </w:r>
      <w:r>
        <w:rPr>
          <w:rFonts w:ascii="Courier New" w:cs="Courier New" w:eastAsia="Courier New" w:hAnsi="Courier New"/>
          <w:sz w:val="14"/>
          <w:szCs w:val="14"/>
          <w:color w:val="auto"/>
        </w:rPr>
        <w:t>Off-Balance</w:t>
      </w:r>
      <w:r>
        <w:rPr>
          <w:sz w:val="20"/>
          <w:szCs w:val="20"/>
          <w:color w:val="auto"/>
        </w:rPr>
        <w:tab/>
      </w:r>
      <w:r>
        <w:rPr>
          <w:rFonts w:ascii="Courier New" w:cs="Courier New" w:eastAsia="Courier New" w:hAnsi="Courier New"/>
          <w:sz w:val="14"/>
          <w:szCs w:val="14"/>
          <w:color w:val="auto"/>
        </w:rPr>
        <w:t>Credit</w:t>
      </w:r>
      <w:r>
        <w:rPr>
          <w:sz w:val="20"/>
          <w:szCs w:val="20"/>
          <w:color w:val="auto"/>
        </w:rPr>
        <w:tab/>
      </w:r>
      <w:r>
        <w:rPr>
          <w:rFonts w:ascii="Courier New" w:cs="Courier New" w:eastAsia="Courier New" w:hAnsi="Courier New"/>
          <w:sz w:val="14"/>
          <w:szCs w:val="14"/>
          <w:color w:val="auto"/>
        </w:rPr>
        <w:t>On-Balance</w:t>
      </w:r>
      <w:r>
        <w:rPr>
          <w:sz w:val="20"/>
          <w:szCs w:val="20"/>
          <w:color w:val="auto"/>
        </w:rPr>
        <w:tab/>
      </w:r>
      <w:r>
        <w:rPr>
          <w:rFonts w:ascii="Courier New" w:cs="Courier New" w:eastAsia="Courier New" w:hAnsi="Courier New"/>
          <w:sz w:val="14"/>
          <w:szCs w:val="14"/>
          <w:color w:val="auto"/>
        </w:rPr>
        <w:t>Off-Balance</w:t>
      </w:r>
    </w:p>
    <w:p>
      <w:pPr>
        <w:spacing w:after="0" w:line="7" w:lineRule="exact"/>
        <w:rPr>
          <w:sz w:val="20"/>
          <w:szCs w:val="20"/>
          <w:color w:val="auto"/>
        </w:rPr>
      </w:pPr>
    </w:p>
    <w:p>
      <w:pPr>
        <w:ind w:left="2860"/>
        <w:spacing w:after="0"/>
        <w:tabs>
          <w:tab w:leader="none" w:pos="4720" w:val="left"/>
          <w:tab w:leader="none" w:pos="6020" w:val="left"/>
          <w:tab w:leader="none" w:pos="7300" w:val="left"/>
          <w:tab w:leader="none" w:pos="9120" w:val="left"/>
          <w:tab w:leader="none" w:pos="10420" w:val="left"/>
        </w:tabs>
        <w:rPr>
          <w:sz w:val="20"/>
          <w:szCs w:val="20"/>
          <w:color w:val="auto"/>
        </w:rPr>
      </w:pPr>
      <w:r>
        <w:rPr>
          <w:rFonts w:ascii="Courier New" w:cs="Courier New" w:eastAsia="Courier New" w:hAnsi="Courier New"/>
          <w:sz w:val="14"/>
          <w:szCs w:val="14"/>
          <w:color w:val="auto"/>
        </w:rPr>
        <w:t>Exposure</w:t>
      </w:r>
      <w:r>
        <w:rPr>
          <w:sz w:val="20"/>
          <w:szCs w:val="20"/>
          <w:color w:val="auto"/>
        </w:rPr>
        <w:tab/>
      </w:r>
      <w:r>
        <w:rPr>
          <w:rFonts w:ascii="Courier New" w:cs="Courier New" w:eastAsia="Courier New" w:hAnsi="Courier New"/>
          <w:sz w:val="14"/>
          <w:szCs w:val="14"/>
          <w:color w:val="auto"/>
        </w:rPr>
        <w:t>Sheet</w:t>
      </w:r>
      <w:r>
        <w:rPr>
          <w:sz w:val="20"/>
          <w:szCs w:val="20"/>
          <w:color w:val="auto"/>
        </w:rPr>
        <w:tab/>
      </w:r>
      <w:r>
        <w:rPr>
          <w:rFonts w:ascii="Courier New" w:cs="Courier New" w:eastAsia="Courier New" w:hAnsi="Courier New"/>
          <w:sz w:val="14"/>
          <w:szCs w:val="14"/>
          <w:color w:val="auto"/>
        </w:rPr>
        <w:t>Sheet</w:t>
      </w:r>
      <w:r>
        <w:rPr>
          <w:sz w:val="20"/>
          <w:szCs w:val="20"/>
          <w:color w:val="auto"/>
        </w:rPr>
        <w:tab/>
      </w:r>
      <w:r>
        <w:rPr>
          <w:rFonts w:ascii="Courier New" w:cs="Courier New" w:eastAsia="Courier New" w:hAnsi="Courier New"/>
          <w:sz w:val="14"/>
          <w:szCs w:val="14"/>
          <w:color w:val="auto"/>
        </w:rPr>
        <w:t>Exposure</w:t>
      </w:r>
      <w:r>
        <w:rPr>
          <w:sz w:val="20"/>
          <w:szCs w:val="20"/>
          <w:color w:val="auto"/>
        </w:rPr>
        <w:tab/>
      </w:r>
      <w:r>
        <w:rPr>
          <w:rFonts w:ascii="Courier New" w:cs="Courier New" w:eastAsia="Courier New" w:hAnsi="Courier New"/>
          <w:sz w:val="14"/>
          <w:szCs w:val="14"/>
          <w:color w:val="auto"/>
        </w:rPr>
        <w:t>Sheet</w:t>
      </w:r>
      <w:r>
        <w:rPr>
          <w:sz w:val="20"/>
          <w:szCs w:val="20"/>
          <w:color w:val="auto"/>
        </w:rPr>
        <w:tab/>
      </w:r>
      <w:r>
        <w:rPr>
          <w:rFonts w:ascii="Courier New" w:cs="Courier New" w:eastAsia="Courier New" w:hAnsi="Courier New"/>
          <w:sz w:val="14"/>
          <w:szCs w:val="14"/>
          <w:color w:val="auto"/>
        </w:rPr>
        <w:t>Sheet</w:t>
      </w:r>
    </w:p>
    <w:p>
      <w:pPr>
        <w:spacing w:after="0" w:line="7" w:lineRule="exact"/>
        <w:rPr>
          <w:sz w:val="20"/>
          <w:szCs w:val="20"/>
          <w:color w:val="auto"/>
        </w:rPr>
      </w:pPr>
    </w:p>
    <w:p>
      <w:pPr>
        <w:spacing w:after="0"/>
        <w:tabs>
          <w:tab w:leader="none" w:pos="3960" w:val="left"/>
          <w:tab w:leader="none" w:pos="8420" w:val="left"/>
        </w:tabs>
        <w:rPr>
          <w:sz w:val="20"/>
          <w:szCs w:val="20"/>
          <w:color w:val="auto"/>
        </w:rPr>
      </w:pPr>
      <w:r>
        <w:rPr>
          <w:rFonts w:ascii="Courier New" w:cs="Courier New" w:eastAsia="Courier New" w:hAnsi="Courier New"/>
          <w:sz w:val="14"/>
          <w:szCs w:val="14"/>
          <w:color w:val="auto"/>
        </w:rPr>
        <w:t>December 31, (in billions)</w:t>
      </w:r>
      <w:r>
        <w:rPr>
          <w:sz w:val="20"/>
          <w:szCs w:val="20"/>
          <w:color w:val="auto"/>
        </w:rPr>
        <w:tab/>
      </w:r>
      <w:r>
        <w:rPr>
          <w:rFonts w:ascii="Courier New" w:cs="Courier New" w:eastAsia="Courier New" w:hAnsi="Courier New"/>
          <w:sz w:val="14"/>
          <w:szCs w:val="14"/>
          <w:color w:val="auto"/>
        </w:rPr>
        <w:t>1995 Distributions</w:t>
      </w:r>
      <w:r>
        <w:rPr>
          <w:sz w:val="20"/>
          <w:szCs w:val="20"/>
          <w:color w:val="auto"/>
        </w:rPr>
        <w:tab/>
      </w:r>
      <w:r>
        <w:rPr>
          <w:rFonts w:ascii="Courier New" w:cs="Courier New" w:eastAsia="Courier New" w:hAnsi="Courier New"/>
          <w:sz w:val="14"/>
          <w:szCs w:val="14"/>
          <w:color w:val="auto"/>
        </w:rPr>
        <w:t>1994 Distributions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20"/>
                <w:szCs w:val="20"/>
                <w:color w:val="auto"/>
              </w:rPr>
            </w:pPr>
            <w:r>
              <w:rPr>
                <w:rFonts w:ascii="Courier New" w:cs="Courier New" w:eastAsia="Courier New" w:hAnsi="Courier New"/>
                <w:sz w:val="14"/>
                <w:szCs w:val="14"/>
                <w:color w:val="auto"/>
              </w:rPr>
              <w:t>Residential Mortgages</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$ 37.4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$35.2</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$ 2.2</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$ 32.4</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$ 2.5</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Credit Cards</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65.2</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17.6</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47.6</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64.9</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47.5</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Commercial Real Estate</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7.5</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0.9</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9.1</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000" w:val="left"/>
          <w:tab w:leader="none" w:pos="4720" w:val="left"/>
          <w:tab w:leader="none" w:pos="6020" w:val="left"/>
          <w:tab w:leader="none" w:pos="7480" w:val="left"/>
          <w:tab w:leader="none" w:pos="9120" w:val="left"/>
          <w:tab w:leader="none" w:pos="1042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$111.0</w:t>
      </w:r>
      <w:r>
        <w:rPr>
          <w:sz w:val="20"/>
          <w:szCs w:val="20"/>
          <w:color w:val="auto"/>
        </w:rPr>
        <w:tab/>
      </w:r>
      <w:r>
        <w:rPr>
          <w:rFonts w:ascii="Courier New" w:cs="Courier New" w:eastAsia="Courier New" w:hAnsi="Courier New"/>
          <w:sz w:val="14"/>
          <w:szCs w:val="14"/>
          <w:color w:val="auto"/>
        </w:rPr>
        <w:t>$60.3</w:t>
      </w:r>
      <w:r>
        <w:rPr>
          <w:sz w:val="20"/>
          <w:szCs w:val="20"/>
          <w:color w:val="auto"/>
        </w:rPr>
        <w:tab/>
      </w:r>
      <w:r>
        <w:rPr>
          <w:rFonts w:ascii="Courier New" w:cs="Courier New" w:eastAsia="Courier New" w:hAnsi="Courier New"/>
          <w:sz w:val="14"/>
          <w:szCs w:val="14"/>
          <w:color w:val="auto"/>
        </w:rPr>
        <w:t>$50.7</w:t>
      </w:r>
      <w:r>
        <w:rPr>
          <w:sz w:val="20"/>
          <w:szCs w:val="20"/>
          <w:color w:val="auto"/>
        </w:rPr>
        <w:tab/>
      </w:r>
      <w:r>
        <w:rPr>
          <w:rFonts w:ascii="Courier New" w:cs="Courier New" w:eastAsia="Courier New" w:hAnsi="Courier New"/>
          <w:sz w:val="14"/>
          <w:szCs w:val="14"/>
          <w:color w:val="auto"/>
        </w:rPr>
        <w:t>$106.4</w:t>
      </w:r>
      <w:r>
        <w:rPr>
          <w:sz w:val="20"/>
          <w:szCs w:val="20"/>
          <w:color w:val="auto"/>
        </w:rPr>
        <w:tab/>
      </w:r>
      <w:r>
        <w:rPr>
          <w:rFonts w:ascii="Courier New" w:cs="Courier New" w:eastAsia="Courier New" w:hAnsi="Courier New"/>
          <w:sz w:val="14"/>
          <w:szCs w:val="14"/>
          <w:color w:val="auto"/>
        </w:rPr>
        <w:t>$55.8</w:t>
      </w:r>
      <w:r>
        <w:rPr>
          <w:sz w:val="20"/>
          <w:szCs w:val="20"/>
          <w:color w:val="auto"/>
        </w:rPr>
        <w:tab/>
      </w:r>
      <w:r>
        <w:rPr>
          <w:rFonts w:ascii="Courier New" w:cs="Courier New" w:eastAsia="Courier New" w:hAnsi="Courier New"/>
          <w:sz w:val="14"/>
          <w:szCs w:val="14"/>
          <w:color w:val="auto"/>
        </w:rPr>
        <w:t>$50.6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140" w:firstLine="258"/>
        <w:spacing w:after="0" w:line="251" w:lineRule="auto"/>
        <w:rPr>
          <w:sz w:val="20"/>
          <w:szCs w:val="20"/>
          <w:color w:val="auto"/>
        </w:rPr>
      </w:pPr>
      <w:r>
        <w:rPr>
          <w:rFonts w:ascii="Courier New" w:cs="Courier New" w:eastAsia="Courier New" w:hAnsi="Courier New"/>
          <w:sz w:val="14"/>
          <w:szCs w:val="14"/>
          <w:color w:val="auto"/>
        </w:rPr>
        <w:t>The Corporation's balance sheet exposure to consumers is mainly residential mortgages and credit card outstandings, with off-balance sheet exposure concentrated in unfunded credit card commitments. For a geographic concentration of residential mortgages and credit card outstandings, reference is made to the tables entitled Residential Mortgage Loans by Geographic Region and Domestic Credit Card Receivables by Geographic Region within the Domestic Consumer Portfolio section of the MD&amp;A on pages 34 and 35, respectively.</w:t>
      </w:r>
    </w:p>
    <w:p>
      <w:pPr>
        <w:spacing w:after="0" w:line="164" w:lineRule="exact"/>
        <w:rPr>
          <w:sz w:val="20"/>
          <w:szCs w:val="20"/>
          <w:color w:val="auto"/>
        </w:rPr>
      </w:pPr>
    </w:p>
    <w:p>
      <w:pPr>
        <w:ind w:right="4140" w:firstLine="258"/>
        <w:spacing w:after="0" w:line="251" w:lineRule="auto"/>
        <w:rPr>
          <w:sz w:val="20"/>
          <w:szCs w:val="20"/>
          <w:color w:val="auto"/>
        </w:rPr>
      </w:pPr>
      <w:r>
        <w:rPr>
          <w:rFonts w:ascii="Courier New" w:cs="Courier New" w:eastAsia="Courier New" w:hAnsi="Courier New"/>
          <w:sz w:val="14"/>
          <w:szCs w:val="14"/>
          <w:color w:val="auto"/>
        </w:rPr>
        <w:t>Geographic concentrations are a factor most directly affecting the credit risk of the real estate and emerging markets segments of the Corporation's loan portfolio. The Corporation's real estate portfolio is primarily concentrated in the New York Metropolitan area and in Texas. Its emerging markets portfolio is largely concentrated in Latin America, principally Mexico, Brazil and Venezuela. For a further discussion of the emerging markets portfolio, reference is made to the Cross-Border Outstandings section of the MD&amp;A on page 37.</w:t>
      </w:r>
    </w:p>
    <w:p>
      <w:pPr>
        <w:spacing w:after="0" w:line="164" w:lineRule="exact"/>
        <w:rPr>
          <w:sz w:val="20"/>
          <w:szCs w:val="20"/>
          <w:color w:val="auto"/>
        </w:rPr>
      </w:pPr>
    </w:p>
    <w:p>
      <w:pPr>
        <w:ind w:left="180" w:hanging="172"/>
        <w:spacing w:after="0"/>
        <w:tabs>
          <w:tab w:leader="none" w:pos="1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21  FAIR VALUE OF FINANCIAL INSTRUMENTS</w:t>
      </w:r>
    </w:p>
    <w:p>
      <w:pPr>
        <w:spacing w:after="0" w:line="173" w:lineRule="exact"/>
        <w:rPr>
          <w:sz w:val="20"/>
          <w:szCs w:val="20"/>
          <w:color w:val="auto"/>
        </w:rPr>
      </w:pPr>
    </w:p>
    <w:p>
      <w:pPr>
        <w:ind w:right="4140"/>
        <w:spacing w:after="0" w:line="251" w:lineRule="auto"/>
        <w:rPr>
          <w:sz w:val="20"/>
          <w:szCs w:val="20"/>
          <w:color w:val="auto"/>
        </w:rPr>
      </w:pPr>
      <w:r>
        <w:rPr>
          <w:rFonts w:ascii="Courier New" w:cs="Courier New" w:eastAsia="Courier New" w:hAnsi="Courier New"/>
          <w:sz w:val="14"/>
          <w:szCs w:val="14"/>
          <w:color w:val="auto"/>
        </w:rPr>
        <w:t>Statement of Financial Accounting Standards No. 107, "Disclosures About Fair Value of Financial Instruments" ("SFAS 107"), requires the Corporation disclose fair value information about financial instruments for which it is practicable to estimate the value, whether or not such financial instruments are recognized on the balance sheet. Fair value is the amount at which a financial instrument could be exchanged in a current transaction between willing parties, other than in a forced sale or liquidation, and is best evidenced by a quoted market price, if one exists.</w:t>
      </w:r>
    </w:p>
    <w:p>
      <w:pPr>
        <w:spacing w:after="0" w:line="164" w:lineRule="exact"/>
        <w:rPr>
          <w:sz w:val="20"/>
          <w:szCs w:val="20"/>
          <w:color w:val="auto"/>
        </w:rPr>
      </w:pPr>
    </w:p>
    <w:p>
      <w:pPr>
        <w:ind w:right="4220" w:firstLine="258"/>
        <w:spacing w:after="0" w:line="251" w:lineRule="auto"/>
        <w:rPr>
          <w:sz w:val="20"/>
          <w:szCs w:val="20"/>
          <w:color w:val="auto"/>
        </w:rPr>
      </w:pPr>
      <w:r>
        <w:rPr>
          <w:rFonts w:ascii="Courier New" w:cs="Courier New" w:eastAsia="Courier New" w:hAnsi="Courier New"/>
          <w:sz w:val="14"/>
          <w:szCs w:val="14"/>
          <w:color w:val="auto"/>
        </w:rPr>
        <w:t>Quoted market prices are not available for a significant portion of the Corporation's financial instruments. As a result, the fair values presented are estimates derived using present value or other valuation techniques and may not be indicative of the net realizable value. In addition, the calculation of estimated fair value is based on market conditions at a specific point in time and may not be reflective of future fair values.</w:t>
      </w:r>
    </w:p>
    <w:p>
      <w:pPr>
        <w:spacing w:after="0" w:line="164" w:lineRule="exact"/>
        <w:rPr>
          <w:sz w:val="20"/>
          <w:szCs w:val="20"/>
          <w:color w:val="auto"/>
        </w:rPr>
      </w:pPr>
    </w:p>
    <w:p>
      <w:pPr>
        <w:ind w:right="4140" w:firstLine="258"/>
        <w:spacing w:after="0" w:line="251" w:lineRule="auto"/>
        <w:rPr>
          <w:sz w:val="20"/>
          <w:szCs w:val="20"/>
          <w:color w:val="auto"/>
        </w:rPr>
      </w:pPr>
      <w:r>
        <w:rPr>
          <w:rFonts w:ascii="Courier New" w:cs="Courier New" w:eastAsia="Courier New" w:hAnsi="Courier New"/>
          <w:sz w:val="14"/>
          <w:szCs w:val="14"/>
          <w:color w:val="auto"/>
        </w:rPr>
        <w:t>Certain financial instruments and all nonfinancial instruments are excluded from the scope of SFAS 107. Accordingly, the fair value disclosures required by SFAS 107 provide only a partial estimate of the fair value of the Corporation; for example, the values associated with the various ongoing businesses which the Corporation operates are excluded. The Corporation has developed long-term relationships with its customers through its deposit base and its credit card accounts, commonly referred to as core deposit intangibles and credit card relationships. Customer relationships with mortgage servicing customers also provide significant economic value. As discussed in Note One, servicing rights, except those associated with certain mortgages originated after the adoption of SFAS 122, are not currently reflected in the balance sheet. In the opinion of management, these items in the aggregate add significant value to the Corporation, but their fair value is not disclosed in this Note.</w:t>
      </w:r>
    </w:p>
    <w:p>
      <w:pPr>
        <w:spacing w:after="0" w:line="163" w:lineRule="exact"/>
        <w:rPr>
          <w:sz w:val="20"/>
          <w:szCs w:val="20"/>
          <w:color w:val="auto"/>
        </w:rPr>
      </w:pPr>
    </w:p>
    <w:p>
      <w:pPr>
        <w:ind w:right="4320" w:firstLine="258"/>
        <w:spacing w:after="0" w:line="251" w:lineRule="auto"/>
        <w:rPr>
          <w:sz w:val="20"/>
          <w:szCs w:val="20"/>
          <w:color w:val="auto"/>
        </w:rPr>
      </w:pPr>
      <w:r>
        <w:rPr>
          <w:rFonts w:ascii="Courier New" w:cs="Courier New" w:eastAsia="Courier New" w:hAnsi="Courier New"/>
          <w:sz w:val="14"/>
          <w:szCs w:val="14"/>
          <w:color w:val="auto"/>
        </w:rPr>
        <w:t>Fair values among financial institutions are not comparable due to the wide range of permitted valuation techniques and numerous estimates that must be made. This lack of objective valuation standard introduces a great degree of subjectivity to these derived or estimated fair values. Therefore, readers are cautioned in using this information for purposes of evaluating the financial condition of the Corporation compared with other financial institutions.</w:t>
      </w:r>
    </w:p>
    <w:p>
      <w:pPr>
        <w:sectPr>
          <w:pgSz w:w="11900" w:h="16838" w:orient="portrait"/>
          <w:cols w:equalWidth="0" w:num="1">
            <w:col w:w="11040"/>
          </w:cols>
          <w:pgMar w:left="220" w:top="285" w:right="639" w:bottom="94" w:gutter="0" w:footer="0" w:header="0"/>
        </w:sectPr>
      </w:pP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1040"/>
          </w:cols>
          <w:pgMar w:left="220" w:top="285" w:right="639" w:bottom="94" w:gutter="0" w:footer="0" w:header="0"/>
          <w:type w:val="continuous"/>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58</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and Subsidiaries</w:t>
      </w:r>
    </w:p>
    <w:p>
      <w:pPr>
        <w:spacing w:after="0" w:line="7" w:lineRule="exact"/>
        <w:rPr>
          <w:sz w:val="20"/>
          <w:szCs w:val="20"/>
          <w:color w:val="auto"/>
        </w:rPr>
      </w:pPr>
    </w:p>
    <w:p>
      <w:pPr>
        <w:ind w:left="180" w:hanging="172"/>
        <w:spacing w:after="0"/>
        <w:tabs>
          <w:tab w:leader="none" w:pos="18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summary presents the methodologies and assumptions used to</w:t>
      </w:r>
    </w:p>
    <w:p>
      <w:pPr>
        <w:spacing w:after="0" w:line="7"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estimate the fair value of the Corporation's financial instruments required to be valued pursuant to SFAS 107.</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ASSETS</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Assets for Which Fair Value Approximates Carrying Value: The fair value of certain financial assets carried at cost, including cash and due from banks, deposits with banks, federal funds sold and securities purchased under resale agreements, due from customers on acceptances, short-term receivables and accrued interest receivable is considered to approximate their respective carrying values due to their short-term nature and negligible credit losses. The fair value of loans held for accelerated disposition is also considered to approximate carrying value. As discussed in Note One, such loans are carried at the lower of cost or current estimated disposition value.</w:t>
      </w:r>
    </w:p>
    <w:p>
      <w:pPr>
        <w:spacing w:after="0" w:line="164"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Trading Assets: The Corporation carries trading assets, which includes debt and equity instruments as well as the positive fair value on derivative and foreign exchange instruments at estimated fair value. The fair value of these instruments were valued using either quoted market prices, pricing models, quoted market prices of financial instruments with similar characteristics or discounted cash flows. For the fair value of trading assets, see Note Three.</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Securities: Securities held-to-maturity are carried at amortized cost. Securities available-for-sale and interest rate contracts used in connection with the available-for-sale portfolio are carried at fair value. The valuation methodologies for securities are discussed in Note Four.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 Loans were valued using methodologies suitable for each loan type.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of these methodologies and key assumptions made are discussed below.</w:t>
      </w:r>
    </w:p>
    <w:p>
      <w:pPr>
        <w:spacing w:after="0" w:line="17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The fair value of the Corporation's commercial loan portfolio was estimated by assessing the two main risk components of the portfolio: credit and interest. The estimated cash flows were adjusted to reflect the inherent credit risk and then discounted, using rates appropriate for each maturity that incorporate the effects of interest rate changes. Generally, emerging market loans were valued based on secondary market prices.</w:t>
      </w:r>
    </w:p>
    <w:p>
      <w:pPr>
        <w:spacing w:after="0" w:line="164"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For consumer installment loans and residential mortgages for which market rates for comparable loans are readily available, the fair value was estimated by discounting cash flows, adjusted for prepayments. The discount rates used for consumer installment loans were current rates offered by commercial banks and thrifts; for residential mortgages, secondary market yields for comparable mortgage-backed securities, adjusted for risk, were used. The fair value of credit card receivables was estimated by discounting expected cash flows. The discount rates used incorporated the effects of interest rate changes only, since the estimated cash flows were adjusted for credit risk.</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Other Assets: Other Assets consist primarily of equity investments, including venture capital investments. The fair value of these investments was determined on an individual basis. The valuation methodologies included market values of publicly-traded securities, independent appraisals, and cash flow analyses.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LIABILITIES</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Liabilities for Which Fair Value Approximates Carrying Value: SFAS 107 requires that the fair value disclosed for deposit liabilities with no stated maturity (i.e., demand, savings and certain money market deposits) be equal to the carrying value. SFAS 107 does not allow for the recognition of the inherent funding value of these instruments.</w:t>
      </w:r>
    </w:p>
    <w:p>
      <w:pPr>
        <w:spacing w:after="0" w:line="165" w:lineRule="exact"/>
        <w:rPr>
          <w:sz w:val="20"/>
          <w:szCs w:val="20"/>
          <w:color w:val="auto"/>
        </w:rPr>
      </w:pPr>
    </w:p>
    <w:p>
      <w:pPr>
        <w:ind w:right="3339" w:firstLine="258"/>
        <w:spacing w:after="0" w:line="252" w:lineRule="auto"/>
        <w:rPr>
          <w:sz w:val="20"/>
          <w:szCs w:val="20"/>
          <w:color w:val="auto"/>
        </w:rPr>
      </w:pPr>
      <w:r>
        <w:rPr>
          <w:rFonts w:ascii="Courier New" w:cs="Courier New" w:eastAsia="Courier New" w:hAnsi="Courier New"/>
          <w:sz w:val="14"/>
          <w:szCs w:val="14"/>
          <w:color w:val="auto"/>
        </w:rPr>
        <w:t>The fair value of foreign deposits, federal funds purchased and securities sold under repurchase agreements, other borrowed funds, acceptances outstanding, short-term payables and accounts payable and accrued liabilities are considered to approximate their respective carrying values due to their short-term nature.</w:t>
      </w:r>
    </w:p>
    <w:p>
      <w:pPr>
        <w:spacing w:after="0" w:line="162"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Domestic Time Deposits: The fair value of time deposits was estimated by discounting cash flows based on contractual maturities at the interest rates for raising funds of similar maturity.</w:t>
      </w:r>
    </w:p>
    <w:p>
      <w:pPr>
        <w:spacing w:after="0" w:line="16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Trading Liabilities: The Corporation carries trading liabilities which include securities sold, not yet purchased as well as derivatives and foreign exchange instruments at estimated fair value. These instruments were valued using either quoted market prices, pricing models, quoted market prices of financial instruments with similar characteristics or discounted cash flows. For the estimated fair value of trading liabilities, see Note Three.</w:t>
      </w:r>
    </w:p>
    <w:p>
      <w:pPr>
        <w:spacing w:after="0" w:line="164"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Long-Term Debt: The valuation of long-term debt takes into account several factors, including current market interest rates and the Corporation's credit rating. Quotes were gathered from various investment banking firms for indicative yields for the Corporation's securities over a range of maturities.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UNUSED COMMITMENTS AND LETTERS OF CREDIT</w:t>
      </w:r>
    </w:p>
    <w:p>
      <w:pPr>
        <w:spacing w:after="0" w:line="173"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The Corporation has reviewed the unfunded portion of commitments to extend credit as well as standby and other letters of credit, and has determined that the fair value of such financial instruments is not material.</w:t>
      </w:r>
    </w:p>
    <w:p>
      <w:pPr>
        <w:sectPr>
          <w:pgSz w:w="11900" w:h="16838" w:orient="portrait"/>
          <w:cols w:equalWidth="0" w:num="1">
            <w:col w:w="10239"/>
          </w:cols>
          <w:pgMar w:left="220" w:top="285" w:right="1440" w:bottom="591" w:gutter="0" w:footer="0" w:header="0"/>
        </w:sectPr>
      </w:pPr>
    </w:p>
    <w:p>
      <w:pPr>
        <w:spacing w:after="0" w:line="163"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285" w:right="1440" w:bottom="591" w:gutter="0" w:footer="0" w:header="0"/>
          <w:type w:val="continuous"/>
        </w:sectPr>
      </w:pPr>
    </w:p>
    <w:bookmarkStart w:id="101" w:name="page102"/>
    <w:bookmarkEnd w:id="101"/>
    <w:p>
      <w:pPr>
        <w:spacing w:after="0" w:line="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ind w:left="180" w:hanging="172"/>
        <w:spacing w:after="0"/>
        <w:tabs>
          <w:tab w:leader="none" w:pos="18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tables present the carrying value and estimated fair value at</w:t>
      </w:r>
    </w:p>
    <w:p>
      <w:pPr>
        <w:spacing w:after="0" w:line="7" w:lineRule="exact"/>
        <w:rPr>
          <w:sz w:val="20"/>
          <w:szCs w:val="20"/>
          <w:color w:val="auto"/>
        </w:rPr>
      </w:pPr>
    </w:p>
    <w:p>
      <w:pPr>
        <w:ind w:right="4300"/>
        <w:spacing w:after="0" w:line="252" w:lineRule="auto"/>
        <w:rPr>
          <w:sz w:val="20"/>
          <w:szCs w:val="20"/>
          <w:color w:val="auto"/>
        </w:rPr>
      </w:pPr>
      <w:r>
        <w:rPr>
          <w:rFonts w:ascii="Courier New" w:cs="Courier New" w:eastAsia="Courier New" w:hAnsi="Courier New"/>
          <w:sz w:val="14"/>
          <w:szCs w:val="14"/>
          <w:color w:val="auto"/>
        </w:rPr>
        <w:t>December 31, 1995 and 1994 of financial assets and liabilities valued under SFAS 107 and certain derivative contracts used for ALM activities related to such financial assets and liabilities.</w:t>
      </w:r>
    </w:p>
    <w:p>
      <w:pPr>
        <w:spacing w:after="0" w:line="200" w:lineRule="exact"/>
        <w:rPr>
          <w:sz w:val="20"/>
          <w:szCs w:val="20"/>
          <w:color w:val="auto"/>
        </w:rPr>
      </w:pPr>
    </w:p>
    <w:p>
      <w:pPr>
        <w:spacing w:after="0" w:line="294"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Financial Assets/Financial Liabilities</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680"/>
        <w:spacing w:after="0"/>
        <w:rPr>
          <w:sz w:val="20"/>
          <w:szCs w:val="20"/>
          <w:color w:val="auto"/>
        </w:rPr>
      </w:pPr>
      <w:r>
        <w:rPr>
          <w:rFonts w:ascii="Courier New" w:cs="Courier New" w:eastAsia="Courier New" w:hAnsi="Courier New"/>
          <w:sz w:val="14"/>
          <w:szCs w:val="14"/>
          <w:color w:val="auto"/>
        </w:rPr>
        <w:t>Estimated</w:t>
      </w:r>
    </w:p>
    <w:p>
      <w:pPr>
        <w:spacing w:after="0" w:line="7" w:lineRule="exact"/>
        <w:rPr>
          <w:sz w:val="20"/>
          <w:szCs w:val="20"/>
          <w:color w:val="auto"/>
        </w:rPr>
      </w:pPr>
    </w:p>
    <w:p>
      <w:pPr>
        <w:ind w:left="6120"/>
        <w:spacing w:after="0"/>
        <w:tabs>
          <w:tab w:leader="none" w:pos="8080" w:val="left"/>
        </w:tabs>
        <w:rPr>
          <w:sz w:val="20"/>
          <w:szCs w:val="20"/>
          <w:color w:val="auto"/>
        </w:rPr>
      </w:pPr>
      <w:r>
        <w:rPr>
          <w:rFonts w:ascii="Courier New" w:cs="Courier New" w:eastAsia="Courier New" w:hAnsi="Courier New"/>
          <w:sz w:val="14"/>
          <w:szCs w:val="14"/>
          <w:color w:val="auto"/>
        </w:rPr>
        <w:t>Carrying</w:t>
      </w:r>
      <w:r>
        <w:rPr>
          <w:sz w:val="20"/>
          <w:szCs w:val="20"/>
          <w:color w:val="auto"/>
        </w:rPr>
        <w:tab/>
      </w:r>
      <w:r>
        <w:rPr>
          <w:rFonts w:ascii="Courier New" w:cs="Courier New" w:eastAsia="Courier New" w:hAnsi="Courier New"/>
          <w:sz w:val="14"/>
          <w:szCs w:val="14"/>
          <w:color w:val="auto"/>
        </w:rPr>
        <w:t>Fair</w:t>
      </w:r>
    </w:p>
    <w:p>
      <w:pPr>
        <w:spacing w:after="0" w:line="7" w:lineRule="exact"/>
        <w:rPr>
          <w:sz w:val="20"/>
          <w:szCs w:val="20"/>
          <w:color w:val="auto"/>
        </w:rPr>
      </w:pPr>
    </w:p>
    <w:p>
      <w:pPr>
        <w:spacing w:after="0"/>
        <w:tabs>
          <w:tab w:leader="none" w:pos="6360" w:val="left"/>
          <w:tab w:leader="none" w:pos="8000" w:val="left"/>
        </w:tabs>
        <w:rPr>
          <w:sz w:val="20"/>
          <w:szCs w:val="20"/>
          <w:color w:val="auto"/>
        </w:rPr>
      </w:pPr>
      <w:r>
        <w:rPr>
          <w:rFonts w:ascii="Courier New" w:cs="Courier New" w:eastAsia="Courier New" w:hAnsi="Courier New"/>
          <w:sz w:val="14"/>
          <w:szCs w:val="14"/>
          <w:color w:val="auto"/>
        </w:rPr>
        <w:t>December 31, 1995 (in millions)</w:t>
      </w:r>
      <w:r>
        <w:rPr>
          <w:sz w:val="20"/>
          <w:szCs w:val="20"/>
          <w:color w:val="auto"/>
        </w:rPr>
        <w:tab/>
      </w:r>
      <w:r>
        <w:rPr>
          <w:rFonts w:ascii="Courier New" w:cs="Courier New" w:eastAsia="Courier New" w:hAnsi="Courier New"/>
          <w:sz w:val="14"/>
          <w:szCs w:val="14"/>
          <w:color w:val="auto"/>
        </w:rPr>
        <w:t>Value(a)(b)</w:t>
      </w:r>
      <w:r>
        <w:rPr>
          <w:sz w:val="20"/>
          <w:szCs w:val="20"/>
          <w:color w:val="auto"/>
        </w:rPr>
        <w:tab/>
      </w:r>
      <w:r>
        <w:rPr>
          <w:rFonts w:ascii="Courier New" w:cs="Courier New" w:eastAsia="Courier New" w:hAnsi="Courier New"/>
          <w:sz w:val="14"/>
          <w:szCs w:val="14"/>
          <w:color w:val="auto"/>
        </w:rPr>
        <w:t>Value(a)(b)</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20"/>
                <w:szCs w:val="20"/>
                <w:color w:val="auto"/>
              </w:rPr>
            </w:pPr>
            <w:r>
              <w:rPr>
                <w:rFonts w:ascii="Courier New" w:cs="Courier New" w:eastAsia="Courier New" w:hAnsi="Courier New"/>
                <w:sz w:val="14"/>
                <w:szCs w:val="14"/>
                <w:color w:val="auto"/>
              </w:rPr>
              <w:t>Financial Assets:</w:t>
            </w:r>
          </w:p>
        </w:tc>
        <w:tc>
          <w:tcPr>
            <w:tcW w:w="19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Assets for Which Fair Value Approximates Carrying Value</w:t>
            </w:r>
          </w:p>
        </w:tc>
        <w:tc>
          <w:tcPr>
            <w:tcW w:w="19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52,235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$ 52,235</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Trading Assets - Debt and Equity Instruments</w:t>
            </w:r>
          </w:p>
        </w:tc>
        <w:tc>
          <w:tcPr>
            <w:tcW w:w="19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26,212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26,212</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Trading Assets - Risk Management Instruments</w:t>
            </w:r>
          </w:p>
        </w:tc>
        <w:tc>
          <w:tcPr>
            <w:tcW w:w="19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25,825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25,825</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Securities Available-for-Sale</w:t>
            </w:r>
          </w:p>
        </w:tc>
        <w:tc>
          <w:tcPr>
            <w:tcW w:w="19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37,141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37,141</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Securities Held-to-Maturity</w:t>
            </w:r>
          </w:p>
        </w:tc>
        <w:tc>
          <w:tcPr>
            <w:tcW w:w="19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4,628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4,659</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Loans, Net of Unearned Income</w:t>
            </w:r>
          </w:p>
        </w:tc>
        <w:tc>
          <w:tcPr>
            <w:tcW w:w="19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150,207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151,078</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Allowance for Credit Losses</w:t>
            </w:r>
          </w:p>
        </w:tc>
        <w:tc>
          <w:tcPr>
            <w:tcW w:w="19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(3,784)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Derivatives in Lieu of Cash Market Instruments(d)</w:t>
            </w:r>
          </w:p>
        </w:tc>
        <w:tc>
          <w:tcPr>
            <w:tcW w:w="19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9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2,095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Total Financial Assets</w:t>
            </w:r>
          </w:p>
        </w:tc>
        <w:tc>
          <w:tcPr>
            <w:tcW w:w="32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$ 294,627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$299,879</w:t>
            </w:r>
          </w:p>
        </w:tc>
      </w:tr>
    </w:tbl>
    <w:p>
      <w:pPr>
        <w:spacing w:after="0" w:line="4" w:lineRule="exact"/>
        <w:rPr>
          <w:sz w:val="20"/>
          <w:szCs w:val="20"/>
          <w:color w:val="auto"/>
        </w:rPr>
      </w:pPr>
    </w:p>
    <w:p>
      <w:pPr>
        <w:ind w:left="180" w:hanging="172"/>
        <w:spacing w:after="0"/>
        <w:tabs>
          <w:tab w:leader="none" w:pos="18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Liabilities: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Liabilities for Which Fair Value Approximates Carrying Value</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$ 208,786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$208,790</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Domestic Time Deposits</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27,113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27,368</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Trading Liabilities</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34,341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34,341</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6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12,825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13,199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tabs>
          <w:tab w:leader="none" w:pos="6020" w:val="left"/>
          <w:tab w:leader="none" w:pos="7740" w:val="left"/>
        </w:tabs>
        <w:rPr>
          <w:sz w:val="20"/>
          <w:szCs w:val="20"/>
          <w:color w:val="auto"/>
        </w:rPr>
      </w:pPr>
      <w:r>
        <w:rPr>
          <w:rFonts w:ascii="Courier New" w:cs="Courier New" w:eastAsia="Courier New" w:hAnsi="Courier New"/>
          <w:sz w:val="14"/>
          <w:szCs w:val="14"/>
          <w:color w:val="auto"/>
        </w:rPr>
        <w:t>Total Financial Liabilities</w:t>
      </w:r>
      <w:r>
        <w:rPr>
          <w:sz w:val="20"/>
          <w:szCs w:val="20"/>
          <w:color w:val="auto"/>
        </w:rPr>
        <w:tab/>
      </w:r>
      <w:r>
        <w:rPr>
          <w:rFonts w:ascii="Courier New" w:cs="Courier New" w:eastAsia="Courier New" w:hAnsi="Courier New"/>
          <w:sz w:val="14"/>
          <w:szCs w:val="14"/>
          <w:color w:val="auto"/>
        </w:rPr>
        <w:t>$ 283,065</w:t>
      </w:r>
      <w:r>
        <w:rPr>
          <w:sz w:val="20"/>
          <w:szCs w:val="20"/>
          <w:color w:val="auto"/>
        </w:rPr>
        <w:tab/>
      </w:r>
      <w:r>
        <w:rPr>
          <w:rFonts w:ascii="Courier New" w:cs="Courier New" w:eastAsia="Courier New" w:hAnsi="Courier New"/>
          <w:sz w:val="14"/>
          <w:szCs w:val="14"/>
          <w:color w:val="auto"/>
        </w:rPr>
        <w:t>$283,698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1994 (in millions)</w:t>
      </w:r>
    </w:p>
    <w:p>
      <w:pPr>
        <w:spacing w:after="0" w:line="7" w:lineRule="exact"/>
        <w:rPr>
          <w:sz w:val="20"/>
          <w:szCs w:val="20"/>
          <w:color w:val="auto"/>
        </w:rPr>
      </w:pPr>
    </w:p>
    <w:p>
      <w:pPr>
        <w:ind w:left="180" w:hanging="172"/>
        <w:spacing w:after="0"/>
        <w:tabs>
          <w:tab w:leader="none" w:pos="1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Assets: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20"/>
                <w:szCs w:val="20"/>
                <w:color w:val="auto"/>
              </w:rPr>
            </w:pPr>
            <w:r>
              <w:rPr>
                <w:rFonts w:ascii="Courier New" w:cs="Courier New" w:eastAsia="Courier New" w:hAnsi="Courier New"/>
                <w:sz w:val="14"/>
                <w:szCs w:val="14"/>
                <w:color w:val="auto"/>
              </w:rPr>
              <w:t>Assets for Which Fair Value Approximates Carrying Value</w:t>
            </w:r>
          </w:p>
        </w:tc>
        <w:tc>
          <w:tcPr>
            <w:tcW w:w="19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56,693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$ 56,693</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Trading Assets - Debt and Equity Instruments</w:t>
            </w:r>
          </w:p>
        </w:tc>
        <w:tc>
          <w:tcPr>
            <w:tcW w:w="19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17,926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17,939</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Trading Assets - Risk Management Instruments</w:t>
            </w:r>
          </w:p>
        </w:tc>
        <w:tc>
          <w:tcPr>
            <w:tcW w:w="19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25,985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25,985</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Securities Available-for-Sale</w:t>
            </w:r>
          </w:p>
        </w:tc>
        <w:tc>
          <w:tcPr>
            <w:tcW w:w="19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23,140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23,140</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Securities Held-to-Maturity</w:t>
            </w:r>
          </w:p>
        </w:tc>
        <w:tc>
          <w:tcPr>
            <w:tcW w:w="19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10,650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10,160</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Loans, Net of Unearned Income</w:t>
            </w:r>
          </w:p>
        </w:tc>
        <w:tc>
          <w:tcPr>
            <w:tcW w:w="19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142,231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140,394</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Allowance for Credit Losses</w:t>
            </w:r>
          </w:p>
        </w:tc>
        <w:tc>
          <w:tcPr>
            <w:tcW w:w="19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(3,894)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Derivatives in Lieu of Cash Market Instruments(d)</w:t>
            </w:r>
          </w:p>
        </w:tc>
        <w:tc>
          <w:tcPr>
            <w:tcW w:w="19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r>
      <w:tr>
        <w:trPr>
          <w:trHeight w:val="166"/>
        </w:trPr>
        <w:tc>
          <w:tcPr>
            <w:tcW w:w="54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9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2,025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2,324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Total Financial Assets</w:t>
            </w:r>
          </w:p>
        </w:tc>
        <w:tc>
          <w:tcPr>
            <w:tcW w:w="32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$ 274,853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$276,810</w:t>
            </w:r>
          </w:p>
        </w:tc>
      </w:tr>
    </w:tbl>
    <w:p>
      <w:pPr>
        <w:spacing w:after="0" w:line="4" w:lineRule="exact"/>
        <w:rPr>
          <w:sz w:val="20"/>
          <w:szCs w:val="20"/>
          <w:color w:val="auto"/>
        </w:rPr>
      </w:pPr>
    </w:p>
    <w:p>
      <w:pPr>
        <w:ind w:left="180" w:hanging="172"/>
        <w:spacing w:after="0"/>
        <w:tabs>
          <w:tab w:leader="none" w:pos="18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Liabilities: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20"/>
                <w:szCs w:val="20"/>
                <w:color w:val="auto"/>
              </w:rPr>
            </w:pPr>
            <w:r>
              <w:rPr>
                <w:rFonts w:ascii="Courier New" w:cs="Courier New" w:eastAsia="Courier New" w:hAnsi="Courier New"/>
                <w:sz w:val="14"/>
                <w:szCs w:val="14"/>
                <w:color w:val="auto"/>
              </w:rPr>
              <w:t>Liabilities for Which Fair Value Approximates Carrying Value</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197,406</w:t>
            </w:r>
          </w:p>
        </w:tc>
        <w:tc>
          <w:tcPr>
            <w:tcW w:w="3160" w:type="dxa"/>
            <w:vAlign w:val="bottom"/>
          </w:tcPr>
          <w:p>
            <w:pPr>
              <w:jc w:val="right"/>
              <w:ind w:right="1928"/>
              <w:spacing w:after="0"/>
              <w:rPr>
                <w:sz w:val="20"/>
                <w:szCs w:val="20"/>
                <w:color w:val="auto"/>
              </w:rPr>
            </w:pPr>
            <w:r>
              <w:rPr>
                <w:rFonts w:ascii="Courier New" w:cs="Courier New" w:eastAsia="Courier New" w:hAnsi="Courier New"/>
                <w:sz w:val="14"/>
                <w:szCs w:val="14"/>
                <w:color w:val="auto"/>
              </w:rPr>
              <w:t>$197,406</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Domestic Time Deposits</w:t>
            </w:r>
          </w:p>
        </w:tc>
        <w:tc>
          <w:tcPr>
            <w:tcW w:w="560" w:type="dxa"/>
            <w:vAlign w:val="bottom"/>
          </w:tcPr>
          <w:p>
            <w:pPr>
              <w:spacing w:after="0"/>
              <w:rPr>
                <w:sz w:val="14"/>
                <w:szCs w:val="14"/>
                <w:color w:val="auto"/>
              </w:rPr>
            </w:pP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26,450</w:t>
            </w:r>
          </w:p>
        </w:tc>
        <w:tc>
          <w:tcPr>
            <w:tcW w:w="3160" w:type="dxa"/>
            <w:vAlign w:val="bottom"/>
          </w:tcPr>
          <w:p>
            <w:pPr>
              <w:jc w:val="right"/>
              <w:ind w:right="1928"/>
              <w:spacing w:after="0"/>
              <w:rPr>
                <w:sz w:val="20"/>
                <w:szCs w:val="20"/>
                <w:color w:val="auto"/>
              </w:rPr>
            </w:pPr>
            <w:r>
              <w:rPr>
                <w:rFonts w:ascii="Courier New" w:cs="Courier New" w:eastAsia="Courier New" w:hAnsi="Courier New"/>
                <w:sz w:val="14"/>
                <w:szCs w:val="14"/>
                <w:color w:val="auto"/>
              </w:rPr>
              <w:t>27,657</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Trading Liabilities</w:t>
            </w:r>
          </w:p>
        </w:tc>
        <w:tc>
          <w:tcPr>
            <w:tcW w:w="560" w:type="dxa"/>
            <w:vAlign w:val="bottom"/>
          </w:tcPr>
          <w:p>
            <w:pPr>
              <w:spacing w:after="0"/>
              <w:rPr>
                <w:sz w:val="14"/>
                <w:szCs w:val="14"/>
                <w:color w:val="auto"/>
              </w:rPr>
            </w:pP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30,356</w:t>
            </w:r>
          </w:p>
        </w:tc>
        <w:tc>
          <w:tcPr>
            <w:tcW w:w="3160" w:type="dxa"/>
            <w:vAlign w:val="bottom"/>
          </w:tcPr>
          <w:p>
            <w:pPr>
              <w:jc w:val="right"/>
              <w:ind w:right="1928"/>
              <w:spacing w:after="0"/>
              <w:rPr>
                <w:sz w:val="20"/>
                <w:szCs w:val="20"/>
                <w:color w:val="auto"/>
              </w:rPr>
            </w:pPr>
            <w:r>
              <w:rPr>
                <w:rFonts w:ascii="Courier New" w:cs="Courier New" w:eastAsia="Courier New" w:hAnsi="Courier New"/>
                <w:sz w:val="14"/>
                <w:szCs w:val="14"/>
                <w:color w:val="auto"/>
              </w:rPr>
              <w:t>30,356</w:t>
            </w:r>
          </w:p>
        </w:tc>
      </w:tr>
      <w:tr>
        <w:trPr>
          <w:trHeight w:val="166"/>
        </w:trPr>
        <w:tc>
          <w:tcPr>
            <w:tcW w:w="56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560" w:type="dxa"/>
            <w:vAlign w:val="bottom"/>
          </w:tcPr>
          <w:p>
            <w:pPr>
              <w:spacing w:after="0"/>
              <w:rPr>
                <w:sz w:val="14"/>
                <w:szCs w:val="14"/>
                <w:color w:val="auto"/>
              </w:rPr>
            </w:pP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13,061</w:t>
            </w:r>
          </w:p>
        </w:tc>
        <w:tc>
          <w:tcPr>
            <w:tcW w:w="3160" w:type="dxa"/>
            <w:vAlign w:val="bottom"/>
          </w:tcPr>
          <w:p>
            <w:pPr>
              <w:jc w:val="right"/>
              <w:ind w:right="1928"/>
              <w:spacing w:after="0"/>
              <w:rPr>
                <w:sz w:val="20"/>
                <w:szCs w:val="20"/>
                <w:color w:val="auto"/>
              </w:rPr>
            </w:pPr>
            <w:r>
              <w:rPr>
                <w:rFonts w:ascii="Courier New" w:cs="Courier New" w:eastAsia="Courier New" w:hAnsi="Courier New"/>
                <w:sz w:val="14"/>
                <w:szCs w:val="14"/>
                <w:color w:val="auto"/>
              </w:rPr>
              <w:t>13,016</w:t>
            </w:r>
          </w:p>
        </w:tc>
      </w:tr>
      <w:tr>
        <w:trPr>
          <w:trHeight w:val="166"/>
        </w:trPr>
        <w:tc>
          <w:tcPr>
            <w:tcW w:w="1044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r>
      <w:tr>
        <w:trPr>
          <w:trHeight w:val="166"/>
        </w:trPr>
        <w:tc>
          <w:tcPr>
            <w:tcW w:w="5600" w:type="dxa"/>
            <w:vAlign w:val="bottom"/>
          </w:tcPr>
          <w:p>
            <w:pPr>
              <w:ind w:left="180"/>
              <w:spacing w:after="0"/>
              <w:rPr>
                <w:sz w:val="20"/>
                <w:szCs w:val="20"/>
                <w:color w:val="auto"/>
              </w:rPr>
            </w:pPr>
            <w:r>
              <w:rPr>
                <w:rFonts w:ascii="Courier New" w:cs="Courier New" w:eastAsia="Courier New" w:hAnsi="Courier New"/>
                <w:sz w:val="14"/>
                <w:szCs w:val="14"/>
                <w:color w:val="auto"/>
              </w:rPr>
              <w:t>Total Financial Liabilities</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267,273</w:t>
            </w:r>
          </w:p>
        </w:tc>
        <w:tc>
          <w:tcPr>
            <w:tcW w:w="3160" w:type="dxa"/>
            <w:vAlign w:val="bottom"/>
          </w:tcPr>
          <w:p>
            <w:pPr>
              <w:jc w:val="right"/>
              <w:ind w:right="1928"/>
              <w:spacing w:after="0"/>
              <w:rPr>
                <w:sz w:val="20"/>
                <w:szCs w:val="20"/>
                <w:color w:val="auto"/>
              </w:rPr>
            </w:pPr>
            <w:r>
              <w:rPr>
                <w:rFonts w:ascii="Courier New" w:cs="Courier New" w:eastAsia="Courier New" w:hAnsi="Courier New"/>
                <w:sz w:val="14"/>
                <w:szCs w:val="14"/>
                <w:color w:val="auto"/>
              </w:rPr>
              <w:t>$268,435</w:t>
            </w:r>
          </w:p>
        </w:tc>
      </w:tr>
      <w:tr>
        <w:trPr>
          <w:trHeight w:val="166"/>
        </w:trPr>
        <w:tc>
          <w:tcPr>
            <w:tcW w:w="10440" w:type="dxa"/>
            <w:vAlign w:val="bottom"/>
            <w:gridSpan w:val="4"/>
          </w:tcPr>
          <w:p>
            <w:pPr>
              <w:spacing w:after="0"/>
              <w:rPr>
                <w:sz w:val="20"/>
                <w:szCs w:val="20"/>
                <w:color w:val="auto"/>
              </w:rPr>
            </w:pPr>
            <w:r>
              <w:rPr>
                <w:rFonts w:ascii="Courier New" w:cs="Courier New" w:eastAsia="Courier New" w:hAnsi="Courier New"/>
                <w:sz w:val="14"/>
                <w:szCs w:val="14"/>
                <w:color w:val="auto"/>
              </w:rPr>
              <w:t>- --------------------------------------------------------------------------------------------------------</w:t>
            </w:r>
          </w:p>
        </w:tc>
      </w:tr>
      <w:tr>
        <w:trPr>
          <w:trHeight w:val="497"/>
        </w:trPr>
        <w:tc>
          <w:tcPr>
            <w:tcW w:w="5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Derivative Contracts Used for ALM Activities</w:t>
            </w:r>
          </w:p>
        </w:tc>
      </w:tr>
    </w:tbl>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840"/>
        <w:spacing w:after="0"/>
        <w:tabs>
          <w:tab w:leader="none" w:pos="9120" w:val="left"/>
          <w:tab w:leader="none" w:pos="9980" w:val="left"/>
        </w:tabs>
        <w:rPr>
          <w:sz w:val="20"/>
          <w:szCs w:val="20"/>
          <w:color w:val="auto"/>
        </w:rPr>
      </w:pPr>
      <w:r>
        <w:rPr>
          <w:rFonts w:ascii="Courier New" w:cs="Courier New" w:eastAsia="Courier New" w:hAnsi="Courier New"/>
          <w:sz w:val="14"/>
          <w:szCs w:val="14"/>
          <w:color w:val="auto"/>
        </w:rPr>
        <w:t>Gross</w:t>
      </w:r>
      <w:r>
        <w:rPr>
          <w:sz w:val="20"/>
          <w:szCs w:val="20"/>
          <w:color w:val="auto"/>
        </w:rPr>
        <w:tab/>
      </w:r>
      <w:r>
        <w:rPr>
          <w:rFonts w:ascii="Courier New" w:cs="Courier New" w:eastAsia="Courier New" w:hAnsi="Courier New"/>
          <w:sz w:val="14"/>
          <w:szCs w:val="14"/>
          <w:color w:val="auto"/>
        </w:rPr>
        <w:t>Gross</w:t>
      </w:r>
      <w:r>
        <w:rPr>
          <w:sz w:val="20"/>
          <w:szCs w:val="20"/>
          <w:color w:val="auto"/>
        </w:rPr>
        <w:tab/>
      </w:r>
      <w:r>
        <w:rPr>
          <w:rFonts w:ascii="Courier New" w:cs="Courier New" w:eastAsia="Courier New" w:hAnsi="Courier New"/>
          <w:sz w:val="14"/>
          <w:szCs w:val="14"/>
          <w:color w:val="auto"/>
        </w:rPr>
        <w:t>Estimated</w:t>
      </w:r>
    </w:p>
    <w:p>
      <w:pPr>
        <w:spacing w:after="0" w:line="7" w:lineRule="exact"/>
        <w:rPr>
          <w:sz w:val="20"/>
          <w:szCs w:val="20"/>
          <w:color w:val="auto"/>
        </w:rPr>
      </w:pPr>
    </w:p>
    <w:p>
      <w:pPr>
        <w:ind w:left="6120"/>
        <w:spacing w:after="0"/>
        <w:tabs>
          <w:tab w:leader="none" w:pos="7220" w:val="left"/>
          <w:tab w:leader="none" w:pos="8520" w:val="left"/>
          <w:tab w:leader="none" w:pos="10420" w:val="left"/>
        </w:tabs>
        <w:rPr>
          <w:sz w:val="20"/>
          <w:szCs w:val="20"/>
          <w:color w:val="auto"/>
        </w:rPr>
      </w:pPr>
      <w:r>
        <w:rPr>
          <w:rFonts w:ascii="Courier New" w:cs="Courier New" w:eastAsia="Courier New" w:hAnsi="Courier New"/>
          <w:sz w:val="14"/>
          <w:szCs w:val="14"/>
          <w:color w:val="auto"/>
        </w:rPr>
        <w:t>Carrying</w:t>
      </w:r>
      <w:r>
        <w:rPr>
          <w:sz w:val="20"/>
          <w:szCs w:val="20"/>
          <w:color w:val="auto"/>
        </w:rPr>
        <w:tab/>
      </w:r>
      <w:r>
        <w:rPr>
          <w:rFonts w:ascii="Courier New" w:cs="Courier New" w:eastAsia="Courier New" w:hAnsi="Courier New"/>
          <w:sz w:val="14"/>
          <w:szCs w:val="14"/>
          <w:color w:val="auto"/>
        </w:rPr>
        <w:t>Unrecognized</w:t>
      </w:r>
      <w:r>
        <w:rPr>
          <w:sz w:val="20"/>
          <w:szCs w:val="20"/>
          <w:color w:val="auto"/>
        </w:rPr>
        <w:tab/>
      </w:r>
      <w:r>
        <w:rPr>
          <w:rFonts w:ascii="Courier New" w:cs="Courier New" w:eastAsia="Courier New" w:hAnsi="Courier New"/>
          <w:sz w:val="14"/>
          <w:szCs w:val="14"/>
          <w:color w:val="auto"/>
        </w:rPr>
        <w:t>Unrecognized</w:t>
      </w:r>
      <w:r>
        <w:rPr>
          <w:sz w:val="20"/>
          <w:szCs w:val="20"/>
          <w:color w:val="auto"/>
        </w:rPr>
        <w:tab/>
      </w:r>
      <w:r>
        <w:rPr>
          <w:rFonts w:ascii="Courier New" w:cs="Courier New" w:eastAsia="Courier New" w:hAnsi="Courier New"/>
          <w:sz w:val="14"/>
          <w:szCs w:val="14"/>
          <w:color w:val="auto"/>
        </w:rPr>
        <w:t>Fair</w:t>
      </w:r>
    </w:p>
    <w:p>
      <w:pPr>
        <w:spacing w:after="0" w:line="7" w:lineRule="exact"/>
        <w:rPr>
          <w:sz w:val="20"/>
          <w:szCs w:val="20"/>
          <w:color w:val="auto"/>
        </w:rPr>
      </w:pPr>
    </w:p>
    <w:p>
      <w:pPr>
        <w:spacing w:after="0"/>
        <w:tabs>
          <w:tab w:leader="none" w:pos="6280" w:val="left"/>
          <w:tab w:leader="none" w:pos="7740" w:val="left"/>
          <w:tab w:leader="none" w:pos="8940" w:val="left"/>
          <w:tab w:leader="none" w:pos="10240" w:val="left"/>
        </w:tabs>
        <w:rPr>
          <w:sz w:val="20"/>
          <w:szCs w:val="20"/>
          <w:color w:val="auto"/>
        </w:rPr>
      </w:pPr>
      <w:r>
        <w:rPr>
          <w:rFonts w:ascii="Courier New" w:cs="Courier New" w:eastAsia="Courier New" w:hAnsi="Courier New"/>
          <w:sz w:val="14"/>
          <w:szCs w:val="14"/>
          <w:color w:val="auto"/>
        </w:rPr>
        <w:t>December 31, 1995 (in millions)</w:t>
      </w:r>
      <w:r>
        <w:rPr>
          <w:sz w:val="20"/>
          <w:szCs w:val="20"/>
          <w:color w:val="auto"/>
        </w:rPr>
        <w:tab/>
      </w:r>
      <w:r>
        <w:rPr>
          <w:rFonts w:ascii="Courier New" w:cs="Courier New" w:eastAsia="Courier New" w:hAnsi="Courier New"/>
          <w:sz w:val="14"/>
          <w:szCs w:val="14"/>
          <w:color w:val="auto"/>
        </w:rPr>
        <w:t>Value(c)</w:t>
      </w:r>
      <w:r>
        <w:rPr>
          <w:sz w:val="20"/>
          <w:szCs w:val="20"/>
          <w:color w:val="auto"/>
        </w:rPr>
        <w:tab/>
      </w:r>
      <w:r>
        <w:rPr>
          <w:rFonts w:ascii="Courier New" w:cs="Courier New" w:eastAsia="Courier New" w:hAnsi="Courier New"/>
          <w:sz w:val="14"/>
          <w:szCs w:val="14"/>
          <w:color w:val="auto"/>
        </w:rPr>
        <w:t>Gains</w:t>
      </w:r>
      <w:r>
        <w:rPr>
          <w:sz w:val="20"/>
          <w:szCs w:val="20"/>
          <w:color w:val="auto"/>
        </w:rPr>
        <w:tab/>
      </w:r>
      <w:r>
        <w:rPr>
          <w:rFonts w:ascii="Courier New" w:cs="Courier New" w:eastAsia="Courier New" w:hAnsi="Courier New"/>
          <w:sz w:val="14"/>
          <w:szCs w:val="14"/>
          <w:color w:val="auto"/>
        </w:rPr>
        <w:t>Losses</w:t>
      </w:r>
      <w:r>
        <w:rPr>
          <w:sz w:val="20"/>
          <w:szCs w:val="20"/>
          <w:color w:val="auto"/>
        </w:rPr>
        <w:tab/>
      </w:r>
      <w:r>
        <w:rPr>
          <w:rFonts w:ascii="Courier New" w:cs="Courier New" w:eastAsia="Courier New" w:hAnsi="Courier New"/>
          <w:sz w:val="14"/>
          <w:szCs w:val="14"/>
          <w:color w:val="auto"/>
        </w:rPr>
        <w:t>Value(e)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20"/>
                <w:szCs w:val="20"/>
                <w:color w:val="auto"/>
              </w:rPr>
            </w:pPr>
            <w:r>
              <w:rPr>
                <w:rFonts w:ascii="Courier New" w:cs="Courier New" w:eastAsia="Courier New" w:hAnsi="Courier New"/>
                <w:sz w:val="14"/>
                <w:szCs w:val="14"/>
                <w:color w:val="auto"/>
              </w:rPr>
              <w:t>Assets for Which Fair Value Approximates Carrying Value</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w:t>
            </w:r>
          </w:p>
        </w:tc>
        <w:tc>
          <w:tcPr>
            <w:tcW w:w="1200" w:type="dxa"/>
            <w:vAlign w:val="bottom"/>
          </w:tcPr>
          <w:p>
            <w:pPr>
              <w:ind w:left="460"/>
              <w:spacing w:after="0"/>
              <w:rPr>
                <w:sz w:val="20"/>
                <w:szCs w:val="20"/>
                <w:color w:val="auto"/>
              </w:rPr>
            </w:pPr>
            <w:r>
              <w:rPr>
                <w:rFonts w:ascii="Courier New" w:cs="Courier New" w:eastAsia="Courier New" w:hAnsi="Courier New"/>
                <w:sz w:val="14"/>
                <w:szCs w:val="14"/>
                <w:color w:val="auto"/>
              </w:rPr>
              <w:t>$  4</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(1)</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Trading Assets - Debt and Equity Instruments</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Trading Assets - Risk Management Instruments</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Securities Available-for-Sale</w:t>
            </w:r>
          </w:p>
        </w:tc>
        <w:tc>
          <w:tcPr>
            <w:tcW w:w="18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(78)</w:t>
            </w:r>
          </w:p>
        </w:tc>
        <w:tc>
          <w:tcPr>
            <w:tcW w:w="12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Securities Held-to-Maturity</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Loans, Net of Unearned Income</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103</w:t>
            </w:r>
          </w:p>
        </w:tc>
        <w:tc>
          <w:tcPr>
            <w:tcW w:w="1200" w:type="dxa"/>
            <w:vAlign w:val="bottom"/>
          </w:tcPr>
          <w:p>
            <w:pPr>
              <w:ind w:left="560"/>
              <w:spacing w:after="0"/>
              <w:rPr>
                <w:sz w:val="20"/>
                <w:szCs w:val="20"/>
                <w:color w:val="auto"/>
              </w:rPr>
            </w:pPr>
            <w:r>
              <w:rPr>
                <w:rFonts w:ascii="Courier New" w:cs="Courier New" w:eastAsia="Courier New" w:hAnsi="Courier New"/>
                <w:sz w:val="14"/>
                <w:szCs w:val="14"/>
                <w:color w:val="auto"/>
              </w:rPr>
              <w:t>159</w:t>
            </w:r>
          </w:p>
        </w:tc>
        <w:tc>
          <w:tcPr>
            <w:tcW w:w="5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(370)</w:t>
            </w:r>
          </w:p>
        </w:tc>
        <w:tc>
          <w:tcPr>
            <w:tcW w:w="42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w w:val="95"/>
              </w:rPr>
              <w:t>(108)</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Allowance for Credit Losses</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Derivatives in Lieu of Cash Market Instruments(d)</w:t>
            </w:r>
          </w:p>
        </w:tc>
        <w:tc>
          <w:tcPr>
            <w:tcW w:w="18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68</w:t>
            </w:r>
          </w:p>
        </w:tc>
        <w:tc>
          <w:tcPr>
            <w:tcW w:w="1200" w:type="dxa"/>
            <w:vAlign w:val="bottom"/>
          </w:tcPr>
          <w:p>
            <w:pPr>
              <w:ind w:left="560"/>
              <w:spacing w:after="0"/>
              <w:rPr>
                <w:sz w:val="20"/>
                <w:szCs w:val="20"/>
                <w:color w:val="auto"/>
              </w:rPr>
            </w:pPr>
            <w:r>
              <w:rPr>
                <w:rFonts w:ascii="Courier New" w:cs="Courier New" w:eastAsia="Courier New" w:hAnsi="Courier New"/>
                <w:sz w:val="14"/>
                <w:szCs w:val="14"/>
                <w:color w:val="auto"/>
              </w:rPr>
              <w:t>276</w:t>
            </w:r>
          </w:p>
        </w:tc>
        <w:tc>
          <w:tcPr>
            <w:tcW w:w="5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(227)</w:t>
            </w:r>
          </w:p>
        </w:tc>
        <w:tc>
          <w:tcPr>
            <w:tcW w:w="42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8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52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Total Financial Assets</w:t>
            </w:r>
          </w:p>
        </w:tc>
        <w:tc>
          <w:tcPr>
            <w:tcW w:w="31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92</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$439</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(598)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(67)</w:t>
            </w:r>
          </w:p>
        </w:tc>
      </w:tr>
    </w:tbl>
    <w:p>
      <w:pPr>
        <w:spacing w:after="0" w:line="4" w:lineRule="exact"/>
        <w:rPr>
          <w:sz w:val="20"/>
          <w:szCs w:val="20"/>
          <w:color w:val="auto"/>
        </w:rPr>
      </w:pPr>
    </w:p>
    <w:p>
      <w:pPr>
        <w:ind w:left="180" w:hanging="172"/>
        <w:spacing w:after="0"/>
        <w:tabs>
          <w:tab w:leader="none" w:pos="1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Liabilities: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Liabilities for Which Fair Value Approximates Carrying Value</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6</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$ 93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(50)</w:t>
            </w:r>
          </w:p>
        </w:tc>
        <w:tc>
          <w:tcPr>
            <w:tcW w:w="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Domestic Time Deposits</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235</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w:t>
            </w:r>
          </w:p>
        </w:tc>
        <w:tc>
          <w:tcPr>
            <w:tcW w:w="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443</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Trading Liabilities</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29</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w:t>
            </w:r>
          </w:p>
        </w:tc>
        <w:tc>
          <w:tcPr>
            <w:tcW w:w="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tabs>
          <w:tab w:leader="none" w:pos="6360" w:val="left"/>
          <w:tab w:leader="none" w:pos="7820" w:val="left"/>
          <w:tab w:leader="none" w:pos="8940" w:val="left"/>
          <w:tab w:leader="none" w:pos="9200" w:val="left"/>
          <w:tab w:leader="none" w:pos="10160" w:val="left"/>
          <w:tab w:leader="none" w:pos="10500" w:val="left"/>
        </w:tabs>
        <w:rPr>
          <w:sz w:val="20"/>
          <w:szCs w:val="20"/>
          <w:color w:val="auto"/>
        </w:rPr>
      </w:pPr>
      <w:r>
        <w:rPr>
          <w:rFonts w:ascii="Courier New" w:cs="Courier New" w:eastAsia="Courier New" w:hAnsi="Courier New"/>
          <w:sz w:val="14"/>
          <w:szCs w:val="14"/>
          <w:color w:val="auto"/>
        </w:rPr>
        <w:t>Total Financial Liabilities</w:t>
      </w:r>
      <w:r>
        <w:rPr>
          <w:sz w:val="20"/>
          <w:szCs w:val="20"/>
          <w:color w:val="auto"/>
        </w:rPr>
        <w:tab/>
      </w:r>
      <w:r>
        <w:rPr>
          <w:rFonts w:ascii="Courier New" w:cs="Courier New" w:eastAsia="Courier New" w:hAnsi="Courier New"/>
          <w:sz w:val="14"/>
          <w:szCs w:val="14"/>
          <w:color w:val="auto"/>
        </w:rPr>
        <w:t>$ 270</w:t>
      </w:r>
      <w:r>
        <w:rPr>
          <w:sz w:val="20"/>
          <w:szCs w:val="20"/>
          <w:color w:val="auto"/>
        </w:rPr>
        <w:tab/>
      </w:r>
      <w:r>
        <w:rPr>
          <w:rFonts w:ascii="Courier New" w:cs="Courier New" w:eastAsia="Courier New" w:hAnsi="Courier New"/>
          <w:sz w:val="14"/>
          <w:szCs w:val="14"/>
          <w:color w:val="auto"/>
        </w:rPr>
        <w:t>$718</w:t>
      </w:r>
      <w:r>
        <w:rPr>
          <w:sz w:val="20"/>
          <w:szCs w:val="20"/>
          <w:color w:val="auto"/>
        </w:rPr>
        <w:tab/>
      </w:r>
      <w:r>
        <w:rPr>
          <w:rFonts w:ascii="Courier New" w:cs="Courier New" w:eastAsia="Courier New" w:hAnsi="Courier New"/>
          <w:sz w:val="14"/>
          <w:szCs w:val="14"/>
          <w:color w:val="auto"/>
        </w:rPr>
        <w:t>$</w:t>
        <w:tab/>
        <w:t>(345)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643</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1994 (in millions)</w:t>
      </w:r>
    </w:p>
    <w:p>
      <w:pPr>
        <w:spacing w:after="0" w:line="7" w:lineRule="exact"/>
        <w:rPr>
          <w:sz w:val="20"/>
          <w:szCs w:val="20"/>
          <w:color w:val="auto"/>
        </w:rPr>
      </w:pPr>
    </w:p>
    <w:p>
      <w:pPr>
        <w:ind w:left="180" w:hanging="172"/>
        <w:spacing w:after="0"/>
        <w:tabs>
          <w:tab w:leader="none" w:pos="180"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Assets:</w:t>
      </w:r>
    </w:p>
    <w:p>
      <w:pPr>
        <w:spacing w:after="0" w:line="7" w:lineRule="exact"/>
        <w:rPr>
          <w:sz w:val="20"/>
          <w:szCs w:val="20"/>
          <w:color w:val="auto"/>
        </w:rPr>
      </w:pPr>
    </w:p>
    <w:p>
      <w:pPr>
        <w:spacing w:after="0"/>
        <w:tabs>
          <w:tab w:leader="none" w:pos="6360" w:val="left"/>
          <w:tab w:leader="none" w:pos="6700" w:val="left"/>
          <w:tab w:leader="none" w:pos="7820" w:val="left"/>
          <w:tab w:leader="none" w:pos="8940" w:val="left"/>
          <w:tab w:leader="none" w:pos="9380" w:val="left"/>
          <w:tab w:leader="none" w:pos="10160" w:val="left"/>
          <w:tab w:leader="none" w:pos="10660" w:val="left"/>
        </w:tabs>
        <w:rPr>
          <w:sz w:val="20"/>
          <w:szCs w:val="20"/>
          <w:color w:val="auto"/>
        </w:rPr>
      </w:pPr>
      <w:r>
        <w:rPr>
          <w:rFonts w:ascii="Courier New" w:cs="Courier New" w:eastAsia="Courier New" w:hAnsi="Courier New"/>
          <w:sz w:val="14"/>
          <w:szCs w:val="14"/>
          <w:color w:val="auto"/>
        </w:rPr>
        <w:t>Assets for Which Fair Value Approximates Carrying Value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w:t>
      </w:r>
    </w:p>
    <w:p>
      <w:pPr>
        <w:spacing w:after="0" w:line="7" w:lineRule="exact"/>
        <w:rPr>
          <w:sz w:val="20"/>
          <w:szCs w:val="20"/>
          <w:color w:val="auto"/>
        </w:rPr>
      </w:pPr>
    </w:p>
    <w:p>
      <w:pPr>
        <w:spacing w:after="0"/>
        <w:tabs>
          <w:tab w:leader="none" w:pos="6440" w:val="left"/>
          <w:tab w:leader="none" w:pos="7920" w:val="left"/>
          <w:tab w:leader="none" w:pos="9200" w:val="left"/>
          <w:tab w:leader="none" w:pos="10420" w:val="left"/>
        </w:tabs>
        <w:rPr>
          <w:sz w:val="20"/>
          <w:szCs w:val="20"/>
          <w:color w:val="auto"/>
        </w:rPr>
      </w:pPr>
      <w:r>
        <w:rPr>
          <w:rFonts w:ascii="Courier New" w:cs="Courier New" w:eastAsia="Courier New" w:hAnsi="Courier New"/>
          <w:sz w:val="14"/>
          <w:szCs w:val="14"/>
          <w:color w:val="auto"/>
        </w:rPr>
        <w:t>Trading Assets - Debt and Equity Instruments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ectPr>
          <w:pgSz w:w="11900" w:h="16877" w:orient="portrait"/>
          <w:cols w:equalWidth="0" w:num="1">
            <w:col w:w="11200"/>
          </w:cols>
          <w:pgMar w:left="220" w:top="285" w:right="479" w:bottom="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Trading Assets - Risk Management Instruments</w:t>
            </w:r>
          </w:p>
        </w:tc>
        <w:tc>
          <w:tcPr>
            <w:tcW w:w="20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Securities Available-for-Sale</w:t>
            </w:r>
          </w:p>
        </w:tc>
        <w:tc>
          <w:tcPr>
            <w:tcW w:w="2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572</w:t>
            </w:r>
          </w:p>
        </w:tc>
        <w:tc>
          <w:tcPr>
            <w:tcW w:w="13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572</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Securities Held-to-Maturity</w:t>
            </w:r>
          </w:p>
        </w:tc>
        <w:tc>
          <w:tcPr>
            <w:tcW w:w="20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Loans, Net of Unearned Income</w:t>
            </w:r>
          </w:p>
        </w:tc>
        <w:tc>
          <w:tcPr>
            <w:tcW w:w="2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128</w:t>
            </w:r>
          </w:p>
        </w:tc>
        <w:tc>
          <w:tcPr>
            <w:tcW w:w="1320" w:type="dxa"/>
            <w:vAlign w:val="bottom"/>
          </w:tcPr>
          <w:p>
            <w:pPr>
              <w:ind w:left="560"/>
              <w:spacing w:after="0"/>
              <w:rPr>
                <w:sz w:val="20"/>
                <w:szCs w:val="20"/>
                <w:color w:val="auto"/>
              </w:rPr>
            </w:pPr>
            <w:r>
              <w:rPr>
                <w:rFonts w:ascii="Courier New" w:cs="Courier New" w:eastAsia="Courier New" w:hAnsi="Courier New"/>
                <w:sz w:val="14"/>
                <w:szCs w:val="14"/>
                <w:color w:val="auto"/>
              </w:rPr>
              <w:t>166</w:t>
            </w:r>
          </w:p>
        </w:tc>
        <w:tc>
          <w:tcPr>
            <w:tcW w:w="1340" w:type="dxa"/>
            <w:vAlign w:val="bottom"/>
          </w:tcPr>
          <w:p>
            <w:pPr>
              <w:ind w:left="520"/>
              <w:spacing w:after="0"/>
              <w:rPr>
                <w:sz w:val="20"/>
                <w:szCs w:val="20"/>
                <w:color w:val="auto"/>
              </w:rPr>
            </w:pPr>
            <w:r>
              <w:rPr>
                <w:rFonts w:ascii="Courier New" w:cs="Courier New" w:eastAsia="Courier New" w:hAnsi="Courier New"/>
                <w:sz w:val="14"/>
                <w:szCs w:val="14"/>
                <w:color w:val="auto"/>
              </w:rPr>
              <w:t>(185)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Allowance for Credit Losses</w:t>
            </w:r>
          </w:p>
        </w:tc>
        <w:tc>
          <w:tcPr>
            <w:tcW w:w="20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Derivatives in Lieu of Cash Market Instruments(d)</w:t>
            </w:r>
          </w:p>
        </w:tc>
        <w:tc>
          <w:tcPr>
            <w:tcW w:w="2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97</w:t>
            </w:r>
          </w:p>
        </w:tc>
        <w:tc>
          <w:tcPr>
            <w:tcW w:w="1320" w:type="dxa"/>
            <w:vAlign w:val="bottom"/>
          </w:tcPr>
          <w:p>
            <w:pPr>
              <w:ind w:left="560"/>
              <w:spacing w:after="0"/>
              <w:rPr>
                <w:sz w:val="20"/>
                <w:szCs w:val="20"/>
                <w:color w:val="auto"/>
              </w:rPr>
            </w:pPr>
            <w:r>
              <w:rPr>
                <w:rFonts w:ascii="Courier New" w:cs="Courier New" w:eastAsia="Courier New" w:hAnsi="Courier New"/>
                <w:sz w:val="14"/>
                <w:szCs w:val="14"/>
                <w:color w:val="auto"/>
              </w:rPr>
              <w:t>194</w:t>
            </w:r>
          </w:p>
        </w:tc>
        <w:tc>
          <w:tcPr>
            <w:tcW w:w="1340" w:type="dxa"/>
            <w:vAlign w:val="bottom"/>
          </w:tcPr>
          <w:p>
            <w:pPr>
              <w:ind w:left="520"/>
              <w:spacing w:after="0"/>
              <w:rPr>
                <w:sz w:val="20"/>
                <w:szCs w:val="20"/>
                <w:color w:val="auto"/>
              </w:rPr>
            </w:pPr>
            <w:r>
              <w:rPr>
                <w:rFonts w:ascii="Courier New" w:cs="Courier New" w:eastAsia="Courier New" w:hAnsi="Courier New"/>
                <w:sz w:val="14"/>
                <w:szCs w:val="14"/>
                <w:color w:val="auto"/>
              </w:rPr>
              <w:t>(116)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175</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20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Total Financial Assets</w:t>
            </w:r>
          </w:p>
        </w:tc>
        <w:tc>
          <w:tcPr>
            <w:tcW w:w="31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$ 805</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$360</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(302)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863</w:t>
            </w:r>
          </w:p>
        </w:tc>
      </w:tr>
    </w:tbl>
    <w:p>
      <w:pPr>
        <w:spacing w:after="0" w:line="4" w:lineRule="exact"/>
        <w:rPr>
          <w:sz w:val="20"/>
          <w:szCs w:val="20"/>
          <w:color w:val="auto"/>
        </w:rPr>
      </w:pPr>
    </w:p>
    <w:p>
      <w:pPr>
        <w:ind w:left="180" w:hanging="172"/>
        <w:spacing w:after="0"/>
        <w:tabs>
          <w:tab w:leader="none" w:pos="180"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Liabilities: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Liabilities for Which Fair Value Approximates Carrying Value</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12</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$ 13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(24)</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Domestic Time Deposits</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241</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104</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(889)</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Trading Liabilities</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57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43</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tabs>
          <w:tab w:leader="none" w:pos="6360" w:val="left"/>
          <w:tab w:leader="none" w:pos="7820" w:val="left"/>
          <w:tab w:leader="none" w:pos="8940" w:val="left"/>
          <w:tab w:leader="none" w:pos="10160" w:val="left"/>
        </w:tabs>
        <w:rPr>
          <w:sz w:val="20"/>
          <w:szCs w:val="20"/>
          <w:color w:val="auto"/>
        </w:rPr>
      </w:pPr>
      <w:r>
        <w:rPr>
          <w:rFonts w:ascii="Courier New" w:cs="Courier New" w:eastAsia="Courier New" w:hAnsi="Courier New"/>
          <w:sz w:val="14"/>
          <w:szCs w:val="14"/>
          <w:color w:val="auto"/>
        </w:rPr>
        <w:t>Total Financial Liabilities</w:t>
      </w:r>
      <w:r>
        <w:rPr>
          <w:sz w:val="20"/>
          <w:szCs w:val="20"/>
          <w:color w:val="auto"/>
        </w:rPr>
        <w:tab/>
      </w:r>
      <w:r>
        <w:rPr>
          <w:rFonts w:ascii="Courier New" w:cs="Courier New" w:eastAsia="Courier New" w:hAnsi="Courier New"/>
          <w:sz w:val="14"/>
          <w:szCs w:val="14"/>
          <w:color w:val="auto"/>
        </w:rPr>
        <w:t>$ 296</w:t>
      </w:r>
      <w:r>
        <w:rPr>
          <w:sz w:val="20"/>
          <w:szCs w:val="20"/>
          <w:color w:val="auto"/>
        </w:rPr>
        <w:tab/>
      </w:r>
      <w:r>
        <w:rPr>
          <w:rFonts w:ascii="Courier New" w:cs="Courier New" w:eastAsia="Courier New" w:hAnsi="Courier New"/>
          <w:sz w:val="14"/>
          <w:szCs w:val="14"/>
          <w:color w:val="auto"/>
        </w:rPr>
        <w:t>$122</w:t>
      </w:r>
      <w:r>
        <w:rPr>
          <w:sz w:val="20"/>
          <w:szCs w:val="20"/>
          <w:color w:val="auto"/>
        </w:rPr>
        <w:tab/>
      </w:r>
      <w:r>
        <w:rPr>
          <w:rFonts w:ascii="Courier New" w:cs="Courier New" w:eastAsia="Courier New" w:hAnsi="Courier New"/>
          <w:sz w:val="14"/>
          <w:szCs w:val="14"/>
          <w:color w:val="auto"/>
        </w:rPr>
        <w:t>$(1,594)</w:t>
      </w:r>
      <w:r>
        <w:rPr>
          <w:sz w:val="20"/>
          <w:szCs w:val="20"/>
          <w:color w:val="auto"/>
        </w:rPr>
        <w:tab/>
      </w:r>
      <w:r>
        <w:rPr>
          <w:rFonts w:ascii="Courier New" w:cs="Courier New" w:eastAsia="Courier New" w:hAnsi="Courier New"/>
          <w:sz w:val="14"/>
          <w:szCs w:val="14"/>
          <w:color w:val="auto"/>
        </w:rPr>
        <w:t>$(1,176)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480" w:firstLine="8"/>
        <w:spacing w:after="0" w:line="255" w:lineRule="auto"/>
        <w:tabs>
          <w:tab w:leader="none" w:pos="344"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carrying value and estimated fair value include the carrying value and estimated fair value of derivative contracts used for ALM activities.</w:t>
      </w:r>
    </w:p>
    <w:p>
      <w:pPr>
        <w:spacing w:after="0" w:line="159" w:lineRule="exact"/>
        <w:rPr>
          <w:rFonts w:ascii="Courier New" w:cs="Courier New" w:eastAsia="Courier New" w:hAnsi="Courier New"/>
          <w:sz w:val="14"/>
          <w:szCs w:val="14"/>
          <w:color w:val="auto"/>
        </w:rPr>
      </w:pPr>
    </w:p>
    <w:p>
      <w:pPr>
        <w:ind w:right="4300" w:firstLine="8"/>
        <w:spacing w:after="0" w:line="251" w:lineRule="auto"/>
        <w:tabs>
          <w:tab w:leader="none" w:pos="344"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carrying value and estimated fair value of daily margin settlements on open futures contracts are primarily included in Other Assets on the balance sheet, except when used in connection with available-for-sale securities, which are carried at fair value and are included in Securities: Available-for-Sale on the balance sheet. The Corporation uses these contracts in its ALM activities to modify the interest rate characteristics of balance sheet instruments such as securities available-for-sale, loans and deposits. Gross unrecognized gains and losses from daily margin settlements on open futures contracts were $4 million and $103 million, respectively, at December 31, 1995.</w:t>
      </w:r>
    </w:p>
    <w:p>
      <w:pPr>
        <w:spacing w:after="0" w:line="163" w:lineRule="exact"/>
        <w:rPr>
          <w:rFonts w:ascii="Courier New" w:cs="Courier New" w:eastAsia="Courier New" w:hAnsi="Courier New"/>
          <w:sz w:val="14"/>
          <w:szCs w:val="14"/>
          <w:color w:val="auto"/>
        </w:rPr>
      </w:pPr>
    </w:p>
    <w:p>
      <w:pPr>
        <w:ind w:right="4480" w:firstLine="8"/>
        <w:spacing w:after="0" w:line="251" w:lineRule="auto"/>
        <w:tabs>
          <w:tab w:leader="none" w:pos="344"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carrying value of derivatives used for asset/liability management is recorded as receivables and payables and is primarily included in Other Assets on the balance sheet, except derivatives used in connection with available-for-sale securities which are carried at fair value and are included in Securities: Available-for-Sale on the balance sheet.</w:t>
      </w:r>
    </w:p>
    <w:p>
      <w:pPr>
        <w:spacing w:after="0" w:line="164" w:lineRule="exact"/>
        <w:rPr>
          <w:rFonts w:ascii="Courier New" w:cs="Courier New" w:eastAsia="Courier New" w:hAnsi="Courier New"/>
          <w:sz w:val="14"/>
          <w:szCs w:val="14"/>
          <w:color w:val="auto"/>
        </w:rPr>
      </w:pPr>
    </w:p>
    <w:p>
      <w:pPr>
        <w:ind w:right="4820" w:firstLine="8"/>
        <w:spacing w:after="0" w:line="255" w:lineRule="auto"/>
        <w:tabs>
          <w:tab w:leader="none" w:pos="344"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derivative contracts that, as part of the Corporation's ALM activities, are used in place of cash market instruments.</w:t>
      </w:r>
    </w:p>
    <w:p>
      <w:pPr>
        <w:spacing w:after="0" w:line="159" w:lineRule="exact"/>
        <w:rPr>
          <w:rFonts w:ascii="Courier New" w:cs="Courier New" w:eastAsia="Courier New" w:hAnsi="Courier New"/>
          <w:sz w:val="14"/>
          <w:szCs w:val="14"/>
          <w:color w:val="auto"/>
        </w:rPr>
      </w:pPr>
    </w:p>
    <w:p>
      <w:pPr>
        <w:ind w:right="4300" w:firstLine="8"/>
        <w:spacing w:after="0" w:line="252" w:lineRule="auto"/>
        <w:tabs>
          <w:tab w:leader="none" w:pos="344"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 Contracts Used for ALM Activities were valued using market prices or pricing models consistent with methods used by the Corporation in valuing similar instruments used for trading purposes.</w:t>
      </w:r>
    </w:p>
    <w:p>
      <w:pPr>
        <w:spacing w:after="0" w:line="163" w:lineRule="exact"/>
        <w:rPr>
          <w:sz w:val="20"/>
          <w:szCs w:val="20"/>
          <w:color w:val="auto"/>
        </w:rPr>
      </w:pPr>
    </w:p>
    <w:p>
      <w:pPr>
        <w:ind w:right="4380" w:firstLine="258"/>
        <w:spacing w:after="0" w:line="251" w:lineRule="auto"/>
        <w:rPr>
          <w:sz w:val="20"/>
          <w:szCs w:val="20"/>
          <w:color w:val="auto"/>
        </w:rPr>
      </w:pPr>
      <w:r>
        <w:rPr>
          <w:rFonts w:ascii="Courier New" w:cs="Courier New" w:eastAsia="Courier New" w:hAnsi="Courier New"/>
          <w:sz w:val="14"/>
          <w:szCs w:val="14"/>
          <w:color w:val="auto"/>
        </w:rPr>
        <w:t>In addition to the derivative contracts in the above tables, the Corporation also uses derivative contracts (interest rate swaps, futures and purchased option contracts) to manage the risk associated with its mortgage servicing rights that are not required to be fair valued under SFAS 107. At December 31, 1995, the carrying value was $7.7 million, and gross unrecognized gains and losses were $71.9 million and $3.4 million, respectively, resulting in an estimated fair value of $76.2 million.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1200"/>
          </w:cols>
          <w:pgMar w:left="220" w:top="141" w:right="479"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4"/>
          <w:szCs w:val="14"/>
          <w:color w:val="auto"/>
        </w:rPr>
        <w:t>60</w:t>
      </w:r>
    </w:p>
    <w:p>
      <w:pPr>
        <w:spacing w:after="0" w:line="7" w:lineRule="exact"/>
        <w:rPr>
          <w:sz w:val="20"/>
          <w:szCs w:val="20"/>
          <w:color w:val="auto"/>
        </w:rPr>
      </w:pPr>
    </w:p>
    <w:p>
      <w:pPr>
        <w:ind w:left="180" w:hanging="172"/>
        <w:spacing w:after="0"/>
        <w:tabs>
          <w:tab w:leader="none" w:pos="180"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22   INTERNATIONAL OPERATIONS</w:t>
      </w:r>
    </w:p>
    <w:p>
      <w:pPr>
        <w:spacing w:after="0" w:line="173" w:lineRule="exact"/>
        <w:rPr>
          <w:sz w:val="20"/>
          <w:szCs w:val="20"/>
          <w:color w:val="auto"/>
        </w:rPr>
      </w:pPr>
    </w:p>
    <w:p>
      <w:pPr>
        <w:ind w:right="3960"/>
        <w:spacing w:after="0" w:line="251" w:lineRule="auto"/>
        <w:rPr>
          <w:sz w:val="20"/>
          <w:szCs w:val="20"/>
          <w:color w:val="auto"/>
        </w:rPr>
      </w:pPr>
      <w:r>
        <w:rPr>
          <w:rFonts w:ascii="Courier New" w:cs="Courier New" w:eastAsia="Courier New" w:hAnsi="Courier New"/>
          <w:sz w:val="14"/>
          <w:szCs w:val="14"/>
          <w:color w:val="auto"/>
        </w:rPr>
        <w:t>The accompanying table presents average assets and income statement information for 1995, 1994 and 1993 relating to international and domestic operations of the Corporation by major geographic areas, based on the domicile of the customer. The Corporation defines international activities as business transactions that involve customers residing outside of the United States. However, a definitive separation of the Corporation's domestic and foreign businesses cannot be performed because many of the Corporation's domestic operations service international business.</w:t>
      </w:r>
    </w:p>
    <w:p>
      <w:pPr>
        <w:spacing w:after="0" w:line="330" w:lineRule="exact"/>
        <w:rPr>
          <w:sz w:val="20"/>
          <w:szCs w:val="20"/>
          <w:color w:val="auto"/>
        </w:rPr>
      </w:pPr>
    </w:p>
    <w:p>
      <w:pPr>
        <w:ind w:right="4040" w:firstLine="258"/>
        <w:spacing w:after="0" w:line="251" w:lineRule="auto"/>
        <w:rPr>
          <w:sz w:val="20"/>
          <w:szCs w:val="20"/>
          <w:color w:val="auto"/>
        </w:rPr>
      </w:pPr>
      <w:r>
        <w:rPr>
          <w:rFonts w:ascii="Courier New" w:cs="Courier New" w:eastAsia="Courier New" w:hAnsi="Courier New"/>
          <w:sz w:val="14"/>
          <w:szCs w:val="14"/>
          <w:color w:val="auto"/>
        </w:rPr>
        <w:t>As these operations are highly integrated, estimates and subjective assumptions have been made to apportion revenue and expenses between domestic and international operations. Estimates of the following are allocated on a management accounting basis: stockholders' equity, interest costs charged to users of funds, and overhead, administrative and other expenses incurred by one area on behalf of another. The provision for losses is allocated based on charge-off experience and risk characteristics of the portfolio.</w:t>
      </w:r>
    </w:p>
    <w:p>
      <w:pPr>
        <w:spacing w:after="0" w:line="164" w:lineRule="exact"/>
        <w:rPr>
          <w:sz w:val="20"/>
          <w:szCs w:val="20"/>
          <w:color w:val="auto"/>
        </w:rPr>
      </w:pPr>
    </w:p>
    <w:p>
      <w:pPr>
        <w:ind w:right="4040" w:firstLine="258"/>
        <w:spacing w:after="0" w:line="252" w:lineRule="auto"/>
        <w:rPr>
          <w:sz w:val="20"/>
          <w:szCs w:val="20"/>
          <w:color w:val="auto"/>
        </w:rPr>
      </w:pPr>
      <w:r>
        <w:rPr>
          <w:rFonts w:ascii="Courier New" w:cs="Courier New" w:eastAsia="Courier New" w:hAnsi="Courier New"/>
          <w:sz w:val="14"/>
          <w:szCs w:val="14"/>
          <w:color w:val="auto"/>
        </w:rPr>
        <w:t>The Corporation considers the balance in the allowance for credit losses to be available for both domestic and foreign exposures; however, a portion of the allowance is allocated to international operations based on a methodology consistent with the allocation of the provision for losses.</w:t>
      </w:r>
    </w:p>
    <w:p>
      <w:pPr>
        <w:spacing w:after="0" w:line="200" w:lineRule="exact"/>
        <w:rPr>
          <w:sz w:val="20"/>
          <w:szCs w:val="20"/>
          <w:color w:val="auto"/>
        </w:rPr>
      </w:pPr>
    </w:p>
    <w:p>
      <w:pPr>
        <w:spacing w:after="0" w:line="293" w:lineRule="exact"/>
        <w:rPr>
          <w:sz w:val="20"/>
          <w:szCs w:val="20"/>
          <w:color w:val="auto"/>
        </w:rPr>
      </w:pPr>
    </w:p>
    <w:p>
      <w:pPr>
        <w:ind w:left="4400"/>
        <w:spacing w:after="0"/>
        <w:tabs>
          <w:tab w:leader="none" w:pos="8520" w:val="left"/>
          <w:tab w:leader="none" w:pos="10420" w:val="left"/>
        </w:tabs>
        <w:rPr>
          <w:sz w:val="20"/>
          <w:szCs w:val="20"/>
          <w:color w:val="auto"/>
        </w:rPr>
      </w:pP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Income Before</w:t>
      </w:r>
      <w:r>
        <w:rPr>
          <w:sz w:val="20"/>
          <w:szCs w:val="20"/>
          <w:color w:val="auto"/>
        </w:rPr>
        <w:tab/>
      </w:r>
      <w:r>
        <w:rPr>
          <w:rFonts w:ascii="Courier New" w:cs="Courier New" w:eastAsia="Courier New" w:hAnsi="Courier New"/>
          <w:sz w:val="13"/>
          <w:szCs w:val="13"/>
          <w:color w:val="auto"/>
        </w:rPr>
        <w:t>Net</w:t>
      </w:r>
    </w:p>
    <w:p>
      <w:pPr>
        <w:spacing w:after="0" w:line="7" w:lineRule="exact"/>
        <w:rPr>
          <w:sz w:val="20"/>
          <w:szCs w:val="20"/>
          <w:color w:val="auto"/>
        </w:rPr>
      </w:pPr>
    </w:p>
    <w:p>
      <w:pPr>
        <w:spacing w:after="0"/>
        <w:tabs>
          <w:tab w:leader="none" w:pos="4460" w:val="left"/>
          <w:tab w:leader="none" w:pos="5840" w:val="left"/>
          <w:tab w:leader="none" w:pos="7300" w:val="left"/>
          <w:tab w:leader="none" w:pos="8600" w:val="left"/>
          <w:tab w:leader="none" w:pos="10160" w:val="left"/>
        </w:tabs>
        <w:rPr>
          <w:sz w:val="20"/>
          <w:szCs w:val="20"/>
          <w:color w:val="auto"/>
        </w:rPr>
      </w:pPr>
      <w:r>
        <w:rPr>
          <w:rFonts w:ascii="Courier New" w:cs="Courier New" w:eastAsia="Courier New" w:hAnsi="Courier New"/>
          <w:sz w:val="14"/>
          <w:szCs w:val="14"/>
          <w:color w:val="auto"/>
        </w:rPr>
        <w:t>For the Year Ended December 31, (in millions)</w:t>
      </w:r>
      <w:r>
        <w:rPr>
          <w:sz w:val="20"/>
          <w:szCs w:val="20"/>
          <w:color w:val="auto"/>
        </w:rPr>
        <w:tab/>
      </w:r>
      <w:r>
        <w:rPr>
          <w:rFonts w:ascii="Courier New" w:cs="Courier New" w:eastAsia="Courier New" w:hAnsi="Courier New"/>
          <w:sz w:val="14"/>
          <w:szCs w:val="14"/>
          <w:color w:val="auto"/>
        </w:rPr>
        <w:t>Assets</w:t>
      </w:r>
      <w:r>
        <w:rPr>
          <w:sz w:val="20"/>
          <w:szCs w:val="20"/>
          <w:color w:val="auto"/>
        </w:rPr>
        <w:tab/>
      </w:r>
      <w:r>
        <w:rPr>
          <w:rFonts w:ascii="Courier New" w:cs="Courier New" w:eastAsia="Courier New" w:hAnsi="Courier New"/>
          <w:sz w:val="14"/>
          <w:szCs w:val="14"/>
          <w:color w:val="auto"/>
        </w:rPr>
        <w:t>Revenue(a)</w:t>
      </w:r>
      <w:r>
        <w:rPr>
          <w:sz w:val="20"/>
          <w:szCs w:val="20"/>
          <w:color w:val="auto"/>
        </w:rPr>
        <w:tab/>
      </w:r>
      <w:r>
        <w:rPr>
          <w:rFonts w:ascii="Courier New" w:cs="Courier New" w:eastAsia="Courier New" w:hAnsi="Courier New"/>
          <w:sz w:val="14"/>
          <w:szCs w:val="14"/>
          <w:color w:val="auto"/>
        </w:rPr>
        <w:t>Expense(b)</w:t>
      </w:r>
      <w:r>
        <w:rPr>
          <w:sz w:val="20"/>
          <w:szCs w:val="20"/>
          <w:color w:val="auto"/>
        </w:rPr>
        <w:tab/>
      </w:r>
      <w:r>
        <w:rPr>
          <w:rFonts w:ascii="Courier New" w:cs="Courier New" w:eastAsia="Courier New" w:hAnsi="Courier New"/>
          <w:sz w:val="14"/>
          <w:szCs w:val="14"/>
          <w:color w:val="auto"/>
        </w:rPr>
        <w:t>Income Taxes</w:t>
      </w:r>
      <w:r>
        <w:rPr>
          <w:sz w:val="20"/>
          <w:szCs w:val="20"/>
          <w:color w:val="auto"/>
        </w:rPr>
        <w:tab/>
      </w:r>
      <w:r>
        <w:rPr>
          <w:rFonts w:ascii="Courier New" w:cs="Courier New" w:eastAsia="Courier New" w:hAnsi="Courier New"/>
          <w:sz w:val="13"/>
          <w:szCs w:val="13"/>
          <w:color w:val="auto"/>
        </w:rPr>
        <w:t>Income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1995</w:t>
            </w:r>
          </w:p>
        </w:tc>
        <w:tc>
          <w:tcPr>
            <w:tcW w:w="1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Europe</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$ 45,376</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$ 1,471</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928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543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342</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Asia and Pacific</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30,348</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1,124</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730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394</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251</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Latin America and the Caribbean</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19,833</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800</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433</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232</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Middle East and Africa</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1,635</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Other(c)</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1,731</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International</w:t>
            </w:r>
          </w:p>
        </w:tc>
        <w:tc>
          <w:tcPr>
            <w:tcW w:w="2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98,923</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3,482</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2,137</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1,345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851</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Domestic</w:t>
            </w:r>
          </w:p>
        </w:tc>
        <w:tc>
          <w:tcPr>
            <w:tcW w:w="2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208,462</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11,478</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8,011</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3,467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2,108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Total Corporation</w:t>
            </w:r>
          </w:p>
        </w:tc>
        <w:tc>
          <w:tcPr>
            <w:tcW w:w="25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$307,385</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$14,960</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$10,148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$4,812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$2,959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1994</w:t>
            </w:r>
          </w:p>
        </w:tc>
        <w:tc>
          <w:tcPr>
            <w:tcW w:w="1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Europe</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$ 44,969</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$ 1,385</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922</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463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293</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Asia and Pacific</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22,717</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872</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689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Latin America and the Caribbean</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19,549</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1,469</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553</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Middle East and Africa</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1,509</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Other(c)</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1,141</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International</w:t>
            </w:r>
          </w:p>
        </w:tc>
        <w:tc>
          <w:tcPr>
            <w:tcW w:w="2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89,885</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3,826</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2,286</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1,540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1,005</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Domestic</w:t>
            </w:r>
          </w:p>
        </w:tc>
        <w:tc>
          <w:tcPr>
            <w:tcW w:w="2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197,188</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11,187</w:t>
            </w:r>
          </w:p>
        </w:tc>
        <w:tc>
          <w:tcPr>
            <w:tcW w:w="16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8,766</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2,421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1,481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20"/>
                <w:szCs w:val="20"/>
                <w:color w:val="auto"/>
              </w:rPr>
            </w:pPr>
            <w:r>
              <w:rPr>
                <w:rFonts w:ascii="Courier New" w:cs="Courier New" w:eastAsia="Courier New" w:hAnsi="Courier New"/>
                <w:sz w:val="14"/>
                <w:szCs w:val="14"/>
                <w:color w:val="auto"/>
              </w:rPr>
              <w:t>Total Corporation</w:t>
            </w:r>
          </w:p>
        </w:tc>
        <w:tc>
          <w:tcPr>
            <w:tcW w:w="25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$287,073</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$15,013</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$11,052</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$3,961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$2,486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1993</w:t>
            </w:r>
          </w:p>
        </w:tc>
        <w:tc>
          <w:tcPr>
            <w:tcW w:w="1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Europe</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$ 27,985</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$ 1,504</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$ 1,109</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395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  243</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Asia and Pacific</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15,499</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1,025</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620</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405</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Latin America and the Caribbean</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20,402</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1,405</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447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857</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Middle East and Africa</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1,339</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166"/>
        </w:trPr>
        <w:tc>
          <w:tcPr>
            <w:tcW w:w="3500" w:type="dxa"/>
            <w:vAlign w:val="bottom"/>
          </w:tcPr>
          <w:p>
            <w:pPr>
              <w:spacing w:after="0"/>
              <w:rPr>
                <w:sz w:val="20"/>
                <w:szCs w:val="20"/>
                <w:color w:val="auto"/>
              </w:rPr>
            </w:pPr>
            <w:r>
              <w:rPr>
                <w:rFonts w:ascii="Courier New" w:cs="Courier New" w:eastAsia="Courier New" w:hAnsi="Courier New"/>
                <w:sz w:val="14"/>
                <w:szCs w:val="14"/>
                <w:color w:val="auto"/>
              </w:rPr>
              <w:t>Other(c)</w:t>
            </w:r>
          </w:p>
        </w:tc>
        <w:tc>
          <w:tcPr>
            <w:tcW w:w="19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1,163</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gridSpan w:val="3"/>
          </w:tcPr>
          <w:p>
            <w:pPr>
              <w:spacing w:after="0"/>
              <w:rPr>
                <w:sz w:val="20"/>
                <w:szCs w:val="20"/>
                <w:color w:val="auto"/>
              </w:rPr>
            </w:pPr>
            <w:r>
              <w:rPr>
                <w:rFonts w:ascii="Courier New" w:cs="Courier New" w:eastAsia="Courier New" w:hAnsi="Courier New"/>
                <w:sz w:val="14"/>
                <w:szCs w:val="14"/>
                <w:color w:val="auto"/>
              </w:rPr>
              <w:t>Total International</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66,388</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4,028</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2,221</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1,807</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1,370</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Domestic</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181,170</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11,444</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10,427</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1,017</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1,024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7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c>
          <w:tcPr>
            <w:tcW w:w="2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$247,558</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$15,472</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$12,648</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$2,824</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72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360" w:hanging="352"/>
        <w:spacing w:after="0"/>
        <w:tabs>
          <w:tab w:leader="none" w:pos="3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Revenue is comprised of Net Interest Income and Noninterest Revenue.</w:t>
      </w:r>
    </w:p>
    <w:p>
      <w:pPr>
        <w:spacing w:after="0" w:line="17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 is comprised of Noninterest Expense and Provisions.</w:t>
      </w:r>
    </w:p>
    <w:p>
      <w:pPr>
        <w:spacing w:after="0" w:line="172" w:lineRule="exact"/>
        <w:rPr>
          <w:rFonts w:ascii="Courier New" w:cs="Courier New" w:eastAsia="Courier New" w:hAnsi="Courier New"/>
          <w:sz w:val="14"/>
          <w:szCs w:val="14"/>
          <w:color w:val="auto"/>
        </w:rPr>
      </w:pPr>
    </w:p>
    <w:p>
      <w:pPr>
        <w:ind w:left="360" w:right="4220" w:hanging="352"/>
        <w:spacing w:after="0" w:line="255" w:lineRule="auto"/>
        <w:tabs>
          <w:tab w:leader="none" w:pos="360"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geographic region included in Other International amounts to more than 10% of the total for the Corporation.</w:t>
      </w:r>
    </w:p>
    <w:p>
      <w:pPr>
        <w:spacing w:after="0" w:line="160" w:lineRule="exact"/>
        <w:rPr>
          <w:sz w:val="20"/>
          <w:szCs w:val="20"/>
          <w:color w:val="auto"/>
        </w:rPr>
      </w:pPr>
    </w:p>
    <w:p>
      <w:pPr>
        <w:ind w:left="180" w:hanging="172"/>
        <w:spacing w:after="0"/>
        <w:tabs>
          <w:tab w:leader="none" w:pos="180"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23   COMMITMENTS AND CONTINGENCIES</w:t>
      </w:r>
    </w:p>
    <w:p>
      <w:pPr>
        <w:spacing w:after="0" w:line="173" w:lineRule="exact"/>
        <w:rPr>
          <w:sz w:val="20"/>
          <w:szCs w:val="20"/>
          <w:color w:val="auto"/>
        </w:rPr>
      </w:pPr>
    </w:p>
    <w:p>
      <w:pPr>
        <w:ind w:right="4040"/>
        <w:spacing w:after="0" w:line="251" w:lineRule="auto"/>
        <w:rPr>
          <w:sz w:val="20"/>
          <w:szCs w:val="20"/>
          <w:color w:val="auto"/>
        </w:rPr>
      </w:pPr>
      <w:r>
        <w:rPr>
          <w:rFonts w:ascii="Courier New" w:cs="Courier New" w:eastAsia="Courier New" w:hAnsi="Courier New"/>
          <w:sz w:val="14"/>
          <w:szCs w:val="14"/>
          <w:color w:val="auto"/>
        </w:rPr>
        <w:t>At December 31, 1995, the Corporation and its subsidiaries were obligated under a number of noncancelable operating leases for premises and equipment used primarily for banking purposes. Certain leases contain rent escalation clauses for real estate taxes and other operating expenses and renewal option clauses calling for increased rents. No lease agreement imposes any restrictions on the Corporation affecting its ability to pay dividends, engage in debt or equity financing transactions, or enter into further lease agreements. Future minimum rental payments required under operating leases with initial or remaining noncancelable lease terms in excess of one year as of December 31, 1995 were as follows:</w:t>
      </w:r>
    </w:p>
    <w:p>
      <w:pPr>
        <w:sectPr>
          <w:pgSz w:w="11900" w:h="16838" w:orient="portrait"/>
          <w:cols w:equalWidth="0" w:num="1">
            <w:col w:w="10860"/>
          </w:cols>
          <w:pgMar w:left="220" w:top="285" w:right="819" w:bottom="425" w:gutter="0" w:footer="0" w:header="0"/>
        </w:sectPr>
      </w:pPr>
    </w:p>
    <w:p>
      <w:pPr>
        <w:spacing w:after="0" w:line="163" w:lineRule="exact"/>
        <w:rPr>
          <w:sz w:val="20"/>
          <w:szCs w:val="20"/>
          <w:color w:val="auto"/>
        </w:rPr>
      </w:pPr>
    </w:p>
    <w:p>
      <w:pPr>
        <w:ind w:left="672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860"/>
          </w:cols>
          <w:pgMar w:left="220" w:top="285" w:right="819" w:bottom="425" w:gutter="0" w:footer="0" w:header="0"/>
          <w:type w:val="continuous"/>
        </w:sectPr>
      </w:pPr>
    </w:p>
    <w:bookmarkStart w:id="104" w:name="page105"/>
    <w:bookmarkEnd w:id="104"/>
    <w:p>
      <w:pPr>
        <w:spacing w:after="0" w:line="4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61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Ended December 31, (in millions)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rPr>
              <w:t>$  384</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rPr>
              <w:t>262</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rPr>
              <w:t>233</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After</w:t>
            </w:r>
          </w:p>
        </w:tc>
        <w:tc>
          <w:tcPr>
            <w:tcW w:w="3480" w:type="dxa"/>
            <w:vAlign w:val="bottom"/>
          </w:tcPr>
          <w:p>
            <w:pPr>
              <w:jc w:val="right"/>
              <w:spacing w:after="0"/>
              <w:rPr>
                <w:sz w:val="20"/>
                <w:szCs w:val="20"/>
                <w:color w:val="auto"/>
              </w:rPr>
            </w:pPr>
            <w:r>
              <w:rPr>
                <w:rFonts w:ascii="Courier New" w:cs="Courier New" w:eastAsia="Courier New" w:hAnsi="Courier New"/>
                <w:sz w:val="14"/>
                <w:szCs w:val="14"/>
                <w:color w:val="auto"/>
              </w:rPr>
              <w:t>1,337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Total Minimum Payments</w:t>
            </w:r>
          </w:p>
        </w:tc>
        <w:tc>
          <w:tcPr>
            <w:tcW w:w="3500" w:type="dxa"/>
            <w:vAlign w:val="bottom"/>
          </w:tcPr>
          <w:p>
            <w:pPr>
              <w:ind w:left="40"/>
              <w:spacing w:after="0"/>
              <w:rPr>
                <w:sz w:val="20"/>
                <w:szCs w:val="20"/>
                <w:color w:val="auto"/>
              </w:rPr>
            </w:pPr>
            <w:r>
              <w:rPr>
                <w:rFonts w:ascii="Courier New" w:cs="Courier New" w:eastAsia="Courier New" w:hAnsi="Courier New"/>
                <w:sz w:val="14"/>
                <w:szCs w:val="14"/>
                <w:color w:val="auto"/>
              </w:rPr>
              <w:t>Required</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$2,852</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Less: Sublease Rentals</w:t>
            </w:r>
          </w:p>
        </w:tc>
        <w:tc>
          <w:tcPr>
            <w:tcW w:w="3500" w:type="dxa"/>
            <w:vAlign w:val="bottom"/>
          </w:tcPr>
          <w:p>
            <w:pPr>
              <w:ind w:left="40"/>
              <w:spacing w:after="0"/>
              <w:rPr>
                <w:sz w:val="20"/>
                <w:szCs w:val="20"/>
                <w:color w:val="auto"/>
              </w:rPr>
            </w:pPr>
            <w:r>
              <w:rPr>
                <w:rFonts w:ascii="Courier New" w:cs="Courier New" w:eastAsia="Courier New" w:hAnsi="Courier New"/>
                <w:sz w:val="14"/>
                <w:szCs w:val="14"/>
                <w:color w:val="auto"/>
              </w:rPr>
              <w:t>Under Noncancelable Subleases</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gridSpan w:val="3"/>
          </w:tcPr>
          <w:p>
            <w:pPr>
              <w:spacing w:after="0"/>
              <w:rPr>
                <w:sz w:val="20"/>
                <w:szCs w:val="20"/>
                <w:color w:val="auto"/>
              </w:rPr>
            </w:pPr>
            <w:r>
              <w:rPr>
                <w:rFonts w:ascii="Courier New" w:cs="Courier New" w:eastAsia="Courier New" w:hAnsi="Courier New"/>
                <w:sz w:val="14"/>
                <w:szCs w:val="14"/>
                <w:color w:val="auto"/>
              </w:rPr>
              <w:t>Net Minimum Payment Required</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$2,567</w:t>
            </w:r>
          </w:p>
        </w:tc>
      </w:tr>
    </w:tbl>
    <w:p>
      <w:pPr>
        <w:spacing w:after="0" w:line="4" w:lineRule="exact"/>
        <w:rPr>
          <w:sz w:val="20"/>
          <w:szCs w:val="20"/>
          <w:color w:val="auto"/>
        </w:rPr>
      </w:pPr>
    </w:p>
    <w:p>
      <w:pPr>
        <w:ind w:left="180" w:hanging="172"/>
        <w:spacing w:after="0"/>
        <w:tabs>
          <w:tab w:leader="none" w:pos="180"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ind w:left="2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rental expense in 1995, 1994 and 1993 was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Gross Rentals</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558</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$ 612</w:t>
            </w:r>
          </w:p>
        </w:tc>
      </w:tr>
      <w:tr>
        <w:trPr>
          <w:trHeight w:val="166"/>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Sublease Rentals</w:t>
            </w:r>
          </w:p>
        </w:tc>
        <w:tc>
          <w:tcPr>
            <w:tcW w:w="146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(173)</w:t>
            </w:r>
          </w:p>
        </w:tc>
        <w:tc>
          <w:tcPr>
            <w:tcW w:w="38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(153)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76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385</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$ 491</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1"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At December 31, 1995 and 1994, assets amounting to $57 billion and $48 billion, respectively, were pledged to secure public deposits and for other purposes. The significant components of the $57 billion of assets pledged at December 31, 1995 were as follows: $21 billion were loans, $16 billion were securities, and the remaining $20 billion were primarily trading account assets. These amounts compare with $19 billion of loans, $12 billion of securities, and $17 billion of trading account assets pledged at December 31, 1994.</w:t>
      </w:r>
    </w:p>
    <w:p>
      <w:pPr>
        <w:spacing w:after="0" w:line="164" w:lineRule="exact"/>
        <w:rPr>
          <w:sz w:val="20"/>
          <w:szCs w:val="20"/>
          <w:color w:val="auto"/>
        </w:rPr>
      </w:pPr>
    </w:p>
    <w:p>
      <w:pPr>
        <w:ind w:right="3419" w:firstLine="258"/>
        <w:spacing w:after="0" w:line="251" w:lineRule="auto"/>
        <w:rPr>
          <w:sz w:val="20"/>
          <w:szCs w:val="20"/>
          <w:color w:val="auto"/>
        </w:rPr>
      </w:pPr>
      <w:r>
        <w:rPr>
          <w:rFonts w:ascii="Courier New" w:cs="Courier New" w:eastAsia="Courier New" w:hAnsi="Courier New"/>
          <w:sz w:val="14"/>
          <w:szCs w:val="14"/>
          <w:color w:val="auto"/>
        </w:rPr>
        <w:t>The Corporation and its subsidiaries are defendants in a number of legal proceedings. After reviewing with counsel all such actions and proceedings pending against or involving the Corporation and its subsidiaries, management does not expect the aggregate liability or loss, if any, resulting therefrom to have a material adverse effect on the consolidated financial condition of the Corporation.</w:t>
      </w:r>
    </w:p>
    <w:p>
      <w:pPr>
        <w:spacing w:after="0" w:line="164" w:lineRule="exact"/>
        <w:rPr>
          <w:sz w:val="20"/>
          <w:szCs w:val="20"/>
          <w:color w:val="auto"/>
        </w:rPr>
      </w:pPr>
    </w:p>
    <w:p>
      <w:pPr>
        <w:ind w:right="3779" w:firstLine="258"/>
        <w:spacing w:after="0" w:line="252" w:lineRule="auto"/>
        <w:rPr>
          <w:sz w:val="20"/>
          <w:szCs w:val="20"/>
          <w:color w:val="auto"/>
        </w:rPr>
      </w:pPr>
      <w:r>
        <w:rPr>
          <w:rFonts w:ascii="Courier New" w:cs="Courier New" w:eastAsia="Courier New" w:hAnsi="Courier New"/>
          <w:sz w:val="14"/>
          <w:szCs w:val="14"/>
          <w:color w:val="auto"/>
        </w:rPr>
        <w:t>The Corporation may guarantee the obligations of its subsidiaries. These guarantees rank on a parity with all other unsecured and unsubordinated indebtedness of the Corporation. See Note Ten for a discussion of the Corporation's guarantees of long-term debt issues for its subsidiaries.</w:t>
      </w:r>
    </w:p>
    <w:p>
      <w:pPr>
        <w:spacing w:after="0" w:line="162" w:lineRule="exact"/>
        <w:rPr>
          <w:sz w:val="20"/>
          <w:szCs w:val="20"/>
          <w:color w:val="auto"/>
        </w:rPr>
      </w:pPr>
    </w:p>
    <w:p>
      <w:pPr>
        <w:ind w:left="180" w:hanging="172"/>
        <w:spacing w:after="0"/>
        <w:tabs>
          <w:tab w:leader="none" w:pos="180"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24   SHAREHOLDERS' RIGHTS PLAN</w:t>
      </w:r>
    </w:p>
    <w:p>
      <w:pPr>
        <w:spacing w:after="0" w:line="173" w:lineRule="exact"/>
        <w:rPr>
          <w:sz w:val="20"/>
          <w:szCs w:val="20"/>
          <w:color w:val="auto"/>
        </w:rPr>
      </w:pPr>
    </w:p>
    <w:p>
      <w:pPr>
        <w:ind w:right="3419"/>
        <w:spacing w:after="0" w:line="251" w:lineRule="auto"/>
        <w:rPr>
          <w:sz w:val="20"/>
          <w:szCs w:val="20"/>
          <w:color w:val="auto"/>
        </w:rPr>
      </w:pPr>
      <w:r>
        <w:rPr>
          <w:rFonts w:ascii="Courier New" w:cs="Courier New" w:eastAsia="Courier New" w:hAnsi="Courier New"/>
          <w:sz w:val="14"/>
          <w:szCs w:val="14"/>
          <w:color w:val="auto"/>
        </w:rPr>
        <w:t>At December 31, 1995, the Corporation had in place a Shareholders' Rights Plan. The Shareholders' Rights Plan contained provisions intended to protect stockholders in the event of unsolicited offers or attempts to acquire the Corporation, including offers that do not treat all stockholders equally, acquisitions in the open market of shares constituting control without offering fair value to all stockholders, and other coercive or unfair takeover tactics that could impair the Board of Directors' ability to represent stockholders' interests fully. The Shareholders' Rights Plan provides that attached to each share of common stock is one right (a "Right") to purchase a unit consisting of one one-hundredth of a share of Junior Participating Preferred Stock for an exercise price of $150 per unit, subject to adjustment.</w:t>
      </w:r>
    </w:p>
    <w:p>
      <w:pPr>
        <w:spacing w:after="0" w:line="163" w:lineRule="exact"/>
        <w:rPr>
          <w:sz w:val="20"/>
          <w:szCs w:val="20"/>
          <w:color w:val="auto"/>
        </w:rPr>
      </w:pPr>
    </w:p>
    <w:p>
      <w:pPr>
        <w:ind w:right="3599" w:firstLine="258"/>
        <w:spacing w:after="0" w:line="252" w:lineRule="auto"/>
        <w:rPr>
          <w:sz w:val="20"/>
          <w:szCs w:val="20"/>
          <w:color w:val="auto"/>
        </w:rPr>
      </w:pPr>
      <w:r>
        <w:rPr>
          <w:rFonts w:ascii="Courier New" w:cs="Courier New" w:eastAsia="Courier New" w:hAnsi="Courier New"/>
          <w:sz w:val="14"/>
          <w:szCs w:val="14"/>
          <w:color w:val="auto"/>
        </w:rPr>
        <w:t>At December 31, 1995, Chase also had in place a rights agreement with provisions similar to that of the Corporation. As a result of the merger, the Chase rights agreement has been extinguished.</w:t>
      </w:r>
    </w:p>
    <w:p>
      <w:pPr>
        <w:spacing w:after="0" w:line="163" w:lineRule="exact"/>
        <w:rPr>
          <w:sz w:val="20"/>
          <w:szCs w:val="20"/>
          <w:color w:val="auto"/>
        </w:rPr>
      </w:pPr>
    </w:p>
    <w:p>
      <w:pPr>
        <w:ind w:right="3339" w:firstLine="258"/>
        <w:spacing w:after="0" w:line="251" w:lineRule="auto"/>
        <w:rPr>
          <w:sz w:val="20"/>
          <w:szCs w:val="20"/>
          <w:color w:val="auto"/>
        </w:rPr>
      </w:pPr>
      <w:r>
        <w:rPr>
          <w:rFonts w:ascii="Courier New" w:cs="Courier New" w:eastAsia="Courier New" w:hAnsi="Courier New"/>
          <w:sz w:val="14"/>
          <w:szCs w:val="14"/>
          <w:color w:val="auto"/>
        </w:rPr>
        <w:t>On January 18, 1996, the Corporation announced that it would redeem all outstanding rights issued under its Shareholders' Rights Plan. The redemption was effective on the first regular common stock dividend record date occurring after the consummation of the merger on March 31, 1996. Accordingly, the rights were redeemed from all stockholders of record on the common stock dividend record date of April 4, 1996. Since the record date occurred after the effective date of the merger, all stockholders of the Corporation on the record date, whether they were former Chase or former Chemical stockholders, were entitled to receive the redemption price.</w:t>
      </w:r>
    </w:p>
    <w:p>
      <w:pPr>
        <w:spacing w:after="0" w:line="164" w:lineRule="exact"/>
        <w:rPr>
          <w:sz w:val="20"/>
          <w:szCs w:val="20"/>
          <w:color w:val="auto"/>
        </w:rPr>
      </w:pPr>
    </w:p>
    <w:p>
      <w:pPr>
        <w:ind w:right="3519" w:firstLine="258"/>
        <w:spacing w:after="0" w:line="252" w:lineRule="auto"/>
        <w:rPr>
          <w:sz w:val="20"/>
          <w:szCs w:val="20"/>
          <w:color w:val="auto"/>
        </w:rPr>
      </w:pPr>
      <w:r>
        <w:rPr>
          <w:rFonts w:ascii="Courier New" w:cs="Courier New" w:eastAsia="Courier New" w:hAnsi="Courier New"/>
          <w:sz w:val="14"/>
          <w:szCs w:val="14"/>
          <w:color w:val="auto"/>
        </w:rPr>
        <w:t>Under the Shareholder Rights Plan, the redemption price is $0.01 per right. Payment of the redemption price will be made at the same time as the 1996 first-quarter common stock dividend.</w:t>
      </w:r>
    </w:p>
    <w:p>
      <w:pPr>
        <w:spacing w:after="0" w:line="163" w:lineRule="exact"/>
        <w:rPr>
          <w:sz w:val="20"/>
          <w:szCs w:val="20"/>
          <w:color w:val="auto"/>
        </w:rPr>
      </w:pPr>
    </w:p>
    <w:p>
      <w:pPr>
        <w:ind w:left="180" w:hanging="172"/>
        <w:spacing w:after="0"/>
        <w:tabs>
          <w:tab w:leader="none" w:pos="18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25   PARENT COMPANY</w:t>
      </w:r>
    </w:p>
    <w:p>
      <w:pPr>
        <w:spacing w:after="0" w:line="173"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Condensed financial information of The Chase Manhattan Corporation, the Parent Company, is presented below.</w:t>
      </w:r>
    </w:p>
    <w:p>
      <w:pPr>
        <w:spacing w:after="0" w:line="160" w:lineRule="exact"/>
        <w:rPr>
          <w:sz w:val="20"/>
          <w:szCs w:val="20"/>
          <w:color w:val="auto"/>
        </w:rPr>
      </w:pPr>
    </w:p>
    <w:p>
      <w:pPr>
        <w:ind w:right="3599" w:firstLine="258"/>
        <w:spacing w:after="0" w:line="252" w:lineRule="auto"/>
        <w:rPr>
          <w:sz w:val="20"/>
          <w:szCs w:val="20"/>
          <w:color w:val="auto"/>
        </w:rPr>
      </w:pPr>
      <w:r>
        <w:rPr>
          <w:rFonts w:ascii="Courier New" w:cs="Courier New" w:eastAsia="Courier New" w:hAnsi="Courier New"/>
          <w:sz w:val="14"/>
          <w:szCs w:val="14"/>
          <w:color w:val="auto"/>
        </w:rPr>
        <w:t>For purposes of preparing the Statement of Cash Flows, cash and cash equivalents are those amounts included in the balance sheet caption Cash with Banks.</w:t>
      </w:r>
    </w:p>
    <w:p>
      <w:pPr>
        <w:sectPr>
          <w:pgSz w:w="11900" w:h="16886" w:orient="portrait"/>
          <w:cols w:equalWidth="0" w:num="1">
            <w:col w:w="10239"/>
          </w:cols>
          <w:pgMar w:left="220" w:top="285" w:right="1440" w:bottom="0" w:gutter="0" w:footer="0" w:header="0"/>
        </w:sectPr>
      </w:pPr>
    </w:p>
    <w:bookmarkStart w:id="105" w:name="page106"/>
    <w:bookmarkEnd w:id="105"/>
    <w:p>
      <w:pPr>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307" w:right="1440" w:bottom="1440" w:gutter="0" w:footer="0" w:header="0"/>
        </w:sectPr>
      </w:pPr>
    </w:p>
    <w:bookmarkStart w:id="106" w:name="page107"/>
    <w:bookmarkEnd w:id="106"/>
    <w:p>
      <w:pPr>
        <w:spacing w:after="0" w:line="4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62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PARENT COMPANY - BALANCE SHEET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December 31, (in millions)</w:t>
            </w:r>
          </w:p>
        </w:tc>
        <w:tc>
          <w:tcPr>
            <w:tcW w:w="2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Cash with Banks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336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Deposits with Banking Subsidiaries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6,220</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4,796</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Securities Purchased Under Resale Agreements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515</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925</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Available-for-Sale Securities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188</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295</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Short-Term Advances to Banking Subsidiaries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Short-Term Advances to Nonbanking Subsidiaries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2,085</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1,896</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Long-Term Advances to Banking Subsidiaries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4,467</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4,797</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Long-Term Advances to Nonbanking Subsidiaries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580</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Investment (at Equity) in Banking Subsidiaries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20,976</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19,377</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Investment (at Equity) in Nonbanking Subsidiaries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2,325</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1,910</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652</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$38,347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$35,316</w:t>
            </w:r>
          </w:p>
        </w:tc>
      </w:tr>
    </w:tbl>
    <w:p>
      <w:pPr>
        <w:spacing w:after="0" w:line="4" w:lineRule="exact"/>
        <w:rPr>
          <w:sz w:val="20"/>
          <w:szCs w:val="20"/>
          <w:color w:val="auto"/>
        </w:rPr>
      </w:pPr>
    </w:p>
    <w:p>
      <w:pPr>
        <w:ind w:left="180" w:hanging="172"/>
        <w:spacing w:after="0"/>
        <w:tabs>
          <w:tab w:leader="none" w:pos="18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Stockholders' Equity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Borrowed Funds, primarily Commercial Paper</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$ 6,329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$ 5,747</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Liabilities</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666</w:t>
            </w:r>
          </w:p>
        </w:tc>
      </w:tr>
      <w:tr>
        <w:trPr>
          <w:trHeight w:val="166"/>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Debt(a)</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10,674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10,030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Liabilities</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17,511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16,443</w:t>
            </w:r>
          </w:p>
        </w:tc>
      </w:tr>
      <w:tr>
        <w:trPr>
          <w:trHeight w:val="166"/>
        </w:trPr>
        <w:tc>
          <w:tcPr>
            <w:tcW w:w="4400" w:type="dxa"/>
            <w:vAlign w:val="bottom"/>
            <w:gridSpan w:val="3"/>
          </w:tcPr>
          <w:p>
            <w:pPr>
              <w:spacing w:after="0"/>
              <w:rPr>
                <w:sz w:val="20"/>
                <w:szCs w:val="20"/>
                <w:color w:val="auto"/>
              </w:rPr>
            </w:pPr>
            <w:r>
              <w:rPr>
                <w:rFonts w:ascii="Courier New" w:cs="Courier New" w:eastAsia="Courier New" w:hAnsi="Courier New"/>
                <w:sz w:val="14"/>
                <w:szCs w:val="14"/>
                <w:color w:val="auto"/>
              </w:rPr>
              <w:t>Stockholders' Equity</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20,836</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18,873</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3920" w:type="dxa"/>
            <w:vAlign w:val="bottom"/>
          </w:tcPr>
          <w:p>
            <w:pPr>
              <w:ind w:left="40"/>
              <w:spacing w:after="0"/>
              <w:rPr>
                <w:sz w:val="20"/>
                <w:szCs w:val="20"/>
                <w:color w:val="auto"/>
              </w:rPr>
            </w:pPr>
            <w:r>
              <w:rPr>
                <w:rFonts w:ascii="Courier New" w:cs="Courier New" w:eastAsia="Courier New" w:hAnsi="Courier New"/>
                <w:sz w:val="14"/>
                <w:szCs w:val="14"/>
                <w:color w:val="auto"/>
              </w:rPr>
              <w:t>Liabilities and Stockholders' Equity</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$38,347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$35,316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360" w:hanging="352"/>
        <w:spacing w:after="0"/>
        <w:tabs>
          <w:tab w:leader="none" w:pos="36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1995, aggregate annual maturities for all issues for the</w:t>
      </w:r>
    </w:p>
    <w:p>
      <w:pPr>
        <w:spacing w:after="0" w:line="7" w:lineRule="exact"/>
        <w:rPr>
          <w:rFonts w:ascii="Courier New" w:cs="Courier New" w:eastAsia="Courier New" w:hAnsi="Courier New"/>
          <w:sz w:val="14"/>
          <w:szCs w:val="14"/>
          <w:color w:val="auto"/>
        </w:rPr>
      </w:pPr>
    </w:p>
    <w:p>
      <w:pPr>
        <w:ind w:right="33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years 1996 through 2000 were $1,198 million, $1,271 million, $794 million $1,545 million and $1,130 million,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PARENT COMPANY - STATEMENT OF INCOME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1995</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Dividends from Banking Subsidiaries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$1,601</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$1,606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895</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Dividends from Nonbanking Subsidiaries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Interest from Banking Subsidiaries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497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480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Interest from Nonbanking Subsidiaries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155</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Interest on Available-for-Sale Securities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All Other Income</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162</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Total Income</w:t>
            </w:r>
          </w:p>
        </w:tc>
        <w:tc>
          <w:tcPr>
            <w:tcW w:w="2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2,447</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1,660</w:t>
            </w:r>
          </w:p>
        </w:tc>
      </w:tr>
    </w:tbl>
    <w:p>
      <w:pPr>
        <w:spacing w:after="0" w:line="4" w:lineRule="exact"/>
        <w:rPr>
          <w:sz w:val="20"/>
          <w:szCs w:val="20"/>
          <w:color w:val="auto"/>
        </w:rPr>
      </w:pPr>
    </w:p>
    <w:p>
      <w:pPr>
        <w:ind w:left="180" w:hanging="172"/>
        <w:spacing w:after="0"/>
        <w:tabs>
          <w:tab w:leader="none" w:pos="18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919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Expense Interest on:</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Borrowed Funds, primarily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ind w:left="360"/>
              <w:spacing w:after="0"/>
              <w:rPr>
                <w:sz w:val="20"/>
                <w:szCs w:val="20"/>
                <w:color w:val="auto"/>
              </w:rPr>
            </w:pPr>
            <w:r>
              <w:rPr>
                <w:rFonts w:ascii="Courier New" w:cs="Courier New" w:eastAsia="Courier New" w:hAnsi="Courier New"/>
                <w:sz w:val="14"/>
                <w:szCs w:val="14"/>
                <w:color w:val="auto"/>
              </w:rPr>
              <w:t>Commercial Paper</w:t>
            </w: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328</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123</w:t>
            </w:r>
          </w:p>
        </w:tc>
      </w:tr>
      <w:tr>
        <w:trPr>
          <w:trHeight w:val="166"/>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Long-Term Debt</w:t>
            </w: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744</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632</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All Other Expense</w:t>
            </w:r>
          </w:p>
        </w:tc>
        <w:tc>
          <w:tcPr>
            <w:tcW w:w="21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Total Expense</w:t>
            </w:r>
          </w:p>
        </w:tc>
        <w:tc>
          <w:tcPr>
            <w:tcW w:w="2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1,133</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876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900</w:t>
            </w:r>
          </w:p>
        </w:tc>
      </w:tr>
    </w:tbl>
    <w:p>
      <w:pPr>
        <w:spacing w:after="0" w:line="4" w:lineRule="exact"/>
        <w:rPr>
          <w:sz w:val="20"/>
          <w:szCs w:val="20"/>
          <w:color w:val="auto"/>
        </w:rPr>
      </w:pPr>
    </w:p>
    <w:p>
      <w:pPr>
        <w:ind w:left="180" w:hanging="172"/>
        <w:spacing w:after="0"/>
        <w:tabs>
          <w:tab w:leader="none" w:pos="18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Income Tax Benefit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and Equity in Undistributed Net Income</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of</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760</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Income Tax Benefit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4020" w:type="dxa"/>
            <w:vAlign w:val="bottom"/>
            <w:gridSpan w:val="2"/>
          </w:tcPr>
          <w:p>
            <w:pPr>
              <w:spacing w:after="0"/>
              <w:rPr>
                <w:sz w:val="20"/>
                <w:szCs w:val="20"/>
                <w:color w:val="auto"/>
              </w:rPr>
            </w:pPr>
            <w:r>
              <w:rPr>
                <w:rFonts w:ascii="Courier New" w:cs="Courier New" w:eastAsia="Courier New" w:hAnsi="Courier New"/>
                <w:sz w:val="14"/>
                <w:szCs w:val="14"/>
                <w:color w:val="auto"/>
              </w:rPr>
              <w:t>Equity in Undistributed Net Income</w:t>
            </w: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of</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5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$2,959</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$2,486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$2,394</w:t>
            </w:r>
          </w:p>
        </w:tc>
      </w:tr>
    </w:tbl>
    <w:p>
      <w:pPr>
        <w:spacing w:after="0" w:line="4" w:lineRule="exact"/>
        <w:rPr>
          <w:sz w:val="20"/>
          <w:szCs w:val="20"/>
          <w:color w:val="auto"/>
        </w:rPr>
      </w:pPr>
    </w:p>
    <w:p>
      <w:pPr>
        <w:ind w:left="180" w:hanging="172"/>
        <w:spacing w:after="0"/>
        <w:tabs>
          <w:tab w:leader="none" w:pos="18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3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PARENT COMPANY - STATEMENT OF CASH FLOWS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Year Ended December 31, (in millions)</w:t>
            </w:r>
          </w:p>
        </w:tc>
        <w:tc>
          <w:tcPr>
            <w:tcW w:w="2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Activities</w:t>
            </w:r>
          </w:p>
        </w:tc>
        <w:tc>
          <w:tcPr>
            <w:tcW w:w="2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Net Income</w:t>
            </w:r>
          </w:p>
        </w:tc>
        <w:tc>
          <w:tcPr>
            <w:tcW w:w="3760" w:type="dxa"/>
            <w:vAlign w:val="bottom"/>
          </w:tcPr>
          <w:p>
            <w:pPr>
              <w:spacing w:after="0"/>
              <w:rPr>
                <w:sz w:val="14"/>
                <w:szCs w:val="14"/>
                <w:color w:val="auto"/>
              </w:rPr>
            </w:pPr>
          </w:p>
        </w:tc>
        <w:tc>
          <w:tcPr>
            <w:tcW w:w="27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$ 2,959</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$ 2,486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$ 2,394</w:t>
            </w: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Less--Net</w:t>
            </w:r>
          </w:p>
        </w:tc>
        <w:tc>
          <w:tcPr>
            <w:tcW w:w="3760" w:type="dxa"/>
            <w:vAlign w:val="bottom"/>
          </w:tcPr>
          <w:p>
            <w:pPr>
              <w:spacing w:after="0"/>
              <w:rPr>
                <w:sz w:val="20"/>
                <w:szCs w:val="20"/>
                <w:color w:val="auto"/>
              </w:rPr>
            </w:pPr>
            <w:r>
              <w:rPr>
                <w:rFonts w:ascii="Courier New" w:cs="Courier New" w:eastAsia="Courier New" w:hAnsi="Courier New"/>
                <w:sz w:val="14"/>
                <w:szCs w:val="14"/>
                <w:color w:val="auto"/>
              </w:rPr>
              <w:t>Income of Subsidiaries</w:t>
            </w:r>
          </w:p>
        </w:tc>
        <w:tc>
          <w:tcPr>
            <w:tcW w:w="27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3,079</w:t>
            </w:r>
          </w:p>
        </w:tc>
        <w:tc>
          <w:tcPr>
            <w:tcW w:w="11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2,577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2,551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Parent Company</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Net Loss</w:t>
            </w:r>
          </w:p>
        </w:tc>
        <w:tc>
          <w:tcPr>
            <w:tcW w:w="2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(157)</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Add--</w:t>
            </w:r>
          </w:p>
        </w:tc>
        <w:tc>
          <w:tcPr>
            <w:tcW w:w="820" w:type="dxa"/>
            <w:vAlign w:val="bottom"/>
          </w:tcPr>
          <w:p>
            <w:pPr>
              <w:spacing w:after="0"/>
              <w:rPr>
                <w:sz w:val="20"/>
                <w:szCs w:val="20"/>
                <w:color w:val="auto"/>
              </w:rPr>
            </w:pPr>
            <w:r>
              <w:rPr>
                <w:rFonts w:ascii="Courier New" w:cs="Courier New" w:eastAsia="Courier New" w:hAnsi="Courier New"/>
                <w:sz w:val="14"/>
                <w:szCs w:val="14"/>
                <w:color w:val="auto"/>
              </w:rPr>
              <w:t>Dividends</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from Subsidiaries</w:t>
            </w:r>
          </w:p>
        </w:tc>
        <w:tc>
          <w:tcPr>
            <w:tcW w:w="27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1,616</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1,708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956</w:t>
            </w:r>
          </w:p>
        </w:tc>
      </w:tr>
      <w:tr>
        <w:trPr>
          <w:trHeight w:val="166"/>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Other</w:t>
            </w:r>
          </w:p>
        </w:tc>
        <w:tc>
          <w:tcPr>
            <w:tcW w:w="820" w:type="dxa"/>
            <w:vAlign w:val="bottom"/>
          </w:tcPr>
          <w:p>
            <w:pPr>
              <w:spacing w:after="0"/>
              <w:rPr>
                <w:sz w:val="20"/>
                <w:szCs w:val="20"/>
                <w:color w:val="auto"/>
              </w:rPr>
            </w:pPr>
            <w:r>
              <w:rPr>
                <w:rFonts w:ascii="Courier New" w:cs="Courier New" w:eastAsia="Courier New" w:hAnsi="Courier New"/>
                <w:sz w:val="14"/>
                <w:szCs w:val="14"/>
                <w:color w:val="auto"/>
              </w:rPr>
              <w:t>--Net</w:t>
            </w:r>
          </w:p>
        </w:tc>
        <w:tc>
          <w:tcPr>
            <w:tcW w:w="3440" w:type="dxa"/>
            <w:vAlign w:val="bottom"/>
          </w:tcPr>
          <w:p>
            <w:pPr>
              <w:spacing w:after="0"/>
              <w:rPr>
                <w:sz w:val="14"/>
                <w:szCs w:val="14"/>
                <w:color w:val="auto"/>
              </w:rPr>
            </w:pPr>
          </w:p>
        </w:tc>
        <w:tc>
          <w:tcPr>
            <w:tcW w:w="2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11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2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1,436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1,838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580</w:t>
            </w:r>
          </w:p>
        </w:tc>
      </w:tr>
    </w:tbl>
    <w:p>
      <w:pPr>
        <w:spacing w:after="0" w:line="4" w:lineRule="exact"/>
        <w:rPr>
          <w:sz w:val="20"/>
          <w:szCs w:val="20"/>
          <w:color w:val="auto"/>
        </w:rPr>
      </w:pPr>
    </w:p>
    <w:p>
      <w:pPr>
        <w:ind w:left="180" w:hanging="172"/>
        <w:spacing w:after="0"/>
        <w:tabs>
          <w:tab w:leader="none" w:pos="18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Investing 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gridSpan w:val="5"/>
          </w:tcPr>
          <w:p>
            <w:pPr>
              <w:spacing w:after="0"/>
              <w:rPr>
                <w:sz w:val="20"/>
                <w:szCs w:val="20"/>
                <w:color w:val="auto"/>
              </w:rPr>
            </w:pPr>
            <w:r>
              <w:rPr>
                <w:rFonts w:ascii="Courier New" w:cs="Courier New" w:eastAsia="Courier New" w:hAnsi="Courier New"/>
                <w:sz w:val="14"/>
                <w:szCs w:val="14"/>
                <w:color w:val="auto"/>
              </w:rPr>
              <w:t>Net (Increase) Decrease in Deposits with Banking Subsidiaries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(580)</w:t>
            </w:r>
          </w:p>
        </w:tc>
      </w:tr>
      <w:tr>
        <w:trPr>
          <w:trHeight w:val="166"/>
        </w:trPr>
        <w:tc>
          <w:tcPr>
            <w:tcW w:w="4280" w:type="dxa"/>
            <w:vAlign w:val="bottom"/>
            <w:gridSpan w:val="4"/>
          </w:tcPr>
          <w:p>
            <w:pPr>
              <w:spacing w:after="0"/>
              <w:rPr>
                <w:sz w:val="20"/>
                <w:szCs w:val="20"/>
                <w:color w:val="auto"/>
              </w:rPr>
            </w:pPr>
            <w:r>
              <w:rPr>
                <w:rFonts w:ascii="Courier New" w:cs="Courier New" w:eastAsia="Courier New" w:hAnsi="Courier New"/>
                <w:sz w:val="14"/>
                <w:szCs w:val="14"/>
                <w:color w:val="auto"/>
              </w:rPr>
              <w:t>Net (Increase) Decrease in Short-Term Advances to</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Subsidiaries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(168)</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1,045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1,184</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Net (Increase)</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Decrease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3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Long-Term Advances to Subsidiaries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Net (Increase)</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Decrease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Investment (at Equity)</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in Subsidiaries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(870)</w:t>
            </w:r>
          </w:p>
        </w:tc>
      </w:tr>
    </w:tbl>
    <w:p>
      <w:pPr>
        <w:sectPr>
          <w:pgSz w:w="11900" w:h="16880" w:orient="portrait"/>
          <w:cols w:equalWidth="0" w:num="1">
            <w:col w:w="10239"/>
          </w:cols>
          <w:pgMar w:left="220" w:top="285" w:right="1440" w:bottom="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00" w:type="dxa"/>
            <w:vAlign w:val="bottom"/>
          </w:tcPr>
          <w:p>
            <w:pPr>
              <w:spacing w:after="0"/>
              <w:rPr>
                <w:sz w:val="20"/>
                <w:szCs w:val="20"/>
                <w:color w:val="auto"/>
              </w:rPr>
            </w:pPr>
            <w:r>
              <w:rPr>
                <w:rFonts w:ascii="Courier New" w:cs="Courier New" w:eastAsia="Courier New" w:hAnsi="Courier New"/>
                <w:sz w:val="14"/>
                <w:szCs w:val="14"/>
                <w:color w:val="auto"/>
              </w:rPr>
              <w:t>Net (Increase) Decrease in</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Securities Purchased Under Resale Agreement</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111</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w w:val="99"/>
              </w:rPr>
              <w:t>(611)</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Proceeds from the Maturity</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of Available-for-Sale Securities</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105</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425</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250</w:t>
            </w: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Proceeds from the Sale of Available-for-Sale Securities</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102</w:t>
            </w:r>
          </w:p>
        </w:tc>
      </w:tr>
      <w:tr>
        <w:trPr>
          <w:trHeight w:val="166"/>
        </w:trPr>
        <w:tc>
          <w:tcPr>
            <w:tcW w:w="6420" w:type="dxa"/>
            <w:vAlign w:val="bottom"/>
            <w:gridSpan w:val="2"/>
          </w:tcPr>
          <w:p>
            <w:pPr>
              <w:spacing w:after="0"/>
              <w:rPr>
                <w:sz w:val="20"/>
                <w:szCs w:val="20"/>
                <w:color w:val="auto"/>
              </w:rPr>
            </w:pPr>
            <w:r>
              <w:rPr>
                <w:rFonts w:ascii="Courier New" w:cs="Courier New" w:eastAsia="Courier New" w:hAnsi="Courier New"/>
                <w:sz w:val="14"/>
                <w:szCs w:val="14"/>
                <w:color w:val="auto"/>
              </w:rPr>
              <w:t>Purchase of Available-for-Sale Securities</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(323)</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w w:val="99"/>
              </w:rPr>
              <w:t>(258)</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Proceeds from Divestitures</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of Nonstrategic Businesses</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490</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6"/>
        </w:trPr>
        <w:tc>
          <w:tcPr>
            <w:tcW w:w="2300" w:type="dxa"/>
            <w:vAlign w:val="bottom"/>
          </w:tcPr>
          <w:p>
            <w:pPr>
              <w:spacing w:after="0"/>
              <w:rPr>
                <w:sz w:val="20"/>
                <w:szCs w:val="20"/>
                <w:color w:val="auto"/>
              </w:rPr>
            </w:pPr>
            <w:r>
              <w:rPr>
                <w:rFonts w:ascii="Courier New" w:cs="Courier New" w:eastAsia="Courier New" w:hAnsi="Courier New"/>
                <w:sz w:val="14"/>
                <w:szCs w:val="14"/>
                <w:color w:val="auto"/>
              </w:rPr>
              <w:t>Other--Net</w:t>
            </w:r>
          </w:p>
        </w:tc>
        <w:tc>
          <w:tcPr>
            <w:tcW w:w="4120" w:type="dxa"/>
            <w:vAlign w:val="bottom"/>
          </w:tcPr>
          <w:p>
            <w:pPr>
              <w:spacing w:after="0"/>
              <w:rPr>
                <w:sz w:val="14"/>
                <w:szCs w:val="14"/>
                <w:color w:val="auto"/>
              </w:rPr>
            </w:pP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(101)</w:t>
            </w:r>
          </w:p>
        </w:tc>
        <w:tc>
          <w:tcPr>
            <w:tcW w:w="7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Net Cash Used by Investing Activities</w:t>
            </w:r>
          </w:p>
        </w:tc>
        <w:tc>
          <w:tcPr>
            <w:tcW w:w="2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(744)</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(1,892)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(393)</w:t>
            </w:r>
          </w:p>
        </w:tc>
      </w:tr>
    </w:tbl>
    <w:p>
      <w:pPr>
        <w:spacing w:after="0" w:line="4" w:lineRule="exact"/>
        <w:rPr>
          <w:sz w:val="20"/>
          <w:szCs w:val="20"/>
          <w:color w:val="auto"/>
        </w:rPr>
      </w:pPr>
    </w:p>
    <w:p>
      <w:pPr>
        <w:ind w:left="180" w:hanging="172"/>
        <w:spacing w:after="0"/>
        <w:tabs>
          <w:tab w:leader="none" w:pos="18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Financing Activities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Net Change in</w:t>
            </w:r>
          </w:p>
        </w:tc>
        <w:tc>
          <w:tcPr>
            <w:tcW w:w="4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Other Borrowed Funds</w:t>
            </w:r>
          </w:p>
        </w:tc>
        <w:tc>
          <w:tcPr>
            <w:tcW w:w="2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581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2,186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137</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Proceeds from</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the Issuance of</w:t>
            </w:r>
          </w:p>
        </w:tc>
        <w:tc>
          <w:tcPr>
            <w:tcW w:w="2640" w:type="dxa"/>
            <w:vAlign w:val="bottom"/>
          </w:tcPr>
          <w:p>
            <w:pPr>
              <w:ind w:left="60"/>
              <w:spacing w:after="0"/>
              <w:rPr>
                <w:sz w:val="20"/>
                <w:szCs w:val="20"/>
                <w:color w:val="auto"/>
              </w:rPr>
            </w:pPr>
            <w:r>
              <w:rPr>
                <w:rFonts w:ascii="Courier New" w:cs="Courier New" w:eastAsia="Courier New" w:hAnsi="Courier New"/>
                <w:sz w:val="14"/>
                <w:szCs w:val="14"/>
                <w:color w:val="auto"/>
              </w:rPr>
              <w:t>Long-Term Debt</w:t>
            </w:r>
          </w:p>
        </w:tc>
        <w:tc>
          <w:tcPr>
            <w:tcW w:w="2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1,804</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1,679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3,502</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Repayments of</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Long-Term Debt</w:t>
            </w:r>
          </w:p>
        </w:tc>
        <w:tc>
          <w:tcPr>
            <w:tcW w:w="2640" w:type="dxa"/>
            <w:vAlign w:val="bottom"/>
          </w:tcPr>
          <w:p>
            <w:pPr>
              <w:spacing w:after="0"/>
              <w:rPr>
                <w:sz w:val="14"/>
                <w:szCs w:val="14"/>
                <w:color w:val="auto"/>
              </w:rPr>
            </w:pP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(1,201)</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(2,062)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(3,688)</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Proceeds from</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the Issuance of</w:t>
            </w:r>
          </w:p>
        </w:tc>
        <w:tc>
          <w:tcPr>
            <w:tcW w:w="2640" w:type="dxa"/>
            <w:vAlign w:val="bottom"/>
          </w:tcPr>
          <w:p>
            <w:pPr>
              <w:ind w:left="60"/>
              <w:spacing w:after="0"/>
              <w:rPr>
                <w:sz w:val="20"/>
                <w:szCs w:val="20"/>
                <w:color w:val="auto"/>
              </w:rPr>
            </w:pPr>
            <w:r>
              <w:rPr>
                <w:rFonts w:ascii="Courier New" w:cs="Courier New" w:eastAsia="Courier New" w:hAnsi="Courier New"/>
                <w:sz w:val="14"/>
                <w:szCs w:val="14"/>
                <w:color w:val="auto"/>
              </w:rPr>
              <w:t>Stock</w:t>
            </w:r>
          </w:p>
        </w:tc>
        <w:tc>
          <w:tcPr>
            <w:tcW w:w="2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1,548</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Purchase of Treasury Stock</w:t>
            </w:r>
          </w:p>
        </w:tc>
        <w:tc>
          <w:tcPr>
            <w:tcW w:w="2640" w:type="dxa"/>
            <w:vAlign w:val="bottom"/>
          </w:tcPr>
          <w:p>
            <w:pPr>
              <w:spacing w:after="0"/>
              <w:rPr>
                <w:sz w:val="14"/>
                <w:szCs w:val="14"/>
                <w:color w:val="auto"/>
              </w:rPr>
            </w:pP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(1,389)</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Redemption of</w:t>
            </w:r>
          </w:p>
        </w:tc>
        <w:tc>
          <w:tcPr>
            <w:tcW w:w="1360" w:type="dxa"/>
            <w:vAlign w:val="bottom"/>
          </w:tcPr>
          <w:p>
            <w:pPr>
              <w:ind w:left="40"/>
              <w:spacing w:after="0"/>
              <w:rPr>
                <w:sz w:val="20"/>
                <w:szCs w:val="20"/>
                <w:color w:val="auto"/>
              </w:rPr>
            </w:pPr>
            <w:r>
              <w:rPr>
                <w:rFonts w:ascii="Courier New" w:cs="Courier New" w:eastAsia="Courier New" w:hAnsi="Courier New"/>
                <w:sz w:val="14"/>
                <w:szCs w:val="14"/>
                <w:color w:val="auto"/>
              </w:rPr>
              <w:t>Preferred Stock</w:t>
            </w:r>
          </w:p>
        </w:tc>
        <w:tc>
          <w:tcPr>
            <w:tcW w:w="2640" w:type="dxa"/>
            <w:vAlign w:val="bottom"/>
          </w:tcPr>
          <w:p>
            <w:pPr>
              <w:spacing w:after="0"/>
              <w:rPr>
                <w:sz w:val="14"/>
                <w:szCs w:val="14"/>
                <w:color w:val="auto"/>
              </w:rPr>
            </w:pP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(913)</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Cash Dividends Paid</w:t>
            </w:r>
          </w:p>
        </w:tc>
        <w:tc>
          <w:tcPr>
            <w:tcW w:w="2640" w:type="dxa"/>
            <w:vAlign w:val="bottom"/>
          </w:tcPr>
          <w:p>
            <w:pPr>
              <w:spacing w:after="0"/>
              <w:rPr>
                <w:sz w:val="14"/>
                <w:szCs w:val="14"/>
                <w:color w:val="auto"/>
              </w:rPr>
            </w:pPr>
          </w:p>
        </w:tc>
        <w:tc>
          <w:tcPr>
            <w:tcW w:w="2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Net Cash Provided (Used) by Financing Activities</w:t>
            </w:r>
          </w:p>
        </w:tc>
        <w:tc>
          <w:tcPr>
            <w:tcW w:w="21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(443)</w:t>
            </w:r>
          </w:p>
        </w:tc>
        <w:tc>
          <w:tcPr>
            <w:tcW w:w="10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Net Increase (Decrease) in Cash</w:t>
            </w:r>
          </w:p>
        </w:tc>
        <w:tc>
          <w:tcPr>
            <w:tcW w:w="2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249</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w w:val="95"/>
              </w:rPr>
              <w:t>(52)</w:t>
            </w:r>
          </w:p>
        </w:tc>
      </w:tr>
      <w:tr>
        <w:trPr>
          <w:trHeight w:val="166"/>
        </w:trPr>
        <w:tc>
          <w:tcPr>
            <w:tcW w:w="5300" w:type="dxa"/>
            <w:vAlign w:val="bottom"/>
          </w:tcPr>
          <w:p>
            <w:pPr>
              <w:spacing w:after="0"/>
              <w:rPr>
                <w:sz w:val="20"/>
                <w:szCs w:val="20"/>
                <w:color w:val="auto"/>
              </w:rPr>
            </w:pPr>
            <w:r>
              <w:rPr>
                <w:rFonts w:ascii="Courier New" w:cs="Courier New" w:eastAsia="Courier New" w:hAnsi="Courier New"/>
                <w:sz w:val="14"/>
                <w:szCs w:val="14"/>
                <w:color w:val="auto"/>
              </w:rPr>
              <w:t>Cash with Banks at the Beginning of the Year</w:t>
            </w:r>
          </w:p>
        </w:tc>
        <w:tc>
          <w:tcPr>
            <w:tcW w:w="2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87</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w:t>
            </w: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rPr>
              <w:t>129</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34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with Banks at the End of the Year</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336</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34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Cash</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Interest Paid</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1,060</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784</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747</w:t>
            </w:r>
          </w:p>
        </w:tc>
      </w:tr>
      <w:tr>
        <w:trPr>
          <w:trHeight w:val="166"/>
        </w:trPr>
        <w:tc>
          <w:tcPr>
            <w:tcW w:w="4880" w:type="dxa"/>
            <w:vAlign w:val="bottom"/>
            <w:gridSpan w:val="3"/>
          </w:tcPr>
          <w:p>
            <w:pPr>
              <w:spacing w:after="0"/>
              <w:rPr>
                <w:sz w:val="20"/>
                <w:szCs w:val="20"/>
                <w:color w:val="auto"/>
              </w:rPr>
            </w:pPr>
            <w:r>
              <w:rPr>
                <w:rFonts w:ascii="Courier New" w:cs="Courier New" w:eastAsia="Courier New" w:hAnsi="Courier New"/>
                <w:sz w:val="14"/>
                <w:szCs w:val="14"/>
                <w:color w:val="auto"/>
              </w:rPr>
              <w:t>Taxes Paid (Refunded)</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957</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w:t>
            </w:r>
          </w:p>
        </w:tc>
      </w:tr>
    </w:tbl>
    <w:p>
      <w:pPr>
        <w:spacing w:after="0" w:line="4" w:lineRule="exact"/>
        <w:rPr>
          <w:sz w:val="20"/>
          <w:szCs w:val="20"/>
          <w:color w:val="auto"/>
        </w:rPr>
      </w:pPr>
    </w:p>
    <w:p>
      <w:pPr>
        <w:ind w:left="180" w:hanging="172"/>
        <w:spacing w:after="0"/>
        <w:tabs>
          <w:tab w:leader="none" w:pos="18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ind w:left="67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141" w:right="1440" w:bottom="1440" w:gutter="0" w:footer="0" w:header="0"/>
        </w:sectPr>
      </w:pPr>
    </w:p>
    <w:bookmarkStart w:id="108" w:name="page109"/>
    <w:bookmarkEnd w:id="108"/>
    <w:p>
      <w:pPr>
        <w:spacing w:after="0" w:line="4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63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QUARTERLY FINANCIAL INFORMATION 1995-1994</w:t>
            </w:r>
          </w:p>
        </w:tc>
        <w:tc>
          <w:tcPr>
            <w:tcW w:w="780" w:type="dxa"/>
            <w:vAlign w:val="bottom"/>
          </w:tcPr>
          <w:p>
            <w:pPr>
              <w:spacing w:after="0"/>
              <w:rPr>
                <w:sz w:val="14"/>
                <w:szCs w:val="14"/>
                <w:color w:val="auto"/>
              </w:rPr>
            </w:pPr>
          </w:p>
        </w:tc>
      </w:tr>
      <w:tr>
        <w:trPr>
          <w:trHeight w:val="663"/>
        </w:trPr>
        <w:tc>
          <w:tcPr>
            <w:tcW w:w="4920" w:type="dxa"/>
            <w:vAlign w:val="bottom"/>
          </w:tcPr>
          <w:p>
            <w:pPr>
              <w:spacing w:after="0"/>
              <w:rPr>
                <w:sz w:val="20"/>
                <w:szCs w:val="20"/>
                <w:color w:val="auto"/>
              </w:rPr>
            </w:pPr>
            <w:r>
              <w:rPr>
                <w:rFonts w:ascii="Courier New" w:cs="Courier New" w:eastAsia="Courier New" w:hAnsi="Courier New"/>
                <w:sz w:val="14"/>
                <w:szCs w:val="14"/>
                <w:color w:val="auto"/>
              </w:rPr>
              <w:t>(in millions, except per share and stock price data)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4th</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3rd</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2nd</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1st</w:t>
            </w:r>
          </w:p>
        </w:tc>
      </w:tr>
      <w:tr>
        <w:trPr>
          <w:trHeight w:val="331"/>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Net Interest Income</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2,078</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2,069</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2,028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2,027</w:t>
            </w: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Losses</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186</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192</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185</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Noninterest</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Revenue</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1,765</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1,557</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Noninterest</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16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2,364</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2,332</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2,359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2,335</w:t>
            </w:r>
          </w:p>
        </w:tc>
      </w:tr>
    </w:tbl>
    <w:p>
      <w:pPr>
        <w:spacing w:after="0" w:line="4" w:lineRule="exact"/>
        <w:rPr>
          <w:sz w:val="20"/>
          <w:szCs w:val="20"/>
          <w:color w:val="auto"/>
        </w:rPr>
      </w:pPr>
    </w:p>
    <w:p>
      <w:pPr>
        <w:ind w:left="180" w:hanging="172"/>
        <w:spacing w:after="0"/>
        <w:tabs>
          <w:tab w:leader="none" w:pos="1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Income Tax Expense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ind w:left="180"/>
              <w:spacing w:after="0"/>
              <w:rPr>
                <w:sz w:val="20"/>
                <w:szCs w:val="20"/>
                <w:color w:val="auto"/>
              </w:rPr>
            </w:pPr>
            <w:r>
              <w:rPr>
                <w:rFonts w:ascii="Courier New" w:cs="Courier New" w:eastAsia="Courier New" w:hAnsi="Courier New"/>
                <w:sz w:val="14"/>
                <w:szCs w:val="14"/>
                <w:color w:val="auto"/>
              </w:rPr>
              <w:t>and Effect of Accounting Change</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1,293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1,255</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1,064</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466</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491</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471</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414</w:t>
            </w:r>
          </w:p>
        </w:tc>
      </w:tr>
    </w:tbl>
    <w:p>
      <w:pPr>
        <w:spacing w:after="0" w:line="4" w:lineRule="exact"/>
        <w:rPr>
          <w:sz w:val="20"/>
          <w:szCs w:val="20"/>
          <w:color w:val="auto"/>
        </w:rPr>
      </w:pPr>
    </w:p>
    <w:p>
      <w:pPr>
        <w:ind w:left="180" w:hanging="172"/>
        <w:spacing w:after="0"/>
        <w:tabs>
          <w:tab w:leader="none" w:pos="18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Effect of</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Accounting Change</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827</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764</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729</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rPr>
              <w:t>650</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Effect of Change in Accounting</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Principle</w:t>
            </w:r>
          </w:p>
        </w:tc>
        <w:tc>
          <w:tcPr>
            <w:tcW w:w="11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ind w:left="380"/>
              <w:spacing w:after="0"/>
              <w:rPr>
                <w:sz w:val="20"/>
                <w:szCs w:val="20"/>
                <w:color w:val="auto"/>
              </w:rPr>
            </w:pPr>
            <w:r>
              <w:rPr>
                <w:rFonts w:ascii="Courier New" w:cs="Courier New" w:eastAsia="Courier New" w:hAnsi="Courier New"/>
                <w:sz w:val="14"/>
                <w:szCs w:val="14"/>
                <w:color w:val="auto"/>
                <w:w w:val="98"/>
              </w:rPr>
              <w:t>(11)(a)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080" w:val="left"/>
          <w:tab w:leader="none" w:pos="3600" w:val="left"/>
          <w:tab w:leader="none" w:pos="4120" w:val="left"/>
          <w:tab w:leader="none" w:pos="4640" w:val="left"/>
          <w:tab w:leader="none" w:pos="5160" w:val="left"/>
          <w:tab w:leader="none" w:pos="5680" w:val="left"/>
          <w:tab w:leader="none" w:pos="6200" w:val="left"/>
          <w:tab w:leader="none" w:pos="670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827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764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729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639</w:t>
      </w:r>
    </w:p>
    <w:p>
      <w:pPr>
        <w:spacing w:after="0" w:line="7" w:lineRule="exact"/>
        <w:rPr>
          <w:sz w:val="20"/>
          <w:szCs w:val="20"/>
          <w:color w:val="auto"/>
        </w:rPr>
      </w:pPr>
    </w:p>
    <w:p>
      <w:pPr>
        <w:ind w:left="180" w:hanging="172"/>
        <w:spacing w:after="0"/>
        <w:tabs>
          <w:tab w:leader="none" w:pos="18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 Common Share: Primary:</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Effect of</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Accounting Change</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1.73</w:t>
            </w:r>
          </w:p>
        </w:tc>
        <w:tc>
          <w:tcPr>
            <w:tcW w:w="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180"/>
              <w:spacing w:after="0"/>
              <w:rPr>
                <w:sz w:val="20"/>
                <w:szCs w:val="20"/>
                <w:color w:val="auto"/>
              </w:rPr>
            </w:pPr>
            <w:r>
              <w:rPr>
                <w:rFonts w:ascii="Courier New" w:cs="Courier New" w:eastAsia="Courier New" w:hAnsi="Courier New"/>
                <w:sz w:val="14"/>
                <w:szCs w:val="14"/>
                <w:color w:val="auto"/>
              </w:rPr>
              <w:t>1.58</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160"/>
              <w:spacing w:after="0"/>
              <w:rPr>
                <w:sz w:val="20"/>
                <w:szCs w:val="20"/>
                <w:color w:val="auto"/>
              </w:rPr>
            </w:pPr>
            <w:r>
              <w:rPr>
                <w:rFonts w:ascii="Courier New" w:cs="Courier New" w:eastAsia="Courier New" w:hAnsi="Courier New"/>
                <w:sz w:val="14"/>
                <w:szCs w:val="14"/>
                <w:color w:val="auto"/>
              </w:rPr>
              <w:t>1.54</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1.37</w:t>
            </w:r>
          </w:p>
        </w:tc>
      </w:tr>
      <w:tr>
        <w:trPr>
          <w:trHeight w:val="166"/>
        </w:trPr>
        <w:tc>
          <w:tcPr>
            <w:tcW w:w="2760" w:type="dxa"/>
            <w:vAlign w:val="bottom"/>
          </w:tcPr>
          <w:p>
            <w:pPr>
              <w:spacing w:after="0"/>
              <w:rPr>
                <w:sz w:val="20"/>
                <w:szCs w:val="20"/>
                <w:color w:val="auto"/>
              </w:rPr>
            </w:pPr>
            <w:r>
              <w:rPr>
                <w:rFonts w:ascii="Courier New" w:cs="Courier New" w:eastAsia="Courier New" w:hAnsi="Courier New"/>
                <w:sz w:val="14"/>
                <w:szCs w:val="14"/>
                <w:color w:val="auto"/>
              </w:rPr>
              <w:t>Effect of Change in Accounting</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60" w:type="dxa"/>
            <w:vAlign w:val="bottom"/>
          </w:tcPr>
          <w:p>
            <w:pPr>
              <w:ind w:left="180"/>
              <w:spacing w:after="0"/>
              <w:rPr>
                <w:sz w:val="20"/>
                <w:szCs w:val="20"/>
                <w:color w:val="auto"/>
              </w:rPr>
            </w:pPr>
            <w:r>
              <w:rPr>
                <w:rFonts w:ascii="Courier New" w:cs="Courier New" w:eastAsia="Courier New" w:hAnsi="Courier New"/>
                <w:sz w:val="14"/>
                <w:szCs w:val="14"/>
                <w:color w:val="auto"/>
              </w:rPr>
              <w:t>Principle</w:t>
            </w:r>
          </w:p>
        </w:tc>
        <w:tc>
          <w:tcPr>
            <w:tcW w:w="42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(.03)(a)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tabs>
          <w:tab w:leader="none" w:pos="3080" w:val="left"/>
          <w:tab w:leader="none" w:pos="3520" w:val="left"/>
          <w:tab w:leader="none" w:pos="4120" w:val="left"/>
          <w:tab w:leader="none" w:pos="4560" w:val="left"/>
          <w:tab w:leader="none" w:pos="5160" w:val="left"/>
          <w:tab w:leader="none" w:pos="5580" w:val="left"/>
          <w:tab w:leader="none" w:pos="6200" w:val="left"/>
          <w:tab w:leader="none" w:pos="662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1.73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1.34</w:t>
      </w:r>
    </w:p>
    <w:p>
      <w:pPr>
        <w:spacing w:after="0" w:line="7" w:lineRule="exact"/>
        <w:rPr>
          <w:sz w:val="20"/>
          <w:szCs w:val="20"/>
          <w:color w:val="auto"/>
        </w:rPr>
      </w:pPr>
    </w:p>
    <w:p>
      <w:pPr>
        <w:ind w:left="180" w:hanging="172"/>
        <w:spacing w:after="0"/>
        <w:tabs>
          <w:tab w:leader="none" w:pos="18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Full Dilution:</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Before Effect of</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Accounting Change</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1.73</w:t>
            </w:r>
          </w:p>
        </w:tc>
        <w:tc>
          <w:tcPr>
            <w:tcW w:w="3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180"/>
              <w:spacing w:after="0"/>
              <w:rPr>
                <w:sz w:val="20"/>
                <w:szCs w:val="20"/>
                <w:color w:val="auto"/>
              </w:rPr>
            </w:pPr>
            <w:r>
              <w:rPr>
                <w:rFonts w:ascii="Courier New" w:cs="Courier New" w:eastAsia="Courier New" w:hAnsi="Courier New"/>
                <w:sz w:val="14"/>
                <w:szCs w:val="14"/>
                <w:color w:val="auto"/>
              </w:rPr>
              <w:t>1.55</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ind w:left="160"/>
              <w:spacing w:after="0"/>
              <w:rPr>
                <w:sz w:val="20"/>
                <w:szCs w:val="20"/>
                <w:color w:val="auto"/>
              </w:rPr>
            </w:pPr>
            <w:r>
              <w:rPr>
                <w:rFonts w:ascii="Courier New" w:cs="Courier New" w:eastAsia="Courier New" w:hAnsi="Courier New"/>
                <w:sz w:val="14"/>
                <w:szCs w:val="14"/>
                <w:color w:val="auto"/>
              </w:rPr>
              <w:t>1.52</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1.36</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Effect</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of Change in Accounting</w:t>
            </w: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7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Principle</w:t>
            </w:r>
          </w:p>
        </w:tc>
        <w:tc>
          <w:tcPr>
            <w:tcW w:w="42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(.03)(a)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tabs>
          <w:tab w:leader="none" w:pos="3080" w:val="left"/>
          <w:tab w:leader="none" w:pos="3520" w:val="left"/>
          <w:tab w:leader="none" w:pos="4120" w:val="left"/>
          <w:tab w:leader="none" w:pos="4560" w:val="left"/>
          <w:tab w:leader="none" w:pos="5160" w:val="left"/>
          <w:tab w:leader="none" w:pos="5580" w:val="left"/>
          <w:tab w:leader="none" w:pos="6200" w:val="left"/>
          <w:tab w:leader="none" w:pos="662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1.73</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20"/>
                <w:szCs w:val="20"/>
                <w:color w:val="auto"/>
              </w:rPr>
            </w:pPr>
            <w:r>
              <w:rPr>
                <w:rFonts w:ascii="Courier New" w:cs="Courier New" w:eastAsia="Courier New" w:hAnsi="Courier New"/>
                <w:sz w:val="14"/>
                <w:szCs w:val="14"/>
                <w:color w:val="auto"/>
              </w:rPr>
              <w:t>Cash Dividends</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Declared Per Share   $</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w:t>
            </w:r>
          </w:p>
        </w:tc>
        <w:tc>
          <w:tcPr>
            <w:tcW w:w="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Average Common</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and Common</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Equivalent Shares</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446.0</w:t>
            </w:r>
          </w:p>
        </w:tc>
        <w:tc>
          <w:tcPr>
            <w:tcW w:w="3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448.4</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436.2</w:t>
            </w: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430.5</w:t>
            </w:r>
          </w:p>
        </w:tc>
      </w:tr>
      <w:tr>
        <w:trPr>
          <w:trHeight w:val="166"/>
        </w:trPr>
        <w:tc>
          <w:tcPr>
            <w:tcW w:w="1300" w:type="dxa"/>
            <w:vAlign w:val="bottom"/>
          </w:tcPr>
          <w:p>
            <w:pPr>
              <w:spacing w:after="0"/>
              <w:rPr>
                <w:sz w:val="20"/>
                <w:szCs w:val="20"/>
                <w:color w:val="auto"/>
              </w:rPr>
            </w:pPr>
            <w:r>
              <w:rPr>
                <w:rFonts w:ascii="Courier New" w:cs="Courier New" w:eastAsia="Courier New" w:hAnsi="Courier New"/>
                <w:sz w:val="14"/>
                <w:szCs w:val="14"/>
                <w:color w:val="auto"/>
              </w:rPr>
              <w:t>Average Common</w:t>
            </w:r>
          </w:p>
        </w:tc>
        <w:tc>
          <w:tcPr>
            <w:tcW w:w="2020" w:type="dxa"/>
            <w:vAlign w:val="bottom"/>
          </w:tcPr>
          <w:p>
            <w:pPr>
              <w:spacing w:after="0"/>
              <w:rPr>
                <w:sz w:val="20"/>
                <w:szCs w:val="20"/>
                <w:color w:val="auto"/>
              </w:rPr>
            </w:pPr>
            <w:r>
              <w:rPr>
                <w:rFonts w:ascii="Courier New" w:cs="Courier New" w:eastAsia="Courier New" w:hAnsi="Courier New"/>
                <w:sz w:val="14"/>
                <w:szCs w:val="14"/>
                <w:color w:val="auto"/>
              </w:rPr>
              <w:t>Shares Assuming</w:t>
            </w: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Full Dilution</w:t>
            </w:r>
          </w:p>
        </w:tc>
        <w:tc>
          <w:tcPr>
            <w:tcW w:w="202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447.7</w:t>
            </w:r>
          </w:p>
        </w:tc>
        <w:tc>
          <w:tcPr>
            <w:tcW w:w="3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456.4</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444.4</w:t>
            </w: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439.5</w:t>
            </w:r>
          </w:p>
        </w:tc>
      </w:tr>
    </w:tbl>
    <w:p>
      <w:pPr>
        <w:spacing w:after="0" w:line="4" w:lineRule="exact"/>
        <w:rPr>
          <w:sz w:val="20"/>
          <w:szCs w:val="20"/>
          <w:color w:val="auto"/>
        </w:rPr>
      </w:pPr>
    </w:p>
    <w:p>
      <w:pPr>
        <w:ind w:left="180" w:hanging="172"/>
        <w:spacing w:after="0"/>
        <w:tabs>
          <w:tab w:leader="none" w:pos="180"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Stock Price Per Common Share:(c)</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High</w:t>
            </w:r>
          </w:p>
        </w:tc>
        <w:tc>
          <w:tcPr>
            <w:tcW w:w="2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64.75</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61.63</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48.75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40.88</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Low</w:t>
            </w:r>
          </w:p>
        </w:tc>
        <w:tc>
          <w:tcPr>
            <w:tcW w:w="2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53.88</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46.25</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35.75</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Close</w:t>
            </w:r>
          </w:p>
        </w:tc>
        <w:tc>
          <w:tcPr>
            <w:tcW w:w="21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58.75</w:t>
            </w:r>
          </w:p>
        </w:tc>
        <w:tc>
          <w:tcPr>
            <w:tcW w:w="10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60.88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37.75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5160" w:val="left"/>
        </w:tabs>
        <w:rPr>
          <w:sz w:val="20"/>
          <w:szCs w:val="20"/>
          <w:color w:val="auto"/>
        </w:rPr>
      </w:pPr>
      <w:r>
        <w:rPr>
          <w:rFonts w:ascii="Courier New" w:cs="Courier New" w:eastAsia="Courier New" w:hAnsi="Courier New"/>
          <w:sz w:val="14"/>
          <w:szCs w:val="14"/>
          <w:color w:val="auto"/>
        </w:rPr>
        <w:t>(in millions, except per share and stock price data)</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460"/>
        <w:spacing w:after="0"/>
        <w:tabs>
          <w:tab w:leader="none" w:pos="4720" w:val="left"/>
          <w:tab w:leader="none" w:pos="5760" w:val="left"/>
          <w:tab w:leader="none" w:pos="6800" w:val="left"/>
        </w:tabs>
        <w:rPr>
          <w:sz w:val="20"/>
          <w:szCs w:val="20"/>
          <w:color w:val="auto"/>
        </w:rPr>
      </w:pPr>
      <w:r>
        <w:rPr>
          <w:rFonts w:ascii="Courier New" w:cs="Courier New" w:eastAsia="Courier New" w:hAnsi="Courier New"/>
          <w:sz w:val="14"/>
          <w:szCs w:val="14"/>
          <w:color w:val="auto"/>
        </w:rPr>
        <w:t>4th</w:t>
      </w:r>
      <w:r>
        <w:rPr>
          <w:sz w:val="20"/>
          <w:szCs w:val="20"/>
          <w:color w:val="auto"/>
        </w:rPr>
        <w:tab/>
      </w:r>
      <w:r>
        <w:rPr>
          <w:rFonts w:ascii="Courier New" w:cs="Courier New" w:eastAsia="Courier New" w:hAnsi="Courier New"/>
          <w:sz w:val="14"/>
          <w:szCs w:val="14"/>
          <w:color w:val="auto"/>
        </w:rPr>
        <w:t>3rd</w:t>
      </w:r>
      <w:r>
        <w:rPr>
          <w:sz w:val="20"/>
          <w:szCs w:val="20"/>
          <w:color w:val="auto"/>
        </w:rPr>
        <w:tab/>
      </w:r>
      <w:r>
        <w:rPr>
          <w:rFonts w:ascii="Courier New" w:cs="Courier New" w:eastAsia="Courier New" w:hAnsi="Courier New"/>
          <w:sz w:val="14"/>
          <w:szCs w:val="14"/>
          <w:color w:val="auto"/>
        </w:rPr>
        <w:t>2nd</w:t>
      </w:r>
      <w:r>
        <w:rPr>
          <w:sz w:val="20"/>
          <w:szCs w:val="20"/>
          <w:color w:val="auto"/>
        </w:rPr>
        <w:tab/>
      </w:r>
      <w:r>
        <w:rPr>
          <w:rFonts w:ascii="Courier New" w:cs="Courier New" w:eastAsia="Courier New" w:hAnsi="Courier New"/>
          <w:sz w:val="14"/>
          <w:szCs w:val="14"/>
          <w:color w:val="auto"/>
        </w:rPr>
        <w:t>1st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Net Interest Income</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2,059</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2,079</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2,092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2,082</w:t>
            </w: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Provision for Losses</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365</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Noninterest</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Revenue</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1,501</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1,724</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1,679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1,797</w:t>
            </w: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Noninterest</w:t>
            </w:r>
          </w:p>
        </w:tc>
        <w:tc>
          <w:tcPr>
            <w:tcW w:w="142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2,875</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2,385</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2,361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2,381</w:t>
            </w:r>
          </w:p>
        </w:tc>
      </w:tr>
    </w:tbl>
    <w:p>
      <w:pPr>
        <w:spacing w:after="0" w:line="4" w:lineRule="exact"/>
        <w:rPr>
          <w:sz w:val="20"/>
          <w:szCs w:val="20"/>
          <w:color w:val="auto"/>
        </w:rPr>
      </w:pPr>
    </w:p>
    <w:p>
      <w:pPr>
        <w:ind w:left="180" w:hanging="172"/>
        <w:spacing w:after="0"/>
        <w:tabs>
          <w:tab w:leader="none" w:pos="18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Income Tax Expense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ind w:left="180"/>
              <w:spacing w:after="0"/>
              <w:rPr>
                <w:sz w:val="20"/>
                <w:szCs w:val="20"/>
                <w:color w:val="auto"/>
              </w:rPr>
            </w:pPr>
            <w:r>
              <w:rPr>
                <w:rFonts w:ascii="Courier New" w:cs="Courier New" w:eastAsia="Courier New" w:hAnsi="Courier New"/>
                <w:sz w:val="14"/>
                <w:szCs w:val="14"/>
                <w:color w:val="auto"/>
              </w:rPr>
              <w:t>and Effect of Accounting Change</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1,133</w:t>
            </w:r>
          </w:p>
        </w:tc>
      </w:tr>
      <w:tr>
        <w:trPr>
          <w:trHeight w:val="166"/>
        </w:trPr>
        <w:tc>
          <w:tcPr>
            <w:tcW w:w="3240" w:type="dxa"/>
            <w:vAlign w:val="bottom"/>
          </w:tcPr>
          <w:p>
            <w:pPr>
              <w:spacing w:after="0"/>
              <w:rPr>
                <w:sz w:val="20"/>
                <w:szCs w:val="20"/>
                <w:color w:val="auto"/>
              </w:rPr>
            </w:pPr>
            <w:r>
              <w:rPr>
                <w:rFonts w:ascii="Courier New" w:cs="Courier New" w:eastAsia="Courier New" w:hAnsi="Courier New"/>
                <w:sz w:val="14"/>
                <w:szCs w:val="14"/>
                <w:color w:val="auto"/>
              </w:rPr>
              <w:t>Income Tax Expense</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478</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450</w:t>
            </w:r>
          </w:p>
        </w:tc>
      </w:tr>
    </w:tbl>
    <w:p>
      <w:pPr>
        <w:spacing w:after="0" w:line="4" w:lineRule="exact"/>
        <w:rPr>
          <w:sz w:val="20"/>
          <w:szCs w:val="20"/>
          <w:color w:val="auto"/>
        </w:rPr>
      </w:pPr>
    </w:p>
    <w:p>
      <w:pPr>
        <w:ind w:left="180" w:hanging="172"/>
        <w:spacing w:after="0"/>
        <w:tabs>
          <w:tab w:leader="none" w:pos="18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Effect of</w:t>
      </w:r>
    </w:p>
    <w:p>
      <w:pPr>
        <w:spacing w:after="0" w:line="7" w:lineRule="exact"/>
        <w:rPr>
          <w:sz w:val="20"/>
          <w:szCs w:val="20"/>
          <w:color w:val="auto"/>
        </w:rPr>
      </w:pPr>
    </w:p>
    <w:p>
      <w:pPr>
        <w:ind w:left="180"/>
        <w:spacing w:after="0"/>
        <w:tabs>
          <w:tab w:leader="none" w:pos="3600" w:val="left"/>
          <w:tab w:leader="none" w:pos="4900" w:val="left"/>
          <w:tab w:leader="none" w:pos="5940" w:val="left"/>
          <w:tab w:leader="none" w:pos="6960" w:val="left"/>
        </w:tabs>
        <w:rPr>
          <w:sz w:val="20"/>
          <w:szCs w:val="20"/>
          <w:color w:val="auto"/>
        </w:rPr>
      </w:pPr>
      <w:r>
        <w:rPr>
          <w:rFonts w:ascii="Courier New" w:cs="Courier New" w:eastAsia="Courier New" w:hAnsi="Courier New"/>
          <w:sz w:val="14"/>
          <w:szCs w:val="14"/>
          <w:color w:val="auto"/>
        </w:rPr>
        <w:t>Accounting Change</w:t>
      </w:r>
      <w:r>
        <w:rPr>
          <w:sz w:val="20"/>
          <w:szCs w:val="20"/>
          <w:color w:val="auto"/>
        </w:rPr>
        <w:tab/>
      </w:r>
      <w:r>
        <w:rPr>
          <w:rFonts w:ascii="Courier New" w:cs="Courier New" w:eastAsia="Courier New" w:hAnsi="Courier New"/>
          <w:sz w:val="14"/>
          <w:szCs w:val="14"/>
          <w:color w:val="auto"/>
        </w:rPr>
        <w:t>403</w:t>
      </w:r>
      <w:r>
        <w:rPr>
          <w:sz w:val="20"/>
          <w:szCs w:val="20"/>
          <w:color w:val="auto"/>
        </w:rPr>
        <w:tab/>
      </w:r>
      <w:r>
        <w:rPr>
          <w:rFonts w:ascii="Courier New" w:cs="Courier New" w:eastAsia="Courier New" w:hAnsi="Courier New"/>
          <w:sz w:val="14"/>
          <w:szCs w:val="14"/>
          <w:color w:val="auto"/>
        </w:rPr>
        <w:t>740</w:t>
      </w:r>
      <w:r>
        <w:rPr>
          <w:sz w:val="20"/>
          <w:szCs w:val="20"/>
          <w:color w:val="auto"/>
        </w:rPr>
        <w:tab/>
      </w:r>
      <w:r>
        <w:rPr>
          <w:rFonts w:ascii="Courier New" w:cs="Courier New" w:eastAsia="Courier New" w:hAnsi="Courier New"/>
          <w:sz w:val="14"/>
          <w:szCs w:val="14"/>
          <w:color w:val="auto"/>
        </w:rPr>
        <w:t>660</w:t>
      </w:r>
      <w:r>
        <w:rPr>
          <w:sz w:val="20"/>
          <w:szCs w:val="20"/>
          <w:color w:val="auto"/>
        </w:rPr>
        <w:tab/>
      </w:r>
      <w:r>
        <w:rPr>
          <w:rFonts w:ascii="Courier New" w:cs="Courier New" w:eastAsia="Courier New" w:hAnsi="Courier New"/>
          <w:sz w:val="14"/>
          <w:szCs w:val="14"/>
          <w:color w:val="auto"/>
        </w:rPr>
        <w:t>683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 of Change in Accounting</w:t>
      </w:r>
    </w:p>
    <w:p>
      <w:pPr>
        <w:spacing w:after="0" w:line="7" w:lineRule="exact"/>
        <w:rPr>
          <w:sz w:val="20"/>
          <w:szCs w:val="20"/>
          <w:color w:val="auto"/>
        </w:rPr>
      </w:pPr>
    </w:p>
    <w:p>
      <w:pPr>
        <w:ind w:left="180"/>
        <w:spacing w:after="0"/>
        <w:tabs>
          <w:tab w:leader="none" w:pos="3520" w:val="left"/>
          <w:tab w:leader="none" w:pos="4820" w:val="left"/>
          <w:tab w:leader="none" w:pos="5840" w:val="left"/>
          <w:tab w:leader="none" w:pos="6880" w:val="left"/>
        </w:tabs>
        <w:rPr>
          <w:sz w:val="20"/>
          <w:szCs w:val="20"/>
          <w:color w:val="auto"/>
        </w:rPr>
      </w:pPr>
      <w:r>
        <w:rPr>
          <w:rFonts w:ascii="Courier New" w:cs="Courier New" w:eastAsia="Courier New" w:hAnsi="Courier New"/>
          <w:sz w:val="14"/>
          <w:szCs w:val="14"/>
          <w:color w:val="auto"/>
        </w:rPr>
        <w:t>Principle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080" w:val="left"/>
          <w:tab w:leader="none" w:pos="3600" w:val="left"/>
          <w:tab w:leader="none" w:pos="4380" w:val="left"/>
          <w:tab w:leader="none" w:pos="4900" w:val="left"/>
          <w:tab w:leader="none" w:pos="5420" w:val="left"/>
          <w:tab w:leader="none" w:pos="5940" w:val="left"/>
          <w:tab w:leader="none" w:pos="6440" w:val="left"/>
          <w:tab w:leader="none" w:pos="696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403(b)</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740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660</w:t>
        <w:tab/>
        <w:t>$</w:t>
      </w:r>
      <w:r>
        <w:rPr>
          <w:sz w:val="20"/>
          <w:szCs w:val="20"/>
          <w:color w:val="auto"/>
        </w:rPr>
        <w:tab/>
      </w:r>
      <w:r>
        <w:rPr>
          <w:rFonts w:ascii="Courier New" w:cs="Courier New" w:eastAsia="Courier New" w:hAnsi="Courier New"/>
          <w:sz w:val="14"/>
          <w:szCs w:val="14"/>
          <w:color w:val="auto"/>
        </w:rPr>
        <w:t>683</w:t>
      </w:r>
    </w:p>
    <w:p>
      <w:pPr>
        <w:spacing w:after="0" w:line="7" w:lineRule="exact"/>
        <w:rPr>
          <w:sz w:val="20"/>
          <w:szCs w:val="20"/>
          <w:color w:val="auto"/>
        </w:rPr>
      </w:pPr>
    </w:p>
    <w:p>
      <w:pPr>
        <w:ind w:left="180" w:hanging="172"/>
        <w:spacing w:after="0"/>
        <w:tabs>
          <w:tab w:leader="none" w:pos="18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759"/>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Per Common Share: Primary:</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Effect of</w:t>
      </w:r>
    </w:p>
    <w:p>
      <w:pPr>
        <w:spacing w:after="0" w:line="7" w:lineRule="exact"/>
        <w:rPr>
          <w:sz w:val="20"/>
          <w:szCs w:val="20"/>
          <w:color w:val="auto"/>
        </w:rPr>
      </w:pPr>
    </w:p>
    <w:p>
      <w:pPr>
        <w:ind w:left="360"/>
        <w:spacing w:after="0"/>
        <w:tabs>
          <w:tab w:leader="none" w:pos="3080" w:val="left"/>
          <w:tab w:leader="none" w:pos="3600" w:val="left"/>
          <w:tab w:leader="none" w:pos="4380" w:val="left"/>
          <w:tab w:leader="none" w:pos="4820" w:val="left"/>
          <w:tab w:leader="none" w:pos="5420" w:val="left"/>
          <w:tab w:leader="none" w:pos="5840" w:val="left"/>
          <w:tab w:leader="none" w:pos="6440" w:val="left"/>
          <w:tab w:leader="none" w:pos="6880" w:val="left"/>
        </w:tabs>
        <w:rPr>
          <w:sz w:val="20"/>
          <w:szCs w:val="20"/>
          <w:color w:val="auto"/>
        </w:rPr>
      </w:pPr>
      <w:r>
        <w:rPr>
          <w:rFonts w:ascii="Courier New" w:cs="Courier New" w:eastAsia="Courier New" w:hAnsi="Courier New"/>
          <w:sz w:val="14"/>
          <w:szCs w:val="14"/>
          <w:color w:val="auto"/>
        </w:rPr>
        <w:t>Accounting Change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1.32</w:t>
        <w:tab/>
        <w:t>$</w:t>
      </w:r>
      <w:r>
        <w:rPr>
          <w:sz w:val="20"/>
          <w:szCs w:val="20"/>
          <w:color w:val="auto"/>
        </w:rPr>
        <w:tab/>
      </w:r>
      <w:r>
        <w:rPr>
          <w:rFonts w:ascii="Courier New" w:cs="Courier New" w:eastAsia="Courier New" w:hAnsi="Courier New"/>
          <w:sz w:val="14"/>
          <w:szCs w:val="14"/>
          <w:color w:val="auto"/>
        </w:rPr>
        <w:t>1.38</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Effect of Change in Accounting</w:t>
      </w:r>
    </w:p>
    <w:p>
      <w:pPr>
        <w:spacing w:after="0" w:line="7" w:lineRule="exact"/>
        <w:rPr>
          <w:sz w:val="20"/>
          <w:szCs w:val="20"/>
          <w:color w:val="auto"/>
        </w:rPr>
      </w:pPr>
    </w:p>
    <w:p>
      <w:pPr>
        <w:ind w:left="360"/>
        <w:spacing w:after="0"/>
        <w:tabs>
          <w:tab w:leader="none" w:pos="3520" w:val="left"/>
          <w:tab w:leader="none" w:pos="4820" w:val="left"/>
          <w:tab w:leader="none" w:pos="5840" w:val="left"/>
          <w:tab w:leader="none" w:pos="6880" w:val="left"/>
        </w:tabs>
        <w:rPr>
          <w:sz w:val="20"/>
          <w:szCs w:val="20"/>
          <w:color w:val="auto"/>
        </w:rPr>
      </w:pPr>
      <w:r>
        <w:rPr>
          <w:rFonts w:ascii="Courier New" w:cs="Courier New" w:eastAsia="Courier New" w:hAnsi="Courier New"/>
          <w:sz w:val="14"/>
          <w:szCs w:val="14"/>
          <w:color w:val="auto"/>
        </w:rPr>
        <w:t>Principle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tabs>
          <w:tab w:leader="none" w:pos="3080" w:val="left"/>
          <w:tab w:leader="none" w:pos="3600" w:val="left"/>
          <w:tab w:leader="none" w:pos="4380" w:val="left"/>
          <w:tab w:leader="none" w:pos="4820" w:val="left"/>
          <w:tab w:leader="none" w:pos="5420" w:val="left"/>
          <w:tab w:leader="none" w:pos="5840" w:val="left"/>
          <w:tab w:leader="none" w:pos="6440" w:val="left"/>
          <w:tab w:leader="none" w:pos="688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.79(b)</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1.51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1.32</w:t>
        <w:tab/>
        <w:t>$</w:t>
      </w:r>
      <w:r>
        <w:rPr>
          <w:sz w:val="20"/>
          <w:szCs w:val="20"/>
          <w:color w:val="auto"/>
        </w:rPr>
        <w:tab/>
      </w:r>
      <w:r>
        <w:rPr>
          <w:rFonts w:ascii="Courier New" w:cs="Courier New" w:eastAsia="Courier New" w:hAnsi="Courier New"/>
          <w:sz w:val="14"/>
          <w:szCs w:val="14"/>
          <w:color w:val="auto"/>
        </w:rPr>
        <w:t>1.38</w:t>
      </w:r>
    </w:p>
    <w:p>
      <w:pPr>
        <w:spacing w:after="0" w:line="7" w:lineRule="exact"/>
        <w:rPr>
          <w:sz w:val="20"/>
          <w:szCs w:val="20"/>
          <w:color w:val="auto"/>
        </w:rPr>
      </w:pPr>
    </w:p>
    <w:p>
      <w:pPr>
        <w:ind w:left="180" w:hanging="172"/>
        <w:spacing w:after="0"/>
        <w:tabs>
          <w:tab w:leader="none" w:pos="18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80" w:right="8079" w:hanging="172"/>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Assuming Full Dilution: Income Before Effect of</w:t>
      </w:r>
    </w:p>
    <w:p>
      <w:pPr>
        <w:spacing w:after="0" w:line="1" w:lineRule="exact"/>
        <w:rPr>
          <w:sz w:val="20"/>
          <w:szCs w:val="20"/>
          <w:color w:val="auto"/>
        </w:rPr>
      </w:pPr>
    </w:p>
    <w:p>
      <w:pPr>
        <w:ind w:left="360"/>
        <w:spacing w:after="0"/>
        <w:tabs>
          <w:tab w:leader="none" w:pos="3080" w:val="left"/>
          <w:tab w:leader="none" w:pos="3600" w:val="left"/>
          <w:tab w:leader="none" w:pos="4380" w:val="left"/>
          <w:tab w:leader="none" w:pos="4820" w:val="left"/>
          <w:tab w:leader="none" w:pos="5420" w:val="left"/>
          <w:tab w:leader="none" w:pos="5840" w:val="left"/>
          <w:tab w:leader="none" w:pos="6440" w:val="left"/>
          <w:tab w:leader="none" w:pos="6880" w:val="left"/>
        </w:tabs>
        <w:rPr>
          <w:sz w:val="20"/>
          <w:szCs w:val="20"/>
          <w:color w:val="auto"/>
        </w:rPr>
      </w:pPr>
      <w:r>
        <w:rPr>
          <w:rFonts w:ascii="Courier New" w:cs="Courier New" w:eastAsia="Courier New" w:hAnsi="Courier New"/>
          <w:sz w:val="14"/>
          <w:szCs w:val="14"/>
          <w:color w:val="auto"/>
        </w:rPr>
        <w:t>Accounting Change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1.30</w:t>
        <w:tab/>
        <w:t>$</w:t>
      </w:r>
      <w:r>
        <w:rPr>
          <w:sz w:val="20"/>
          <w:szCs w:val="20"/>
          <w:color w:val="auto"/>
        </w:rPr>
        <w:tab/>
      </w:r>
      <w:r>
        <w:rPr>
          <w:rFonts w:ascii="Courier New" w:cs="Courier New" w:eastAsia="Courier New" w:hAnsi="Courier New"/>
          <w:sz w:val="14"/>
          <w:szCs w:val="14"/>
          <w:color w:val="auto"/>
        </w:rPr>
        <w:t>1.37</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Effect of Change in Accounting</w:t>
      </w:r>
    </w:p>
    <w:p>
      <w:pPr>
        <w:spacing w:after="0" w:line="7" w:lineRule="exact"/>
        <w:rPr>
          <w:sz w:val="20"/>
          <w:szCs w:val="20"/>
          <w:color w:val="auto"/>
        </w:rPr>
      </w:pPr>
    </w:p>
    <w:p>
      <w:pPr>
        <w:ind w:left="360"/>
        <w:spacing w:after="0"/>
        <w:tabs>
          <w:tab w:leader="none" w:pos="3520" w:val="left"/>
          <w:tab w:leader="none" w:pos="4820" w:val="left"/>
          <w:tab w:leader="none" w:pos="5840" w:val="left"/>
          <w:tab w:leader="none" w:pos="6880" w:val="left"/>
        </w:tabs>
        <w:rPr>
          <w:sz w:val="20"/>
          <w:szCs w:val="20"/>
          <w:color w:val="auto"/>
        </w:rPr>
      </w:pPr>
      <w:r>
        <w:rPr>
          <w:rFonts w:ascii="Courier New" w:cs="Courier New" w:eastAsia="Courier New" w:hAnsi="Courier New"/>
          <w:sz w:val="14"/>
          <w:szCs w:val="14"/>
          <w:color w:val="auto"/>
        </w:rPr>
        <w:t>Principle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180"/>
        <w:spacing w:after="0"/>
        <w:tabs>
          <w:tab w:leader="none" w:pos="3080" w:val="left"/>
          <w:tab w:leader="none" w:pos="3600" w:val="left"/>
          <w:tab w:leader="none" w:pos="4380" w:val="left"/>
          <w:tab w:leader="none" w:pos="4820" w:val="left"/>
          <w:tab w:leader="none" w:pos="5420" w:val="left"/>
          <w:tab w:leader="none" w:pos="5840" w:val="left"/>
          <w:tab w:leader="none" w:pos="6440" w:val="left"/>
          <w:tab w:leader="none" w:pos="688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.79(b)</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1.30</w:t>
        <w:tab/>
        <w:t>$</w:t>
      </w:r>
      <w:r>
        <w:rPr>
          <w:sz w:val="20"/>
          <w:szCs w:val="20"/>
          <w:color w:val="auto"/>
        </w:rPr>
        <w:tab/>
      </w:r>
      <w:r>
        <w:rPr>
          <w:rFonts w:ascii="Courier New" w:cs="Courier New" w:eastAsia="Courier New" w:hAnsi="Courier New"/>
          <w:sz w:val="14"/>
          <w:szCs w:val="14"/>
          <w:color w:val="auto"/>
        </w:rPr>
        <w:t>1.37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Cash Dividends</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Declared Per Share   $</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w:t>
            </w:r>
          </w:p>
        </w:tc>
        <w:tc>
          <w:tcPr>
            <w:tcW w:w="3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w:t>
            </w:r>
          </w:p>
        </w:tc>
        <w:tc>
          <w:tcPr>
            <w:tcW w:w="3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Average Common</w:t>
            </w:r>
          </w:p>
        </w:tc>
        <w:tc>
          <w:tcPr>
            <w:tcW w:w="2060" w:type="dxa"/>
            <w:vAlign w:val="bottom"/>
          </w:tcPr>
          <w:p>
            <w:pPr>
              <w:ind w:left="40"/>
              <w:spacing w:after="0"/>
              <w:rPr>
                <w:sz w:val="20"/>
                <w:szCs w:val="20"/>
                <w:color w:val="auto"/>
              </w:rPr>
            </w:pPr>
            <w:r>
              <w:rPr>
                <w:rFonts w:ascii="Courier New" w:cs="Courier New" w:eastAsia="Courier New" w:hAnsi="Courier New"/>
                <w:sz w:val="14"/>
                <w:szCs w:val="14"/>
                <w:color w:val="auto"/>
              </w:rPr>
              <w:t>and Common</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33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Equivalent Shares</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433.3</w:t>
            </w:r>
          </w:p>
        </w:tc>
        <w:tc>
          <w:tcPr>
            <w:tcW w:w="48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440.4</w:t>
            </w:r>
          </w:p>
        </w:tc>
        <w:tc>
          <w:tcPr>
            <w:tcW w:w="36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448.8</w:t>
            </w:r>
          </w:p>
        </w:tc>
        <w:tc>
          <w:tcPr>
            <w:tcW w:w="3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448.1</w:t>
            </w:r>
          </w:p>
        </w:tc>
      </w:tr>
    </w:tbl>
    <w:p>
      <w:pPr>
        <w:sectPr>
          <w:pgSz w:w="11900" w:h="16880" w:orient="portrait"/>
          <w:cols w:equalWidth="0" w:num="1">
            <w:col w:w="10239"/>
          </w:cols>
          <w:pgMar w:left="220" w:top="285" w:right="1440" w:bottom="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Average Common Shares Assuming</w:t>
            </w:r>
          </w:p>
        </w:tc>
        <w:tc>
          <w:tcPr>
            <w:tcW w:w="1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Full Dilution</w:t>
            </w:r>
          </w:p>
        </w:tc>
        <w:tc>
          <w:tcPr>
            <w:tcW w:w="13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441.7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448.9</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459.2</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456.8</w:t>
            </w:r>
          </w:p>
        </w:tc>
      </w:tr>
    </w:tbl>
    <w:p>
      <w:pPr>
        <w:spacing w:after="0" w:line="4" w:lineRule="exact"/>
        <w:rPr>
          <w:sz w:val="20"/>
          <w:szCs w:val="20"/>
          <w:color w:val="auto"/>
        </w:rPr>
      </w:pPr>
    </w:p>
    <w:p>
      <w:pPr>
        <w:ind w:left="180" w:hanging="172"/>
        <w:spacing w:after="0"/>
        <w:tabs>
          <w:tab w:leader="none" w:pos="18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Stock Price Per Common Share:(c)</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High</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38.63</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40.00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40.88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   42.13</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Low</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33.63</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34.88</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34.50</w:t>
            </w: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Close</w:t>
            </w:r>
          </w:p>
        </w:tc>
        <w:tc>
          <w:tcPr>
            <w:tcW w:w="22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35.88</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35.00</w:t>
            </w:r>
          </w:p>
        </w:tc>
        <w:tc>
          <w:tcPr>
            <w:tcW w:w="1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36.38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ind w:right="3419" w:firstLine="8"/>
        <w:spacing w:after="0" w:line="255" w:lineRule="auto"/>
        <w:tabs>
          <w:tab w:leader="none" w:pos="344"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1, 1995, the Corporation adopted SFAS 106 for the accounting for other postretirement benefits relating to the Corporation's foreign plans.</w:t>
      </w:r>
    </w:p>
    <w:p>
      <w:pPr>
        <w:spacing w:after="0" w:line="159" w:lineRule="exact"/>
        <w:rPr>
          <w:rFonts w:ascii="Courier New" w:cs="Courier New" w:eastAsia="Courier New" w:hAnsi="Courier New"/>
          <w:sz w:val="14"/>
          <w:szCs w:val="14"/>
          <w:color w:val="auto"/>
        </w:rPr>
      </w:pPr>
    </w:p>
    <w:p>
      <w:pPr>
        <w:ind w:right="3339" w:firstLine="8"/>
        <w:spacing w:after="0" w:line="252" w:lineRule="auto"/>
        <w:tabs>
          <w:tab w:leader="none" w:pos="344"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Excluding the impact of the $417 million restructuring charge ($249 million after-tax) and the Federal tax benefits of $70 million recognized in the 1994 fourth quarter, pro forma net income was $582 million or $1.20 per primary share and $1.19 per fully-diluted share.</w:t>
      </w:r>
    </w:p>
    <w:p>
      <w:pPr>
        <w:spacing w:after="0" w:line="162" w:lineRule="exact"/>
        <w:rPr>
          <w:rFonts w:ascii="Courier New" w:cs="Courier New" w:eastAsia="Courier New" w:hAnsi="Courier New"/>
          <w:sz w:val="14"/>
          <w:szCs w:val="14"/>
          <w:color w:val="auto"/>
        </w:rPr>
      </w:pPr>
    </w:p>
    <w:p>
      <w:pPr>
        <w:ind w:right="3339" w:firstLine="8"/>
        <w:spacing w:after="0" w:line="252" w:lineRule="auto"/>
        <w:tabs>
          <w:tab w:leader="none" w:pos="344"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Corporation's common stock is listed and traded on the New York Stock Exchange and the International Stock Exchange of the United Kingdom and Republic of Ireland. The high, low and closing prices of the Corporation's common stock are from the New York Stock Exchange Composite Transaction Tape.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141"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4"/>
          <w:szCs w:val="14"/>
          <w:color w:val="auto"/>
        </w:rPr>
        <w:t>64</w:t>
      </w: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and Subsidiaries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AVERAGE CONSOLIDATED BALANCE</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SHEET, INTEREST AND RATES</w:t>
            </w:r>
          </w:p>
        </w:tc>
        <w:tc>
          <w:tcPr>
            <w:tcW w:w="266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497"/>
        </w:trPr>
        <w:tc>
          <w:tcPr>
            <w:tcW w:w="1680" w:type="dxa"/>
            <w:vAlign w:val="bottom"/>
          </w:tcPr>
          <w:p>
            <w:pPr>
              <w:spacing w:after="0"/>
              <w:rPr>
                <w:sz w:val="20"/>
                <w:szCs w:val="20"/>
                <w:color w:val="auto"/>
              </w:rPr>
            </w:pPr>
            <w:r>
              <w:rPr>
                <w:rFonts w:ascii="Courier New" w:cs="Courier New" w:eastAsia="Courier New" w:hAnsi="Courier New"/>
                <w:sz w:val="14"/>
                <w:szCs w:val="14"/>
                <w:color w:val="auto"/>
              </w:rPr>
              <w:t>Year Ended December</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31,</w:t>
            </w:r>
          </w:p>
        </w:tc>
        <w:tc>
          <w:tcPr>
            <w:tcW w:w="29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66"/>
        </w:trPr>
        <w:tc>
          <w:tcPr>
            <w:tcW w:w="1680" w:type="dxa"/>
            <w:vAlign w:val="bottom"/>
          </w:tcPr>
          <w:p>
            <w:pPr>
              <w:spacing w:after="0"/>
              <w:rPr>
                <w:sz w:val="20"/>
                <w:szCs w:val="20"/>
                <w:color w:val="auto"/>
              </w:rPr>
            </w:pPr>
            <w:r>
              <w:rPr>
                <w:rFonts w:ascii="Courier New" w:cs="Courier New" w:eastAsia="Courier New" w:hAnsi="Courier New"/>
                <w:sz w:val="14"/>
                <w:szCs w:val="14"/>
                <w:color w:val="auto"/>
              </w:rPr>
              <w:t>(Taxable-Equivalent</w:t>
            </w:r>
          </w:p>
        </w:tc>
        <w:tc>
          <w:tcPr>
            <w:tcW w:w="780" w:type="dxa"/>
            <w:vAlign w:val="bottom"/>
          </w:tcPr>
          <w:p>
            <w:pPr>
              <w:ind w:left="60"/>
              <w:spacing w:after="0"/>
              <w:rPr>
                <w:sz w:val="20"/>
                <w:szCs w:val="20"/>
                <w:color w:val="auto"/>
              </w:rPr>
            </w:pPr>
            <w:r>
              <w:rPr>
                <w:rFonts w:ascii="Courier New" w:cs="Courier New" w:eastAsia="Courier New" w:hAnsi="Courier New"/>
                <w:sz w:val="14"/>
                <w:szCs w:val="14"/>
                <w:color w:val="auto"/>
              </w:rPr>
              <w:t>Interest</w:t>
            </w:r>
          </w:p>
        </w:tc>
        <w:tc>
          <w:tcPr>
            <w:tcW w:w="2980" w:type="dxa"/>
            <w:vAlign w:val="bottom"/>
          </w:tcPr>
          <w:p>
            <w:pPr>
              <w:ind w:left="40"/>
              <w:spacing w:after="0"/>
              <w:rPr>
                <w:sz w:val="20"/>
                <w:szCs w:val="20"/>
                <w:color w:val="auto"/>
              </w:rPr>
            </w:pPr>
            <w:r>
              <w:rPr>
                <w:rFonts w:ascii="Courier New" w:cs="Courier New" w:eastAsia="Courier New" w:hAnsi="Courier New"/>
                <w:sz w:val="14"/>
                <w:szCs w:val="14"/>
                <w:color w:val="auto"/>
              </w:rPr>
              <w:t>and Rates; in millions)</w:t>
            </w:r>
          </w:p>
        </w:tc>
        <w:tc>
          <w:tcPr>
            <w:tcW w:w="266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1995</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Balance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Interest</w:t>
            </w:r>
          </w:p>
        </w:tc>
        <w:tc>
          <w:tcPr>
            <w:tcW w:w="940" w:type="dxa"/>
            <w:vAlign w:val="bottom"/>
          </w:tcPr>
          <w:p>
            <w:pPr>
              <w:ind w:left="240"/>
              <w:spacing w:after="0"/>
              <w:rPr>
                <w:sz w:val="20"/>
                <w:szCs w:val="20"/>
                <w:color w:val="auto"/>
              </w:rPr>
            </w:pPr>
            <w:r>
              <w:rPr>
                <w:rFonts w:ascii="Courier New" w:cs="Courier New" w:eastAsia="Courier New" w:hAnsi="Courier New"/>
                <w:sz w:val="14"/>
                <w:szCs w:val="14"/>
                <w:color w:val="auto"/>
              </w:rPr>
              <w:t>Rate</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Balance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Interest</w:t>
            </w:r>
          </w:p>
        </w:tc>
        <w:tc>
          <w:tcPr>
            <w:tcW w:w="860" w:type="dxa"/>
            <w:vAlign w:val="bottom"/>
          </w:tcPr>
          <w:p>
            <w:pPr>
              <w:ind w:left="240"/>
              <w:spacing w:after="0"/>
              <w:rPr>
                <w:sz w:val="20"/>
                <w:szCs w:val="20"/>
                <w:color w:val="auto"/>
              </w:rPr>
            </w:pPr>
            <w:r>
              <w:rPr>
                <w:rFonts w:ascii="Courier New" w:cs="Courier New" w:eastAsia="Courier New" w:hAnsi="Courier New"/>
                <w:sz w:val="14"/>
                <w:szCs w:val="14"/>
                <w:color w:val="auto"/>
              </w:rPr>
              <w:t>Rate</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Deposits with Banks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10,877</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824</w:t>
            </w:r>
          </w:p>
        </w:tc>
        <w:tc>
          <w:tcPr>
            <w:tcW w:w="940" w:type="dxa"/>
            <w:vAlign w:val="bottom"/>
          </w:tcPr>
          <w:p>
            <w:pPr>
              <w:ind w:left="240"/>
              <w:spacing w:after="0"/>
              <w:rPr>
                <w:sz w:val="20"/>
                <w:szCs w:val="20"/>
                <w:color w:val="auto"/>
              </w:rPr>
            </w:pPr>
            <w:r>
              <w:rPr>
                <w:rFonts w:ascii="Courier New" w:cs="Courier New" w:eastAsia="Courier New" w:hAnsi="Courier New"/>
                <w:sz w:val="14"/>
                <w:szCs w:val="14"/>
                <w:color w:val="auto"/>
              </w:rPr>
              <w:t>7.58%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12,478</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869</w:t>
            </w:r>
          </w:p>
        </w:tc>
        <w:tc>
          <w:tcPr>
            <w:tcW w:w="860" w:type="dxa"/>
            <w:vAlign w:val="bottom"/>
          </w:tcPr>
          <w:p>
            <w:pPr>
              <w:ind w:left="240"/>
              <w:spacing w:after="0"/>
              <w:rPr>
                <w:sz w:val="20"/>
                <w:szCs w:val="20"/>
                <w:color w:val="auto"/>
              </w:rPr>
            </w:pPr>
            <w:r>
              <w:rPr>
                <w:rFonts w:ascii="Courier New" w:cs="Courier New" w:eastAsia="Courier New" w:hAnsi="Courier New"/>
                <w:sz w:val="14"/>
                <w:szCs w:val="14"/>
                <w:color w:val="auto"/>
              </w:rPr>
              <w:t>6.96%</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Federal Funds Sold and Securities Purchased</w:t>
            </w: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Under Resale Agreements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29,465</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1,889</w:t>
            </w:r>
          </w:p>
        </w:tc>
        <w:tc>
          <w:tcPr>
            <w:tcW w:w="940" w:type="dxa"/>
            <w:vAlign w:val="bottom"/>
          </w:tcPr>
          <w:p>
            <w:pPr>
              <w:ind w:left="240"/>
              <w:spacing w:after="0"/>
              <w:rPr>
                <w:sz w:val="20"/>
                <w:szCs w:val="20"/>
                <w:color w:val="auto"/>
              </w:rPr>
            </w:pPr>
            <w:r>
              <w:rPr>
                <w:rFonts w:ascii="Courier New" w:cs="Courier New" w:eastAsia="Courier New" w:hAnsi="Courier New"/>
                <w:sz w:val="14"/>
                <w:szCs w:val="14"/>
                <w:color w:val="auto"/>
              </w:rPr>
              <w:t>6.41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25,333</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1,827</w:t>
            </w:r>
          </w:p>
        </w:tc>
        <w:tc>
          <w:tcPr>
            <w:tcW w:w="860" w:type="dxa"/>
            <w:vAlign w:val="bottom"/>
          </w:tcPr>
          <w:p>
            <w:pPr>
              <w:ind w:left="240"/>
              <w:spacing w:after="0"/>
              <w:rPr>
                <w:sz w:val="20"/>
                <w:szCs w:val="20"/>
                <w:color w:val="auto"/>
              </w:rPr>
            </w:pPr>
            <w:r>
              <w:rPr>
                <w:rFonts w:ascii="Courier New" w:cs="Courier New" w:eastAsia="Courier New" w:hAnsi="Courier New"/>
                <w:sz w:val="14"/>
                <w:szCs w:val="14"/>
                <w:color w:val="auto"/>
              </w:rPr>
              <w:t>7.21</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Trading Assets-Debt and Equity Instruments</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20,935</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1,464</w:t>
            </w:r>
          </w:p>
        </w:tc>
        <w:tc>
          <w:tcPr>
            <w:tcW w:w="940" w:type="dxa"/>
            <w:vAlign w:val="bottom"/>
          </w:tcPr>
          <w:p>
            <w:pPr>
              <w:ind w:left="240"/>
              <w:spacing w:after="0"/>
              <w:rPr>
                <w:sz w:val="20"/>
                <w:szCs w:val="20"/>
                <w:color w:val="auto"/>
              </w:rPr>
            </w:pPr>
            <w:r>
              <w:rPr>
                <w:rFonts w:ascii="Courier New" w:cs="Courier New" w:eastAsia="Courier New" w:hAnsi="Courier New"/>
                <w:sz w:val="14"/>
                <w:szCs w:val="14"/>
                <w:color w:val="auto"/>
              </w:rPr>
              <w:t>6.99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19,436</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1,282</w:t>
            </w:r>
          </w:p>
        </w:tc>
        <w:tc>
          <w:tcPr>
            <w:tcW w:w="860" w:type="dxa"/>
            <w:vAlign w:val="bottom"/>
          </w:tcPr>
          <w:p>
            <w:pPr>
              <w:ind w:left="240"/>
              <w:spacing w:after="0"/>
              <w:rPr>
                <w:sz w:val="20"/>
                <w:szCs w:val="20"/>
                <w:color w:val="auto"/>
              </w:rPr>
            </w:pPr>
            <w:r>
              <w:rPr>
                <w:rFonts w:ascii="Courier New" w:cs="Courier New" w:eastAsia="Courier New" w:hAnsi="Courier New"/>
                <w:sz w:val="14"/>
                <w:szCs w:val="14"/>
                <w:color w:val="auto"/>
              </w:rPr>
              <w:t>6.60</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6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Available-for-Sale</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26,946</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1,948</w:t>
            </w:r>
          </w:p>
        </w:tc>
        <w:tc>
          <w:tcPr>
            <w:tcW w:w="940" w:type="dxa"/>
            <w:vAlign w:val="bottom"/>
          </w:tcPr>
          <w:p>
            <w:pPr>
              <w:ind w:left="240"/>
              <w:spacing w:after="0"/>
              <w:rPr>
                <w:sz w:val="20"/>
                <w:szCs w:val="20"/>
                <w:color w:val="auto"/>
              </w:rPr>
            </w:pPr>
            <w:r>
              <w:rPr>
                <w:rFonts w:ascii="Courier New" w:cs="Courier New" w:eastAsia="Courier New" w:hAnsi="Courier New"/>
                <w:sz w:val="14"/>
                <w:szCs w:val="14"/>
                <w:color w:val="auto"/>
              </w:rPr>
              <w:t>7.23(a)</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22,399</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1,575</w:t>
            </w:r>
          </w:p>
        </w:tc>
        <w:tc>
          <w:tcPr>
            <w:tcW w:w="860" w:type="dxa"/>
            <w:vAlign w:val="bottom"/>
          </w:tcPr>
          <w:p>
            <w:pPr>
              <w:ind w:left="240"/>
              <w:spacing w:after="0"/>
              <w:rPr>
                <w:sz w:val="20"/>
                <w:szCs w:val="20"/>
                <w:color w:val="auto"/>
              </w:rPr>
            </w:pPr>
            <w:r>
              <w:rPr>
                <w:rFonts w:ascii="Courier New" w:cs="Courier New" w:eastAsia="Courier New" w:hAnsi="Courier New"/>
                <w:sz w:val="14"/>
                <w:szCs w:val="14"/>
                <w:color w:val="auto"/>
              </w:rPr>
              <w:t>7.03(a)</w:t>
            </w:r>
          </w:p>
        </w:tc>
      </w:tr>
      <w:tr>
        <w:trPr>
          <w:trHeight w:val="166"/>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Held-to-Maturity</w:t>
            </w:r>
          </w:p>
        </w:tc>
        <w:tc>
          <w:tcPr>
            <w:tcW w:w="1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9,756</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667</w:t>
            </w:r>
          </w:p>
        </w:tc>
        <w:tc>
          <w:tcPr>
            <w:tcW w:w="940" w:type="dxa"/>
            <w:vAlign w:val="bottom"/>
          </w:tcPr>
          <w:p>
            <w:pPr>
              <w:ind w:left="240"/>
              <w:spacing w:after="0"/>
              <w:rPr>
                <w:sz w:val="20"/>
                <w:szCs w:val="20"/>
                <w:color w:val="auto"/>
              </w:rPr>
            </w:pPr>
            <w:r>
              <w:rPr>
                <w:rFonts w:ascii="Courier New" w:cs="Courier New" w:eastAsia="Courier New" w:hAnsi="Courier New"/>
                <w:sz w:val="14"/>
                <w:szCs w:val="14"/>
                <w:color w:val="auto"/>
              </w:rPr>
              <w:t>6.84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10,911</w:t>
            </w:r>
          </w:p>
        </w:tc>
        <w:tc>
          <w:tcPr>
            <w:tcW w:w="12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779</w:t>
            </w:r>
          </w:p>
        </w:tc>
        <w:tc>
          <w:tcPr>
            <w:tcW w:w="860" w:type="dxa"/>
            <w:vAlign w:val="bottom"/>
          </w:tcPr>
          <w:p>
            <w:pPr>
              <w:ind w:left="240"/>
              <w:spacing w:after="0"/>
              <w:rPr>
                <w:sz w:val="20"/>
                <w:szCs w:val="20"/>
                <w:color w:val="auto"/>
              </w:rPr>
            </w:pPr>
            <w:r>
              <w:rPr>
                <w:rFonts w:ascii="Courier New" w:cs="Courier New" w:eastAsia="Courier New" w:hAnsi="Courier New"/>
                <w:sz w:val="14"/>
                <w:szCs w:val="14"/>
                <w:color w:val="auto"/>
              </w:rPr>
              <w:t>7.14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Total Securities</w:t>
            </w:r>
          </w:p>
        </w:tc>
        <w:tc>
          <w:tcPr>
            <w:tcW w:w="2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36,702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2,615</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7.12</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33,310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2,354</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Domestic Loans</w:t>
            </w:r>
          </w:p>
        </w:tc>
        <w:tc>
          <w:tcPr>
            <w:tcW w:w="2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110,752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9,725</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8.78</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101,440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8,258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8.14</w:t>
            </w:r>
          </w:p>
        </w:tc>
      </w:tr>
      <w:tr>
        <w:trPr>
          <w:trHeight w:val="166"/>
        </w:trPr>
        <w:tc>
          <w:tcPr>
            <w:tcW w:w="3060" w:type="dxa"/>
            <w:vAlign w:val="bottom"/>
          </w:tcPr>
          <w:p>
            <w:pPr>
              <w:spacing w:after="0"/>
              <w:rPr>
                <w:sz w:val="20"/>
                <w:szCs w:val="20"/>
                <w:color w:val="auto"/>
              </w:rPr>
            </w:pPr>
            <w:r>
              <w:rPr>
                <w:rFonts w:ascii="Courier New" w:cs="Courier New" w:eastAsia="Courier New" w:hAnsi="Courier New"/>
                <w:sz w:val="14"/>
                <w:szCs w:val="14"/>
                <w:color w:val="auto"/>
              </w:rPr>
              <w:t>Foreign Loans</w:t>
            </w:r>
          </w:p>
        </w:tc>
        <w:tc>
          <w:tcPr>
            <w:tcW w:w="28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35,776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3,138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8.77</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35,273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20"/>
                <w:szCs w:val="20"/>
                <w:color w:val="auto"/>
              </w:rPr>
            </w:pPr>
            <w:r>
              <w:rPr>
                <w:rFonts w:ascii="Courier New" w:cs="Courier New" w:eastAsia="Courier New" w:hAnsi="Courier New"/>
                <w:sz w:val="14"/>
                <w:szCs w:val="14"/>
                <w:color w:val="auto"/>
              </w:rPr>
              <w:t>Total Loans</w:t>
            </w:r>
          </w:p>
        </w:tc>
        <w:tc>
          <w:tcPr>
            <w:tcW w:w="29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146,528</w:t>
            </w:r>
          </w:p>
        </w:tc>
        <w:tc>
          <w:tcPr>
            <w:tcW w:w="1300" w:type="dxa"/>
            <w:vAlign w:val="bottom"/>
          </w:tcPr>
          <w:p>
            <w:pPr>
              <w:ind w:left="360"/>
              <w:spacing w:after="0"/>
              <w:rPr>
                <w:sz w:val="20"/>
                <w:szCs w:val="20"/>
                <w:color w:val="auto"/>
              </w:rPr>
            </w:pPr>
            <w:r>
              <w:rPr>
                <w:rFonts w:ascii="Courier New" w:cs="Courier New" w:eastAsia="Courier New" w:hAnsi="Courier New"/>
                <w:sz w:val="14"/>
                <w:szCs w:val="14"/>
                <w:color w:val="auto"/>
              </w:rPr>
              <w:t>12,863(b)</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8.78</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136,713</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11,028(b)</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Total Interest-Earning Assets</w:t>
            </w:r>
          </w:p>
        </w:tc>
        <w:tc>
          <w:tcPr>
            <w:tcW w:w="2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244,507</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19,655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8.04%</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227,270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17,360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Allowance for Credit Losses</w:t>
            </w:r>
          </w:p>
        </w:tc>
        <w:tc>
          <w:tcPr>
            <w:tcW w:w="2660" w:type="dxa"/>
            <w:vAlign w:val="bottom"/>
          </w:tcPr>
          <w:p>
            <w:pPr>
              <w:ind w:left="680"/>
              <w:spacing w:after="0"/>
              <w:rPr>
                <w:sz w:val="20"/>
                <w:szCs w:val="20"/>
                <w:color w:val="auto"/>
              </w:rPr>
            </w:pPr>
            <w:r>
              <w:rPr>
                <w:rFonts w:ascii="Courier New" w:cs="Courier New" w:eastAsia="Courier New" w:hAnsi="Courier New"/>
                <w:sz w:val="14"/>
                <w:szCs w:val="14"/>
                <w:color w:val="auto"/>
              </w:rPr>
              <w:t>(3,840)</w:t>
            </w:r>
          </w:p>
        </w:tc>
        <w:tc>
          <w:tcPr>
            <w:tcW w:w="2840" w:type="dxa"/>
            <w:vAlign w:val="bottom"/>
          </w:tcPr>
          <w:p>
            <w:pPr>
              <w:ind w:left="1380"/>
              <w:spacing w:after="0"/>
              <w:rPr>
                <w:sz w:val="20"/>
                <w:szCs w:val="20"/>
                <w:color w:val="auto"/>
              </w:rPr>
            </w:pPr>
            <w:r>
              <w:rPr>
                <w:rFonts w:ascii="Courier New" w:cs="Courier New" w:eastAsia="Courier New" w:hAnsi="Courier New"/>
                <w:sz w:val="14"/>
                <w:szCs w:val="14"/>
                <w:color w:val="auto"/>
              </w:rPr>
              <w:t>(4,302)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Cash and Due from Banks</w:t>
            </w:r>
          </w:p>
        </w:tc>
        <w:tc>
          <w:tcPr>
            <w:tcW w:w="2660" w:type="dxa"/>
            <w:vAlign w:val="bottom"/>
          </w:tcPr>
          <w:p>
            <w:pPr>
              <w:ind w:left="680"/>
              <w:spacing w:after="0"/>
              <w:rPr>
                <w:sz w:val="20"/>
                <w:szCs w:val="20"/>
                <w:color w:val="auto"/>
              </w:rPr>
            </w:pPr>
            <w:r>
              <w:rPr>
                <w:rFonts w:ascii="Courier New" w:cs="Courier New" w:eastAsia="Courier New" w:hAnsi="Courier New"/>
                <w:sz w:val="14"/>
                <w:szCs w:val="14"/>
                <w:color w:val="auto"/>
              </w:rPr>
              <w:t>13,874</w:t>
            </w:r>
          </w:p>
        </w:tc>
        <w:tc>
          <w:tcPr>
            <w:tcW w:w="2840" w:type="dxa"/>
            <w:vAlign w:val="bottom"/>
          </w:tcPr>
          <w:p>
            <w:pPr>
              <w:ind w:left="1380"/>
              <w:spacing w:after="0"/>
              <w:rPr>
                <w:sz w:val="20"/>
                <w:szCs w:val="20"/>
                <w:color w:val="auto"/>
              </w:rPr>
            </w:pPr>
            <w:r>
              <w:rPr>
                <w:rFonts w:ascii="Courier New" w:cs="Courier New" w:eastAsia="Courier New" w:hAnsi="Courier New"/>
                <w:sz w:val="14"/>
                <w:szCs w:val="14"/>
                <w:color w:val="auto"/>
              </w:rPr>
              <w:t>14,541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Trading Assets-Risk Management Instruments</w:t>
            </w:r>
          </w:p>
        </w:tc>
        <w:tc>
          <w:tcPr>
            <w:tcW w:w="2660" w:type="dxa"/>
            <w:vAlign w:val="bottom"/>
          </w:tcPr>
          <w:p>
            <w:pPr>
              <w:ind w:left="680"/>
              <w:spacing w:after="0"/>
              <w:rPr>
                <w:sz w:val="20"/>
                <w:szCs w:val="20"/>
                <w:color w:val="auto"/>
              </w:rPr>
            </w:pPr>
            <w:r>
              <w:rPr>
                <w:rFonts w:ascii="Courier New" w:cs="Courier New" w:eastAsia="Courier New" w:hAnsi="Courier New"/>
                <w:sz w:val="14"/>
                <w:szCs w:val="14"/>
                <w:color w:val="auto"/>
              </w:rPr>
              <w:t>30,397</w:t>
            </w:r>
          </w:p>
        </w:tc>
        <w:tc>
          <w:tcPr>
            <w:tcW w:w="2840" w:type="dxa"/>
            <w:vAlign w:val="bottom"/>
          </w:tcPr>
          <w:p>
            <w:pPr>
              <w:ind w:left="1380"/>
              <w:spacing w:after="0"/>
              <w:rPr>
                <w:sz w:val="20"/>
                <w:szCs w:val="20"/>
                <w:color w:val="auto"/>
              </w:rPr>
            </w:pPr>
            <w:r>
              <w:rPr>
                <w:rFonts w:ascii="Courier New" w:cs="Courier New" w:eastAsia="Courier New" w:hAnsi="Courier New"/>
                <w:sz w:val="14"/>
                <w:szCs w:val="14"/>
                <w:color w:val="auto"/>
              </w:rPr>
              <w:t>27,956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All Other Assets</w:t>
            </w:r>
          </w:p>
        </w:tc>
        <w:tc>
          <w:tcPr>
            <w:tcW w:w="2660" w:type="dxa"/>
            <w:vAlign w:val="bottom"/>
          </w:tcPr>
          <w:p>
            <w:pPr>
              <w:ind w:left="680"/>
              <w:spacing w:after="0"/>
              <w:rPr>
                <w:sz w:val="20"/>
                <w:szCs w:val="20"/>
                <w:color w:val="auto"/>
              </w:rPr>
            </w:pPr>
            <w:r>
              <w:rPr>
                <w:rFonts w:ascii="Courier New" w:cs="Courier New" w:eastAsia="Courier New" w:hAnsi="Courier New"/>
                <w:sz w:val="14"/>
                <w:szCs w:val="14"/>
                <w:color w:val="auto"/>
              </w:rPr>
              <w:t>22,447</w:t>
            </w:r>
          </w:p>
        </w:tc>
        <w:tc>
          <w:tcPr>
            <w:tcW w:w="2840" w:type="dxa"/>
            <w:vAlign w:val="bottom"/>
          </w:tcPr>
          <w:p>
            <w:pPr>
              <w:ind w:left="1380"/>
              <w:spacing w:after="0"/>
              <w:rPr>
                <w:sz w:val="20"/>
                <w:szCs w:val="20"/>
                <w:color w:val="auto"/>
              </w:rPr>
            </w:pPr>
            <w:r>
              <w:rPr>
                <w:rFonts w:ascii="Courier New" w:cs="Courier New" w:eastAsia="Courier New" w:hAnsi="Courier New"/>
                <w:sz w:val="14"/>
                <w:szCs w:val="14"/>
                <w:color w:val="auto"/>
              </w:rPr>
              <w:t>21,608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720" w:val="left"/>
          <w:tab w:leader="none" w:pos="8080" w:val="left"/>
          <w:tab w:leader="none" w:pos="10660" w:val="left"/>
        </w:tabs>
        <w:rPr>
          <w:sz w:val="20"/>
          <w:szCs w:val="20"/>
          <w:color w:val="auto"/>
        </w:rPr>
      </w:pPr>
      <w:r>
        <w:rPr>
          <w:rFonts w:ascii="Courier New" w:cs="Courier New" w:eastAsia="Courier New" w:hAnsi="Courier New"/>
          <w:sz w:val="14"/>
          <w:szCs w:val="14"/>
          <w:color w:val="auto"/>
        </w:rPr>
        <w:t>Total Assets</w:t>
      </w:r>
      <w:r>
        <w:rPr>
          <w:sz w:val="20"/>
          <w:szCs w:val="20"/>
          <w:color w:val="auto"/>
        </w:rPr>
        <w:tab/>
      </w:r>
      <w:r>
        <w:rPr>
          <w:rFonts w:ascii="Courier New" w:cs="Courier New" w:eastAsia="Courier New" w:hAnsi="Courier New"/>
          <w:sz w:val="14"/>
          <w:szCs w:val="14"/>
          <w:color w:val="auto"/>
        </w:rPr>
        <w:t>$ 307,385</w:t>
      </w:r>
      <w:r>
        <w:rPr>
          <w:sz w:val="20"/>
          <w:szCs w:val="20"/>
          <w:color w:val="auto"/>
        </w:rPr>
        <w:tab/>
      </w:r>
      <w:r>
        <w:rPr>
          <w:rFonts w:ascii="Courier New" w:cs="Courier New" w:eastAsia="Courier New" w:hAnsi="Courier New"/>
          <w:sz w:val="14"/>
          <w:szCs w:val="14"/>
          <w:color w:val="auto"/>
        </w:rPr>
        <w:t>$ 287,073</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180" w:hanging="172"/>
        <w:spacing w:after="0"/>
        <w:tabs>
          <w:tab w:leader="none" w:pos="18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gridSpan w:val="4"/>
          </w:tcPr>
          <w:p>
            <w:pPr>
              <w:spacing w:after="0"/>
              <w:rPr>
                <w:sz w:val="20"/>
                <w:szCs w:val="20"/>
                <w:color w:val="auto"/>
              </w:rPr>
            </w:pPr>
            <w:r>
              <w:rPr>
                <w:rFonts w:ascii="Courier New" w:cs="Courier New" w:eastAsia="Courier New" w:hAnsi="Courier New"/>
                <w:sz w:val="14"/>
                <w:szCs w:val="14"/>
                <w:color w:val="auto"/>
              </w:rPr>
              <w:t>Domestic Retail Deposits</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55,389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1,962</w:t>
            </w:r>
          </w:p>
        </w:tc>
        <w:tc>
          <w:tcPr>
            <w:tcW w:w="920" w:type="dxa"/>
            <w:vAlign w:val="bottom"/>
          </w:tcPr>
          <w:p>
            <w:pPr>
              <w:ind w:left="300"/>
              <w:spacing w:after="0"/>
              <w:rPr>
                <w:sz w:val="20"/>
                <w:szCs w:val="20"/>
                <w:color w:val="auto"/>
              </w:rPr>
            </w:pPr>
            <w:r>
              <w:rPr>
                <w:rFonts w:ascii="Courier New" w:cs="Courier New" w:eastAsia="Courier New" w:hAnsi="Courier New"/>
                <w:sz w:val="14"/>
                <w:szCs w:val="14"/>
                <w:color w:val="auto"/>
              </w:rPr>
              <w:t>3.54%</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60,043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1,486</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w w:val="99"/>
              </w:rPr>
              <w:t>2.47%</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Domestic</w:t>
            </w:r>
          </w:p>
        </w:tc>
        <w:tc>
          <w:tcPr>
            <w:tcW w:w="100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Negotiable</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Certificates of Deposit</w:t>
            </w:r>
          </w:p>
        </w:tc>
        <w:tc>
          <w:tcPr>
            <w:tcW w:w="1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and Other</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Deposits</w:t>
            </w:r>
          </w:p>
        </w:tc>
        <w:tc>
          <w:tcPr>
            <w:tcW w:w="2480" w:type="dxa"/>
            <w:vAlign w:val="bottom"/>
          </w:tcPr>
          <w:p>
            <w:pPr>
              <w:spacing w:after="0"/>
              <w:rPr>
                <w:sz w:val="14"/>
                <w:szCs w:val="14"/>
                <w:color w:val="auto"/>
              </w:rPr>
            </w:pP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11,831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624</w:t>
            </w:r>
          </w:p>
        </w:tc>
        <w:tc>
          <w:tcPr>
            <w:tcW w:w="920" w:type="dxa"/>
            <w:vAlign w:val="bottom"/>
          </w:tcPr>
          <w:p>
            <w:pPr>
              <w:ind w:left="300"/>
              <w:spacing w:after="0"/>
              <w:rPr>
                <w:sz w:val="20"/>
                <w:szCs w:val="20"/>
                <w:color w:val="auto"/>
              </w:rPr>
            </w:pPr>
            <w:r>
              <w:rPr>
                <w:rFonts w:ascii="Courier New" w:cs="Courier New" w:eastAsia="Courier New" w:hAnsi="Courier New"/>
                <w:sz w:val="14"/>
                <w:szCs w:val="14"/>
                <w:color w:val="auto"/>
              </w:rPr>
              <w:t>5.27</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12,973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578</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rPr>
              <w:t>4.46</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Foreign</w:t>
            </w:r>
          </w:p>
        </w:tc>
        <w:tc>
          <w:tcPr>
            <w:tcW w:w="2480" w:type="dxa"/>
            <w:vAlign w:val="bottom"/>
          </w:tcPr>
          <w:p>
            <w:pPr>
              <w:spacing w:after="0"/>
              <w:rPr>
                <w:sz w:val="20"/>
                <w:szCs w:val="20"/>
                <w:color w:val="auto"/>
              </w:rPr>
            </w:pPr>
            <w:r>
              <w:rPr>
                <w:rFonts w:ascii="Courier New" w:cs="Courier New" w:eastAsia="Courier New" w:hAnsi="Courier New"/>
                <w:sz w:val="14"/>
                <w:szCs w:val="14"/>
                <w:color w:val="auto"/>
              </w:rPr>
              <w:t>Offices</w:t>
            </w:r>
          </w:p>
        </w:tc>
        <w:tc>
          <w:tcPr>
            <w:tcW w:w="16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65,276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3,705</w:t>
            </w:r>
          </w:p>
        </w:tc>
        <w:tc>
          <w:tcPr>
            <w:tcW w:w="920" w:type="dxa"/>
            <w:vAlign w:val="bottom"/>
          </w:tcPr>
          <w:p>
            <w:pPr>
              <w:ind w:left="300"/>
              <w:spacing w:after="0"/>
              <w:rPr>
                <w:sz w:val="20"/>
                <w:szCs w:val="20"/>
                <w:color w:val="auto"/>
              </w:rPr>
            </w:pPr>
            <w:r>
              <w:rPr>
                <w:rFonts w:ascii="Courier New" w:cs="Courier New" w:eastAsia="Courier New" w:hAnsi="Courier New"/>
                <w:sz w:val="14"/>
                <w:szCs w:val="14"/>
                <w:color w:val="auto"/>
              </w:rPr>
              <w:t>5.68</w:t>
            </w:r>
          </w:p>
        </w:tc>
        <w:tc>
          <w:tcPr>
            <w:tcW w:w="13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56,106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2,640</w:t>
            </w:r>
          </w:p>
        </w:tc>
        <w:tc>
          <w:tcPr>
            <w:tcW w:w="740" w:type="dxa"/>
            <w:vAlign w:val="bottom"/>
          </w:tcPr>
          <w:p>
            <w:pPr>
              <w:ind w:left="300"/>
              <w:spacing w:after="0"/>
              <w:rPr>
                <w:sz w:val="20"/>
                <w:szCs w:val="20"/>
                <w:color w:val="auto"/>
              </w:rPr>
            </w:pPr>
            <w:r>
              <w:rPr>
                <w:rFonts w:ascii="Courier New" w:cs="Courier New" w:eastAsia="Courier New" w:hAnsi="Courier New"/>
                <w:sz w:val="14"/>
                <w:szCs w:val="14"/>
                <w:color w:val="auto"/>
              </w:rPr>
              <w:t>4.71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Total Time and Savings Deposits</w:t>
            </w:r>
          </w:p>
        </w:tc>
        <w:tc>
          <w:tcPr>
            <w:tcW w:w="21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132,496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6,291</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4.75</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129,122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4,704</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3.64</w:t>
            </w:r>
          </w:p>
        </w:tc>
      </w:tr>
    </w:tbl>
    <w:p>
      <w:pPr>
        <w:spacing w:after="0" w:line="4" w:lineRule="exact"/>
        <w:rPr>
          <w:sz w:val="20"/>
          <w:szCs w:val="20"/>
          <w:color w:val="auto"/>
        </w:rPr>
      </w:pPr>
    </w:p>
    <w:p>
      <w:pPr>
        <w:ind w:left="180" w:hanging="172"/>
        <w:spacing w:after="0"/>
        <w:tabs>
          <w:tab w:leader="none" w:pos="18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Short-Term and Other Borrowings:</w:t>
      </w:r>
    </w:p>
    <w:p>
      <w:pPr>
        <w:spacing w:after="0" w:line="7"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Federal Funds Purchased and Securities Sold</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Under Repurchase Agreements</w:t>
            </w:r>
          </w:p>
        </w:tc>
        <w:tc>
          <w:tcPr>
            <w:tcW w:w="2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44,720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2,686</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6.01</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34,419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4.66</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2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5,672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5.77</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4,403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4.25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All Other Borrowings(c)</w:t>
            </w:r>
          </w:p>
        </w:tc>
        <w:tc>
          <w:tcPr>
            <w:tcW w:w="20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13,033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1,162</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8.92</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13,029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12.72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Short-Term and Other Borrowings</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63,425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4,175</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6.58</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51,851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3,447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6.65</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8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13,080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942</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7.20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13,628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Total Interest-Bearing Liabilities</w:t>
            </w:r>
          </w:p>
        </w:tc>
        <w:tc>
          <w:tcPr>
            <w:tcW w:w="1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209,001</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11,408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5.46</w:t>
            </w:r>
          </w:p>
        </w:tc>
        <w:tc>
          <w:tcPr>
            <w:tcW w:w="12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194,601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8,999</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Demand Deposits</w:t>
            </w:r>
          </w:p>
        </w:tc>
        <w:tc>
          <w:tcPr>
            <w:tcW w:w="240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35,815</w:t>
            </w:r>
          </w:p>
        </w:tc>
        <w:tc>
          <w:tcPr>
            <w:tcW w:w="28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37,580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Trading Liabilities-Risk Management Instruments</w:t>
            </w:r>
          </w:p>
        </w:tc>
        <w:tc>
          <w:tcPr>
            <w:tcW w:w="240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31,665</w:t>
            </w:r>
          </w:p>
        </w:tc>
        <w:tc>
          <w:tcPr>
            <w:tcW w:w="28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25,918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40" w:type="dxa"/>
            <w:vAlign w:val="bottom"/>
          </w:tcPr>
          <w:p>
            <w:pPr>
              <w:spacing w:after="0"/>
              <w:rPr>
                <w:sz w:val="20"/>
                <w:szCs w:val="20"/>
                <w:color w:val="auto"/>
              </w:rPr>
            </w:pPr>
            <w:r>
              <w:rPr>
                <w:rFonts w:ascii="Courier New" w:cs="Courier New" w:eastAsia="Courier New" w:hAnsi="Courier New"/>
                <w:sz w:val="14"/>
                <w:szCs w:val="14"/>
                <w:color w:val="auto"/>
              </w:rPr>
              <w:t>All Other Liabilities</w:t>
            </w:r>
          </w:p>
        </w:tc>
        <w:tc>
          <w:tcPr>
            <w:tcW w:w="240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11,261</w:t>
            </w:r>
          </w:p>
        </w:tc>
        <w:tc>
          <w:tcPr>
            <w:tcW w:w="28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9,932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900" w:val="left"/>
          <w:tab w:leader="none" w:pos="8260" w:val="left"/>
          <w:tab w:leader="none" w:pos="10660" w:val="left"/>
        </w:tabs>
        <w:rPr>
          <w:sz w:val="20"/>
          <w:szCs w:val="20"/>
          <w:color w:val="auto"/>
        </w:rPr>
      </w:pPr>
      <w:r>
        <w:rPr>
          <w:rFonts w:ascii="Courier New" w:cs="Courier New" w:eastAsia="Courier New" w:hAnsi="Courier New"/>
          <w:sz w:val="14"/>
          <w:szCs w:val="14"/>
          <w:color w:val="auto"/>
        </w:rPr>
        <w:t>Total Liabilities</w:t>
      </w:r>
      <w:r>
        <w:rPr>
          <w:sz w:val="20"/>
          <w:szCs w:val="20"/>
          <w:color w:val="auto"/>
        </w:rPr>
        <w:tab/>
      </w:r>
      <w:r>
        <w:rPr>
          <w:rFonts w:ascii="Courier New" w:cs="Courier New" w:eastAsia="Courier New" w:hAnsi="Courier New"/>
          <w:sz w:val="14"/>
          <w:szCs w:val="14"/>
          <w:color w:val="auto"/>
        </w:rPr>
        <w:t>287,742</w:t>
      </w:r>
      <w:r>
        <w:rPr>
          <w:sz w:val="20"/>
          <w:szCs w:val="20"/>
          <w:color w:val="auto"/>
        </w:rPr>
        <w:tab/>
      </w:r>
      <w:r>
        <w:rPr>
          <w:rFonts w:ascii="Courier New" w:cs="Courier New" w:eastAsia="Courier New" w:hAnsi="Courier New"/>
          <w:sz w:val="14"/>
          <w:szCs w:val="14"/>
          <w:color w:val="auto"/>
        </w:rPr>
        <w:t>268,031</w:t>
      </w:r>
      <w:r>
        <w:rPr>
          <w:sz w:val="20"/>
          <w:szCs w:val="20"/>
          <w:color w:val="auto"/>
        </w:rPr>
        <w:tab/>
      </w:r>
      <w:r>
        <w:rPr>
          <w:rFonts w:ascii="Courier New" w:cs="Courier New" w:eastAsia="Courier New" w:hAnsi="Courier New"/>
          <w:sz w:val="14"/>
          <w:szCs w:val="14"/>
          <w:color w:val="auto"/>
        </w:rPr>
        <w:t>--</w:t>
      </w:r>
    </w:p>
    <w:p>
      <w:pPr>
        <w:spacing w:after="0" w:line="7" w:lineRule="exact"/>
        <w:rPr>
          <w:sz w:val="20"/>
          <w:szCs w:val="20"/>
          <w:color w:val="auto"/>
        </w:rPr>
      </w:pPr>
    </w:p>
    <w:p>
      <w:pPr>
        <w:ind w:left="180" w:hanging="172"/>
        <w:spacing w:after="0"/>
        <w:tabs>
          <w:tab w:leader="none" w:pos="18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Preferred Stock</w:t>
            </w:r>
          </w:p>
        </w:tc>
        <w:tc>
          <w:tcPr>
            <w:tcW w:w="32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2,730</w:t>
            </w:r>
          </w:p>
        </w:tc>
        <w:tc>
          <w:tcPr>
            <w:tcW w:w="28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3,020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Common Stockholders' Equity</w:t>
            </w:r>
          </w:p>
        </w:tc>
        <w:tc>
          <w:tcPr>
            <w:tcW w:w="3280" w:type="dxa"/>
            <w:vAlign w:val="bottom"/>
          </w:tcPr>
          <w:p>
            <w:pPr>
              <w:jc w:val="right"/>
              <w:ind w:right="1348"/>
              <w:spacing w:after="0"/>
              <w:rPr>
                <w:sz w:val="20"/>
                <w:szCs w:val="20"/>
                <w:color w:val="auto"/>
              </w:rPr>
            </w:pPr>
            <w:r>
              <w:rPr>
                <w:rFonts w:ascii="Courier New" w:cs="Courier New" w:eastAsia="Courier New" w:hAnsi="Courier New"/>
                <w:sz w:val="14"/>
                <w:szCs w:val="14"/>
                <w:color w:val="auto"/>
              </w:rPr>
              <w:t>16,913</w:t>
            </w:r>
          </w:p>
        </w:tc>
        <w:tc>
          <w:tcPr>
            <w:tcW w:w="28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16,022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3700" w:type="dxa"/>
            <w:vAlign w:val="bottom"/>
          </w:tcPr>
          <w:p>
            <w:pPr>
              <w:ind w:left="40"/>
              <w:spacing w:after="0"/>
              <w:rPr>
                <w:sz w:val="20"/>
                <w:szCs w:val="20"/>
                <w:color w:val="auto"/>
              </w:rPr>
            </w:pPr>
            <w:r>
              <w:rPr>
                <w:rFonts w:ascii="Courier New" w:cs="Courier New" w:eastAsia="Courier New" w:hAnsi="Courier New"/>
                <w:sz w:val="14"/>
                <w:szCs w:val="14"/>
                <w:color w:val="auto"/>
              </w:rPr>
              <w:t>Stockholders' Equity</w:t>
            </w:r>
          </w:p>
        </w:tc>
        <w:tc>
          <w:tcPr>
            <w:tcW w:w="2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19,643(d)</w:t>
            </w:r>
          </w:p>
        </w:tc>
        <w:tc>
          <w:tcPr>
            <w:tcW w:w="3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19,042(d)</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9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80" w:type="dxa"/>
            <w:vAlign w:val="bottom"/>
            <w:gridSpan w:val="2"/>
          </w:tcPr>
          <w:p>
            <w:pPr>
              <w:spacing w:after="0"/>
              <w:rPr>
                <w:sz w:val="20"/>
                <w:szCs w:val="20"/>
                <w:color w:val="auto"/>
              </w:rPr>
            </w:pPr>
            <w:r>
              <w:rPr>
                <w:rFonts w:ascii="Courier New" w:cs="Courier New" w:eastAsia="Courier New" w:hAnsi="Courier New"/>
                <w:sz w:val="14"/>
                <w:szCs w:val="14"/>
                <w:color w:val="auto"/>
              </w:rPr>
              <w:t>Total</w:t>
            </w:r>
          </w:p>
        </w:tc>
        <w:tc>
          <w:tcPr>
            <w:tcW w:w="3700" w:type="dxa"/>
            <w:vAlign w:val="bottom"/>
          </w:tcPr>
          <w:p>
            <w:pPr>
              <w:ind w:left="40"/>
              <w:spacing w:after="0"/>
              <w:rPr>
                <w:sz w:val="20"/>
                <w:szCs w:val="20"/>
                <w:color w:val="auto"/>
              </w:rPr>
            </w:pPr>
            <w:r>
              <w:rPr>
                <w:rFonts w:ascii="Courier New" w:cs="Courier New" w:eastAsia="Courier New" w:hAnsi="Courier New"/>
                <w:sz w:val="14"/>
                <w:szCs w:val="14"/>
                <w:color w:val="auto"/>
              </w:rPr>
              <w:t>Liabilities and Stockholders' Equity</w:t>
            </w:r>
          </w:p>
        </w:tc>
        <w:tc>
          <w:tcPr>
            <w:tcW w:w="23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$ 307,385</w:t>
            </w:r>
          </w:p>
        </w:tc>
        <w:tc>
          <w:tcPr>
            <w:tcW w:w="33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$ 287,073</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9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180" w:type="dxa"/>
            <w:vAlign w:val="bottom"/>
            <w:gridSpan w:val="3"/>
          </w:tcPr>
          <w:p>
            <w:pPr>
              <w:spacing w:after="0"/>
              <w:rPr>
                <w:sz w:val="20"/>
                <w:szCs w:val="20"/>
                <w:color w:val="auto"/>
              </w:rPr>
            </w:pPr>
            <w:r>
              <w:rPr>
                <w:rFonts w:ascii="Courier New" w:cs="Courier New" w:eastAsia="Courier New" w:hAnsi="Courier New"/>
                <w:sz w:val="14"/>
                <w:szCs w:val="14"/>
                <w:color w:val="auto"/>
              </w:rPr>
              <w:t>Interest Rate Spread</w:t>
            </w:r>
          </w:p>
        </w:tc>
        <w:tc>
          <w:tcPr>
            <w:tcW w:w="2380" w:type="dxa"/>
            <w:vAlign w:val="bottom"/>
          </w:tcPr>
          <w:p>
            <w:pPr>
              <w:spacing w:after="0"/>
              <w:rPr>
                <w:sz w:val="14"/>
                <w:szCs w:val="14"/>
                <w:color w:val="auto"/>
              </w:rPr>
            </w:pPr>
          </w:p>
        </w:tc>
        <w:tc>
          <w:tcPr>
            <w:tcW w:w="3360" w:type="dxa"/>
            <w:vAlign w:val="bottom"/>
          </w:tcPr>
          <w:p>
            <w:pPr>
              <w:jc w:val="right"/>
              <w:ind w:right="2088"/>
              <w:spacing w:after="0"/>
              <w:rPr>
                <w:sz w:val="20"/>
                <w:szCs w:val="20"/>
                <w:color w:val="auto"/>
              </w:rPr>
            </w:pPr>
            <w:r>
              <w:rPr>
                <w:rFonts w:ascii="Courier New" w:cs="Courier New" w:eastAsia="Courier New" w:hAnsi="Courier New"/>
                <w:sz w:val="14"/>
                <w:szCs w:val="14"/>
                <w:color w:val="auto"/>
              </w:rPr>
              <w:t>2.58%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3.02%</w:t>
            </w:r>
          </w:p>
        </w:tc>
      </w:tr>
    </w:tbl>
    <w:p>
      <w:pPr>
        <w:spacing w:after="0" w:line="4" w:lineRule="exact"/>
        <w:rPr>
          <w:sz w:val="20"/>
          <w:szCs w:val="20"/>
          <w:color w:val="auto"/>
        </w:rPr>
      </w:pPr>
    </w:p>
    <w:p>
      <w:pPr>
        <w:ind w:left="180" w:hanging="172"/>
        <w:spacing w:after="0"/>
        <w:tabs>
          <w:tab w:leader="none" w:pos="180"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Net Interest Income and Net Yield on</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Interest-Earning Assets</w:t>
            </w:r>
          </w:p>
        </w:tc>
        <w:tc>
          <w:tcPr>
            <w:tcW w:w="2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$ 8,247</w:t>
            </w:r>
          </w:p>
        </w:tc>
        <w:tc>
          <w:tcPr>
            <w:tcW w:w="16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3.37%</w:t>
            </w:r>
          </w:p>
        </w:tc>
        <w:tc>
          <w:tcPr>
            <w:tcW w:w="17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$ 8,361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840" w:firstLine="8"/>
        <w:spacing w:after="0" w:line="252" w:lineRule="auto"/>
        <w:tabs>
          <w:tab w:leader="none" w:pos="344"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years ended December 31, 1995 and 1994, the annualized rate for securities available-for-sale based on amortized cost was 7.26% and 7.04%, respectively.</w:t>
      </w:r>
    </w:p>
    <w:p>
      <w:pPr>
        <w:spacing w:after="0" w:line="162" w:lineRule="exact"/>
        <w:rPr>
          <w:rFonts w:ascii="Courier New" w:cs="Courier New" w:eastAsia="Courier New" w:hAnsi="Courier New"/>
          <w:sz w:val="14"/>
          <w:szCs w:val="14"/>
          <w:color w:val="auto"/>
        </w:rPr>
      </w:pPr>
    </w:p>
    <w:p>
      <w:pPr>
        <w:ind w:right="4740" w:firstLine="8"/>
        <w:spacing w:after="0" w:line="255" w:lineRule="auto"/>
        <w:tabs>
          <w:tab w:leader="none" w:pos="344"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and commissions on loans included in loan interest amounted to $167 million in 1995 and $194 million in 1994.</w:t>
      </w:r>
    </w:p>
    <w:p>
      <w:pPr>
        <w:spacing w:after="0" w:line="159"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securities sold but not yet purchased.</w:t>
      </w:r>
    </w:p>
    <w:p>
      <w:pPr>
        <w:spacing w:after="0" w:line="172" w:lineRule="exact"/>
        <w:rPr>
          <w:rFonts w:ascii="Courier New" w:cs="Courier New" w:eastAsia="Courier New" w:hAnsi="Courier New"/>
          <w:sz w:val="14"/>
          <w:szCs w:val="14"/>
          <w:color w:val="auto"/>
        </w:rPr>
      </w:pPr>
    </w:p>
    <w:p>
      <w:pPr>
        <w:ind w:right="4740" w:firstLine="8"/>
        <w:spacing w:after="0" w:line="255" w:lineRule="auto"/>
        <w:tabs>
          <w:tab w:leader="none" w:pos="344"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average stockholders' equity to average assets was 6.4% for 1995 and 6.6% for 1994.</w:t>
      </w:r>
    </w:p>
    <w:p>
      <w:pPr>
        <w:sectPr>
          <w:pgSz w:w="11900" w:h="16838" w:orient="portrait"/>
          <w:cols w:equalWidth="0" w:num="1">
            <w:col w:w="11300"/>
          </w:cols>
          <w:pgMar w:left="220" w:top="285" w:right="379" w:bottom="757" w:gutter="0" w:footer="0" w:header="0"/>
        </w:sectPr>
      </w:pPr>
    </w:p>
    <w:p>
      <w:pPr>
        <w:spacing w:after="0" w:line="160" w:lineRule="exact"/>
        <w:rPr>
          <w:sz w:val="20"/>
          <w:szCs w:val="20"/>
          <w:color w:val="auto"/>
        </w:rPr>
      </w:pPr>
    </w:p>
    <w:p>
      <w:pPr>
        <w:ind w:left="646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1300"/>
          </w:cols>
          <w:pgMar w:left="220" w:top="285" w:right="379" w:bottom="757" w:gutter="0" w:footer="0" w:header="0"/>
          <w:type w:val="continuous"/>
        </w:sectPr>
      </w:pPr>
    </w:p>
    <w:bookmarkStart w:id="111" w:name="page112"/>
    <w:bookmarkEnd w:id="111"/>
    <w:p>
      <w:pPr>
        <w:ind w:left="260"/>
        <w:spacing w:after="0"/>
        <w:rPr>
          <w:sz w:val="20"/>
          <w:szCs w:val="20"/>
          <w:color w:val="auto"/>
        </w:rPr>
      </w:pPr>
      <w:r>
        <w:rPr>
          <w:rFonts w:ascii="Courier New" w:cs="Courier New" w:eastAsia="Courier New" w:hAnsi="Courier New"/>
          <w:sz w:val="14"/>
          <w:szCs w:val="14"/>
          <w:color w:val="auto"/>
        </w:rPr>
        <w:t>65</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The Chase Manhattan Corporation</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and Subsidiaries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304" w:lineRule="exact"/>
        <w:rPr>
          <w:sz w:val="20"/>
          <w:szCs w:val="20"/>
          <w:color w:val="auto"/>
        </w:rPr>
      </w:pPr>
    </w:p>
    <w:p>
      <w:pPr>
        <w:ind w:left="9560"/>
        <w:spacing w:after="0"/>
        <w:rPr>
          <w:sz w:val="20"/>
          <w:szCs w:val="20"/>
          <w:color w:val="auto"/>
        </w:rPr>
      </w:pPr>
      <w:r>
        <w:rPr>
          <w:rFonts w:ascii="Courier New" w:cs="Courier New" w:eastAsia="Courier New" w:hAnsi="Courier New"/>
          <w:sz w:val="14"/>
          <w:szCs w:val="14"/>
          <w:color w:val="auto"/>
        </w:rPr>
        <w:t>THE CHASE MANHATTAN</w:t>
      </w:r>
    </w:p>
    <w:p>
      <w:pPr>
        <w:spacing w:after="0" w:line="7" w:lineRule="exact"/>
        <w:rPr>
          <w:sz w:val="20"/>
          <w:szCs w:val="20"/>
          <w:color w:val="auto"/>
        </w:rPr>
      </w:pPr>
    </w:p>
    <w:p>
      <w:pPr>
        <w:ind w:left="7160"/>
        <w:spacing w:after="0"/>
        <w:tabs>
          <w:tab w:leader="none" w:pos="9980" w:val="left"/>
        </w:tabs>
        <w:rPr>
          <w:sz w:val="20"/>
          <w:szCs w:val="20"/>
          <w:color w:val="auto"/>
        </w:rPr>
      </w:pPr>
      <w:r>
        <w:rPr>
          <w:rFonts w:ascii="Courier New" w:cs="Courier New" w:eastAsia="Courier New" w:hAnsi="Courier New"/>
          <w:sz w:val="14"/>
          <w:szCs w:val="14"/>
          <w:color w:val="auto"/>
        </w:rPr>
        <w:t>CHEMICAL BANK</w:t>
      </w:r>
      <w:r>
        <w:rPr>
          <w:sz w:val="20"/>
          <w:szCs w:val="20"/>
          <w:color w:val="auto"/>
        </w:rPr>
        <w:tab/>
      </w:r>
      <w:r>
        <w:rPr>
          <w:rFonts w:ascii="Courier New" w:cs="Courier New" w:eastAsia="Courier New" w:hAnsi="Courier New"/>
          <w:sz w:val="14"/>
          <w:szCs w:val="14"/>
          <w:color w:val="auto"/>
        </w:rPr>
        <w:t>BANK, N.A.</w:t>
      </w:r>
    </w:p>
    <w:p>
      <w:pPr>
        <w:spacing w:after="0" w:line="7" w:lineRule="exact"/>
        <w:rPr>
          <w:sz w:val="20"/>
          <w:szCs w:val="20"/>
          <w:color w:val="auto"/>
        </w:rPr>
      </w:pPr>
    </w:p>
    <w:p>
      <w:pPr>
        <w:ind w:left="7080"/>
        <w:spacing w:after="0"/>
        <w:tabs>
          <w:tab w:leader="none" w:pos="9720" w:val="left"/>
        </w:tabs>
        <w:rPr>
          <w:sz w:val="20"/>
          <w:szCs w:val="20"/>
          <w:color w:val="auto"/>
        </w:rPr>
      </w:pPr>
      <w:r>
        <w:rPr>
          <w:rFonts w:ascii="Courier New" w:cs="Courier New" w:eastAsia="Courier New" w:hAnsi="Courier New"/>
          <w:sz w:val="14"/>
          <w:szCs w:val="14"/>
          <w:color w:val="auto"/>
        </w:rPr>
        <w:t>AND SUBSIDIARIES</w:t>
      </w:r>
      <w:r>
        <w:rPr>
          <w:sz w:val="20"/>
          <w:szCs w:val="20"/>
          <w:color w:val="auto"/>
        </w:rPr>
        <w:tab/>
      </w:r>
      <w:r>
        <w:rPr>
          <w:rFonts w:ascii="Courier New" w:cs="Courier New" w:eastAsia="Courier New" w:hAnsi="Courier New"/>
          <w:sz w:val="14"/>
          <w:szCs w:val="14"/>
          <w:color w:val="auto"/>
        </w:rPr>
        <w:t>AND SUBSIDIARIES</w:t>
      </w:r>
    </w:p>
    <w:p>
      <w:pPr>
        <w:spacing w:after="0" w:line="7" w:lineRule="exact"/>
        <w:rPr>
          <w:sz w:val="20"/>
          <w:szCs w:val="20"/>
          <w:color w:val="auto"/>
        </w:rPr>
      </w:pPr>
    </w:p>
    <w:p>
      <w:pPr>
        <w:spacing w:after="0"/>
        <w:tabs>
          <w:tab w:leader="none" w:pos="7140" w:val="left"/>
          <w:tab w:leader="none" w:pos="8260" w:val="left"/>
          <w:tab w:leader="none" w:pos="9540" w:val="left"/>
          <w:tab w:leader="none" w:pos="10920" w:val="left"/>
        </w:tabs>
        <w:rPr>
          <w:sz w:val="20"/>
          <w:szCs w:val="20"/>
          <w:color w:val="auto"/>
        </w:rPr>
      </w:pPr>
      <w:r>
        <w:rPr>
          <w:rFonts w:ascii="Courier New" w:cs="Courier New" w:eastAsia="Courier New" w:hAnsi="Courier New"/>
          <w:sz w:val="14"/>
          <w:szCs w:val="14"/>
          <w:color w:val="auto"/>
        </w:rPr>
        <w:t>December 31, (in millions, except share data)</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r>
        <w:rPr>
          <w:sz w:val="20"/>
          <w:szCs w:val="20"/>
          <w:color w:val="auto"/>
        </w:rPr>
        <w:tab/>
      </w:r>
      <w:r>
        <w:rPr>
          <w:rFonts w:ascii="Courier New" w:cs="Courier New" w:eastAsia="Courier New" w:hAnsi="Courier New"/>
          <w:sz w:val="14"/>
          <w:szCs w:val="14"/>
          <w:color w:val="auto"/>
        </w:rPr>
        <w:t>1995</w:t>
      </w:r>
      <w:r>
        <w:rPr>
          <w:sz w:val="20"/>
          <w:szCs w:val="20"/>
          <w:color w:val="auto"/>
        </w:rPr>
        <w:tab/>
      </w:r>
      <w:r>
        <w:rPr>
          <w:rFonts w:ascii="Courier New" w:cs="Courier New" w:eastAsia="Courier New" w:hAnsi="Courier New"/>
          <w:sz w:val="14"/>
          <w:szCs w:val="14"/>
          <w:color w:val="auto"/>
        </w:rPr>
        <w:t>1994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Cash and</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Due from Banks</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6,371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6,258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5,576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4,518</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Deposits</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with Banks</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2,544</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5,484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5,950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7,002</w:t>
            </w:r>
          </w:p>
        </w:tc>
      </w:tr>
      <w:tr>
        <w:trPr>
          <w:trHeight w:val="166"/>
        </w:trPr>
        <w:tc>
          <w:tcPr>
            <w:tcW w:w="5480" w:type="dxa"/>
            <w:vAlign w:val="bottom"/>
            <w:gridSpan w:val="2"/>
          </w:tcPr>
          <w:p>
            <w:pPr>
              <w:spacing w:after="0"/>
              <w:rPr>
                <w:sz w:val="20"/>
                <w:szCs w:val="20"/>
                <w:color w:val="auto"/>
              </w:rPr>
            </w:pPr>
            <w:r>
              <w:rPr>
                <w:rFonts w:ascii="Courier New" w:cs="Courier New" w:eastAsia="Courier New" w:hAnsi="Courier New"/>
                <w:sz w:val="14"/>
                <w:szCs w:val="14"/>
                <w:color w:val="auto"/>
              </w:rPr>
              <w:t>Federal Funds Sold and Securities Purchased Under</w:t>
            </w:r>
          </w:p>
        </w:tc>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740" w:type="dxa"/>
            <w:vAlign w:val="bottom"/>
          </w:tcPr>
          <w:p>
            <w:pPr>
              <w:ind w:left="180"/>
              <w:spacing w:after="0"/>
              <w:rPr>
                <w:sz w:val="20"/>
                <w:szCs w:val="20"/>
                <w:color w:val="auto"/>
              </w:rPr>
            </w:pPr>
            <w:r>
              <w:rPr>
                <w:rFonts w:ascii="Courier New" w:cs="Courier New" w:eastAsia="Courier New" w:hAnsi="Courier New"/>
                <w:sz w:val="14"/>
                <w:szCs w:val="14"/>
                <w:color w:val="auto"/>
              </w:rPr>
              <w:t>Resale</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Agreements</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5,621</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5,898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3,385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3,824</w:t>
            </w:r>
          </w:p>
        </w:tc>
      </w:tr>
      <w:tr>
        <w:trPr>
          <w:trHeight w:val="166"/>
        </w:trPr>
        <w:tc>
          <w:tcPr>
            <w:tcW w:w="5480" w:type="dxa"/>
            <w:vAlign w:val="bottom"/>
            <w:gridSpan w:val="2"/>
          </w:tcPr>
          <w:p>
            <w:pPr>
              <w:spacing w:after="0"/>
              <w:rPr>
                <w:sz w:val="20"/>
                <w:szCs w:val="20"/>
                <w:color w:val="auto"/>
              </w:rPr>
            </w:pPr>
            <w:r>
              <w:rPr>
                <w:rFonts w:ascii="Courier New" w:cs="Courier New" w:eastAsia="Courier New" w:hAnsi="Courier New"/>
                <w:sz w:val="14"/>
                <w:szCs w:val="14"/>
                <w:color w:val="auto"/>
              </w:rPr>
              <w:t>Trading Assets:</w:t>
            </w:r>
          </w:p>
        </w:tc>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Debt and Equity Instruments</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10,338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8,088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4,848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4,815</w:t>
            </w:r>
          </w:p>
        </w:tc>
      </w:tr>
      <w:tr>
        <w:trPr>
          <w:trHeight w:val="166"/>
        </w:trPr>
        <w:tc>
          <w:tcPr>
            <w:tcW w:w="5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Risk Management Instruments</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17,625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17,694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8,121</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8,273</w:t>
            </w:r>
          </w:p>
        </w:tc>
      </w:tr>
      <w:tr>
        <w:trPr>
          <w:trHeight w:val="166"/>
        </w:trPr>
        <w:tc>
          <w:tcPr>
            <w:tcW w:w="5480" w:type="dxa"/>
            <w:vAlign w:val="bottom"/>
            <w:gridSpan w:val="2"/>
          </w:tcPr>
          <w:p>
            <w:pPr>
              <w:spacing w:after="0"/>
              <w:rPr>
                <w:sz w:val="20"/>
                <w:szCs w:val="20"/>
                <w:color w:val="auto"/>
              </w:rPr>
            </w:pPr>
            <w:r>
              <w:rPr>
                <w:rFonts w:ascii="Courier New" w:cs="Courier New" w:eastAsia="Courier New" w:hAnsi="Courier New"/>
                <w:sz w:val="14"/>
                <w:szCs w:val="14"/>
                <w:color w:val="auto"/>
              </w:rPr>
              <w:t>Securities:</w:t>
            </w:r>
          </w:p>
        </w:tc>
        <w:tc>
          <w:tcPr>
            <w:tcW w:w="2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5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Available-for-Sale</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26,348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16,362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6,314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4,076</w:t>
            </w:r>
          </w:p>
        </w:tc>
      </w:tr>
      <w:tr>
        <w:trPr>
          <w:trHeight w:val="166"/>
        </w:trPr>
        <w:tc>
          <w:tcPr>
            <w:tcW w:w="54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Held-to-Maturity(a)</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3,807</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6,316</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1,760</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Loans(b)</w:t>
            </w:r>
          </w:p>
        </w:tc>
        <w:tc>
          <w:tcPr>
            <w:tcW w:w="4740" w:type="dxa"/>
            <w:vAlign w:val="bottom"/>
          </w:tcPr>
          <w:p>
            <w:pPr>
              <w:spacing w:after="0"/>
              <w:rPr>
                <w:sz w:val="14"/>
                <w:szCs w:val="14"/>
                <w:color w:val="auto"/>
              </w:rPr>
            </w:pP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67,079</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62,272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57,335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51,033</w:t>
            </w:r>
          </w:p>
        </w:tc>
      </w:tr>
      <w:tr>
        <w:trPr>
          <w:trHeight w:val="166"/>
        </w:trPr>
        <w:tc>
          <w:tcPr>
            <w:tcW w:w="5480" w:type="dxa"/>
            <w:vAlign w:val="bottom"/>
            <w:gridSpan w:val="2"/>
          </w:tcPr>
          <w:p>
            <w:pPr>
              <w:spacing w:after="0"/>
              <w:rPr>
                <w:sz w:val="20"/>
                <w:szCs w:val="20"/>
                <w:color w:val="auto"/>
              </w:rPr>
            </w:pPr>
            <w:r>
              <w:rPr>
                <w:rFonts w:ascii="Courier New" w:cs="Courier New" w:eastAsia="Courier New" w:hAnsi="Courier New"/>
                <w:sz w:val="14"/>
                <w:szCs w:val="14"/>
                <w:color w:val="auto"/>
              </w:rPr>
              <w:t>Allowance for Credit Losses</w:t>
            </w:r>
          </w:p>
        </w:tc>
        <w:tc>
          <w:tcPr>
            <w:tcW w:w="22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(2,021)</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(1,092)</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Premises</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and Equipment</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1,355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1,723</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1,759</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Due from</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Customers on Acceptances</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1,166</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717</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520</w:t>
            </w:r>
          </w:p>
        </w:tc>
      </w:tr>
      <w:tr>
        <w:trPr>
          <w:trHeight w:val="166"/>
        </w:trPr>
        <w:tc>
          <w:tcPr>
            <w:tcW w:w="5480" w:type="dxa"/>
            <w:vAlign w:val="bottom"/>
            <w:gridSpan w:val="2"/>
          </w:tcPr>
          <w:p>
            <w:pPr>
              <w:spacing w:after="0"/>
              <w:rPr>
                <w:sz w:val="20"/>
                <w:szCs w:val="20"/>
                <w:color w:val="auto"/>
              </w:rPr>
            </w:pPr>
            <w:r>
              <w:rPr>
                <w:rFonts w:ascii="Courier New" w:cs="Courier New" w:eastAsia="Courier New" w:hAnsi="Courier New"/>
                <w:sz w:val="14"/>
                <w:szCs w:val="14"/>
                <w:color w:val="auto"/>
              </w:rPr>
              <w:t>Accrued Interest Receivable</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1,053</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989</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918</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966</w:t>
            </w:r>
          </w:p>
        </w:tc>
      </w:tr>
      <w:tr>
        <w:trPr>
          <w:trHeight w:val="166"/>
        </w:trPr>
        <w:tc>
          <w:tcPr>
            <w:tcW w:w="5480" w:type="dxa"/>
            <w:vAlign w:val="bottom"/>
            <w:gridSpan w:val="2"/>
          </w:tcPr>
          <w:p>
            <w:pPr>
              <w:spacing w:after="0"/>
              <w:rPr>
                <w:sz w:val="20"/>
                <w:szCs w:val="20"/>
                <w:color w:val="auto"/>
              </w:rPr>
            </w:pPr>
            <w:r>
              <w:rPr>
                <w:rFonts w:ascii="Courier New" w:cs="Courier New" w:eastAsia="Courier New" w:hAnsi="Courier New"/>
                <w:sz w:val="14"/>
                <w:szCs w:val="14"/>
                <w:color w:val="auto"/>
              </w:rPr>
              <w:t>Other Assets</w:t>
            </w:r>
          </w:p>
        </w:tc>
        <w:tc>
          <w:tcPr>
            <w:tcW w:w="22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3,464</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3,702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6,384</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38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$ 144,750</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$ 133,514</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$ 100,157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$ 93,979</w:t>
            </w:r>
          </w:p>
        </w:tc>
      </w:tr>
    </w:tbl>
    <w:p>
      <w:pPr>
        <w:spacing w:after="0" w:line="4" w:lineRule="exact"/>
        <w:rPr>
          <w:sz w:val="20"/>
          <w:szCs w:val="20"/>
          <w:color w:val="auto"/>
        </w:rPr>
      </w:pPr>
    </w:p>
    <w:p>
      <w:pPr>
        <w:ind w:left="180" w:hanging="172"/>
        <w:spacing w:after="0"/>
        <w:tabs>
          <w:tab w:leader="none" w:pos="180"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10500"/>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Deposits: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Domestic:</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Noninterest-Bearing</w:t>
            </w:r>
          </w:p>
        </w:tc>
        <w:tc>
          <w:tcPr>
            <w:tcW w:w="3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15,508</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15,143</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13,704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$ 11,648</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Interest-Bearing</w:t>
            </w:r>
          </w:p>
        </w:tc>
        <w:tc>
          <w:tcPr>
            <w:tcW w:w="3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31,996</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31,868</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18,779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17,888</w:t>
            </w:r>
          </w:p>
        </w:tc>
      </w:tr>
      <w:tr>
        <w:trPr>
          <w:trHeight w:val="166"/>
        </w:trPr>
        <w:tc>
          <w:tcPr>
            <w:tcW w:w="418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3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Noninterest-Bearing</w:t>
            </w:r>
          </w:p>
        </w:tc>
        <w:tc>
          <w:tcPr>
            <w:tcW w:w="3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3,555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2,320</w:t>
            </w:r>
          </w:p>
        </w:tc>
      </w:tr>
      <w:tr>
        <w:trPr>
          <w:trHeight w:val="166"/>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Interest-Bearing</w:t>
            </w:r>
          </w:p>
        </w:tc>
        <w:tc>
          <w:tcPr>
            <w:tcW w:w="33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36,831</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31,106</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34,030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33,645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Total Deposits</w:t>
            </w:r>
          </w:p>
        </w:tc>
        <w:tc>
          <w:tcPr>
            <w:tcW w:w="4640" w:type="dxa"/>
            <w:vAlign w:val="bottom"/>
          </w:tcPr>
          <w:p>
            <w:pPr>
              <w:spacing w:after="0"/>
              <w:rPr>
                <w:sz w:val="14"/>
                <w:szCs w:val="14"/>
                <w:color w:val="auto"/>
              </w:rPr>
            </w:pP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84,482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78,241</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70,068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65,501</w:t>
            </w:r>
          </w:p>
        </w:tc>
      </w:tr>
      <w:tr>
        <w:trPr>
          <w:trHeight w:val="166"/>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Federal Funds Purchased and Securities Sold Under</w:t>
            </w:r>
          </w:p>
        </w:tc>
        <w:tc>
          <w:tcPr>
            <w:tcW w:w="1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9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Repurchase Agreements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17,172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16,183</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2,079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2,580</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Other Borrowed</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Funds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7,174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6,654</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2,264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2,308</w:t>
            </w:r>
          </w:p>
        </w:tc>
      </w:tr>
      <w:tr>
        <w:trPr>
          <w:trHeight w:val="166"/>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Acceptances Outstanding</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1,180</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1,081</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722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525</w:t>
            </w:r>
          </w:p>
        </w:tc>
      </w:tr>
      <w:tr>
        <w:trPr>
          <w:trHeight w:val="166"/>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Trading Liabilities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19,467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16,950</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9,146</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8,066</w:t>
            </w:r>
          </w:p>
        </w:tc>
      </w:tr>
      <w:tr>
        <w:trPr>
          <w:trHeight w:val="166"/>
        </w:trPr>
        <w:tc>
          <w:tcPr>
            <w:tcW w:w="5900" w:type="dxa"/>
            <w:vAlign w:val="bottom"/>
            <w:gridSpan w:val="2"/>
          </w:tcPr>
          <w:p>
            <w:pPr>
              <w:spacing w:after="0"/>
              <w:rPr>
                <w:sz w:val="20"/>
                <w:szCs w:val="20"/>
                <w:color w:val="auto"/>
              </w:rPr>
            </w:pPr>
            <w:r>
              <w:rPr>
                <w:rFonts w:ascii="Courier New" w:cs="Courier New" w:eastAsia="Courier New" w:hAnsi="Courier New"/>
                <w:sz w:val="14"/>
                <w:szCs w:val="14"/>
                <w:color w:val="auto"/>
              </w:rPr>
              <w:t>Accounts Payable, Accrued Expenses and Other Liabilities</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3,653</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3,029</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5,460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5,194</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4640" w:type="dxa"/>
            <w:vAlign w:val="bottom"/>
          </w:tcPr>
          <w:p>
            <w:pPr>
              <w:spacing w:after="0"/>
              <w:rPr>
                <w:sz w:val="14"/>
                <w:szCs w:val="14"/>
                <w:color w:val="auto"/>
              </w:rPr>
            </w:pP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1,575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2,303</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443</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Payable to Parent Company</w:t>
            </w:r>
          </w:p>
        </w:tc>
        <w:tc>
          <w:tcPr>
            <w:tcW w:w="1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1,867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1,867</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1,960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2,360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35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136,570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126,308</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92,092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86,977</w:t>
            </w:r>
          </w:p>
        </w:tc>
      </w:tr>
    </w:tbl>
    <w:p>
      <w:pPr>
        <w:spacing w:after="0" w:line="4" w:lineRule="exact"/>
        <w:rPr>
          <w:sz w:val="20"/>
          <w:szCs w:val="20"/>
          <w:color w:val="auto"/>
        </w:rPr>
      </w:pPr>
    </w:p>
    <w:p>
      <w:pPr>
        <w:ind w:left="180" w:hanging="172"/>
        <w:spacing w:after="0"/>
        <w:tabs>
          <w:tab w:leader="none" w:pos="18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spacing w:after="0"/>
              <w:rPr>
                <w:sz w:val="20"/>
                <w:szCs w:val="20"/>
                <w:color w:val="auto"/>
              </w:rPr>
            </w:pPr>
            <w:r>
              <w:rPr>
                <w:rFonts w:ascii="Courier New" w:cs="Courier New" w:eastAsia="Courier New" w:hAnsi="Courier New"/>
                <w:sz w:val="14"/>
                <w:szCs w:val="14"/>
                <w:color w:val="auto"/>
              </w:rPr>
              <w:t>Common Stock(c)</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620</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620</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921</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916</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Capital Surplus</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4,665</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4,501</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5,285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4,656</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3,185</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2,495</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1,852</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1,495</w:t>
            </w:r>
          </w:p>
        </w:tc>
      </w:tr>
      <w:tr>
        <w:trPr>
          <w:trHeight w:val="166"/>
        </w:trPr>
        <w:tc>
          <w:tcPr>
            <w:tcW w:w="6680" w:type="dxa"/>
            <w:vAlign w:val="bottom"/>
          </w:tcPr>
          <w:p>
            <w:pPr>
              <w:spacing w:after="0"/>
              <w:rPr>
                <w:sz w:val="20"/>
                <w:szCs w:val="20"/>
                <w:color w:val="auto"/>
              </w:rPr>
            </w:pPr>
            <w:r>
              <w:rPr>
                <w:rFonts w:ascii="Courier New" w:cs="Courier New" w:eastAsia="Courier New" w:hAnsi="Courier New"/>
                <w:sz w:val="14"/>
                <w:szCs w:val="14"/>
                <w:color w:val="auto"/>
              </w:rPr>
              <w:t>Net Unrealized Gain (Loss) on Securities Available-for-Sale, Net of Taxes</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(410)</w:t>
            </w:r>
          </w:p>
        </w:tc>
        <w:tc>
          <w:tcPr>
            <w:tcW w:w="1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7060" w:val="left"/>
          <w:tab w:leader="none" w:pos="8180" w:val="left"/>
          <w:tab w:leader="none" w:pos="9460" w:val="left"/>
          <w:tab w:leader="none" w:pos="10840" w:val="left"/>
        </w:tabs>
        <w:rPr>
          <w:sz w:val="20"/>
          <w:szCs w:val="20"/>
          <w:color w:val="auto"/>
        </w:rPr>
      </w:pPr>
      <w:r>
        <w:rPr>
          <w:rFonts w:ascii="Courier New" w:cs="Courier New" w:eastAsia="Courier New" w:hAnsi="Courier New"/>
          <w:sz w:val="14"/>
          <w:szCs w:val="14"/>
          <w:color w:val="auto"/>
        </w:rPr>
        <w:t>Total Stockholder's Equity</w:t>
      </w:r>
      <w:r>
        <w:rPr>
          <w:sz w:val="20"/>
          <w:szCs w:val="20"/>
          <w:color w:val="auto"/>
        </w:rPr>
        <w:tab/>
      </w:r>
      <w:r>
        <w:rPr>
          <w:rFonts w:ascii="Courier New" w:cs="Courier New" w:eastAsia="Courier New" w:hAnsi="Courier New"/>
          <w:sz w:val="14"/>
          <w:szCs w:val="14"/>
          <w:color w:val="auto"/>
        </w:rPr>
        <w:t>8,180</w:t>
      </w:r>
      <w:r>
        <w:rPr>
          <w:sz w:val="20"/>
          <w:szCs w:val="20"/>
          <w:color w:val="auto"/>
        </w:rPr>
        <w:tab/>
      </w:r>
      <w:r>
        <w:rPr>
          <w:rFonts w:ascii="Courier New" w:cs="Courier New" w:eastAsia="Courier New" w:hAnsi="Courier New"/>
          <w:sz w:val="14"/>
          <w:szCs w:val="14"/>
          <w:color w:val="auto"/>
        </w:rPr>
        <w:t>7,206</w:t>
      </w:r>
      <w:r>
        <w:rPr>
          <w:sz w:val="20"/>
          <w:szCs w:val="20"/>
          <w:color w:val="auto"/>
        </w:rPr>
        <w:tab/>
      </w:r>
      <w:r>
        <w:rPr>
          <w:rFonts w:ascii="Courier New" w:cs="Courier New" w:eastAsia="Courier New" w:hAnsi="Courier New"/>
          <w:sz w:val="14"/>
          <w:szCs w:val="14"/>
          <w:color w:val="auto"/>
        </w:rPr>
        <w:t>8,065</w:t>
      </w:r>
      <w:r>
        <w:rPr>
          <w:sz w:val="20"/>
          <w:szCs w:val="20"/>
          <w:color w:val="auto"/>
        </w:rPr>
        <w:tab/>
      </w:r>
      <w:r>
        <w:rPr>
          <w:rFonts w:ascii="Courier New" w:cs="Courier New" w:eastAsia="Courier New" w:hAnsi="Courier New"/>
          <w:sz w:val="14"/>
          <w:szCs w:val="14"/>
          <w:color w:val="auto"/>
        </w:rPr>
        <w:t>7,002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6700" w:val="left"/>
          <w:tab w:leader="none" w:pos="7820" w:val="left"/>
          <w:tab w:leader="none" w:pos="9120" w:val="left"/>
          <w:tab w:leader="none" w:pos="10580" w:val="left"/>
        </w:tabs>
        <w:rPr>
          <w:sz w:val="20"/>
          <w:szCs w:val="20"/>
          <w:color w:val="auto"/>
        </w:rPr>
      </w:pPr>
      <w:r>
        <w:rPr>
          <w:rFonts w:ascii="Courier New" w:cs="Courier New" w:eastAsia="Courier New" w:hAnsi="Courier New"/>
          <w:sz w:val="14"/>
          <w:szCs w:val="14"/>
          <w:color w:val="auto"/>
        </w:rPr>
        <w:t>Total Liabilities and Stockholder's Equity</w:t>
      </w:r>
      <w:r>
        <w:rPr>
          <w:sz w:val="20"/>
          <w:szCs w:val="20"/>
          <w:color w:val="auto"/>
        </w:rPr>
        <w:tab/>
      </w:r>
      <w:r>
        <w:rPr>
          <w:rFonts w:ascii="Courier New" w:cs="Courier New" w:eastAsia="Courier New" w:hAnsi="Courier New"/>
          <w:sz w:val="14"/>
          <w:szCs w:val="14"/>
          <w:color w:val="auto"/>
        </w:rPr>
        <w:t>$ 144,750</w:t>
      </w:r>
      <w:r>
        <w:rPr>
          <w:sz w:val="20"/>
          <w:szCs w:val="20"/>
          <w:color w:val="auto"/>
        </w:rPr>
        <w:tab/>
      </w:r>
      <w:r>
        <w:rPr>
          <w:rFonts w:ascii="Courier New" w:cs="Courier New" w:eastAsia="Courier New" w:hAnsi="Courier New"/>
          <w:sz w:val="14"/>
          <w:szCs w:val="14"/>
          <w:color w:val="auto"/>
        </w:rPr>
        <w:t>$ 133,514</w:t>
      </w:r>
      <w:r>
        <w:rPr>
          <w:sz w:val="20"/>
          <w:szCs w:val="20"/>
          <w:color w:val="auto"/>
        </w:rPr>
        <w:tab/>
      </w:r>
      <w:r>
        <w:rPr>
          <w:rFonts w:ascii="Courier New" w:cs="Courier New" w:eastAsia="Courier New" w:hAnsi="Courier New"/>
          <w:sz w:val="14"/>
          <w:szCs w:val="14"/>
          <w:color w:val="auto"/>
        </w:rPr>
        <w:t>$ 100,157</w:t>
      </w:r>
      <w:r>
        <w:rPr>
          <w:sz w:val="20"/>
          <w:szCs w:val="20"/>
          <w:color w:val="auto"/>
        </w:rPr>
        <w:tab/>
      </w:r>
      <w:r>
        <w:rPr>
          <w:rFonts w:ascii="Courier New" w:cs="Courier New" w:eastAsia="Courier New" w:hAnsi="Courier New"/>
          <w:sz w:val="14"/>
          <w:szCs w:val="14"/>
          <w:color w:val="auto"/>
        </w:rPr>
        <w:t>$ 93,979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4560" w:firstLine="8"/>
        <w:spacing w:after="0" w:line="252" w:lineRule="auto"/>
        <w:tabs>
          <w:tab w:leader="none" w:pos="344"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market value of held-to-maturity securities for Chemical Bank was $3,830 million and $5,981 million, at December 31, 1995 and 1994, respectively. The market value of held-to-maturity securities for The Chase Manhattan Bank was $1,739 million at December 31, 1994.</w:t>
      </w:r>
    </w:p>
    <w:p>
      <w:pPr>
        <w:spacing w:after="0" w:line="1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Loans are net of unearned income of $434 million and $405 million, at</w:t>
      </w:r>
    </w:p>
    <w:p>
      <w:pPr>
        <w:spacing w:after="0" w:line="7" w:lineRule="exact"/>
        <w:rPr>
          <w:rFonts w:ascii="Courier New" w:cs="Courier New" w:eastAsia="Courier New" w:hAnsi="Courier New"/>
          <w:sz w:val="14"/>
          <w:szCs w:val="14"/>
          <w:color w:val="auto"/>
        </w:rPr>
      </w:pPr>
    </w:p>
    <w:p>
      <w:pPr>
        <w:ind w:right="45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December 31, 1995 and 1994, respectively, for Chemical Bank. Loans are net of unearned income of $317 million and $194 million, at December 31, 1995 and 1994, respectively, for The Chase Manhattan Bank.</w:t>
      </w:r>
    </w:p>
    <w:p>
      <w:pPr>
        <w:spacing w:after="0" w:line="162" w:lineRule="exact"/>
        <w:rPr>
          <w:rFonts w:ascii="Courier New" w:cs="Courier New" w:eastAsia="Courier New" w:hAnsi="Courier New"/>
          <w:sz w:val="14"/>
          <w:szCs w:val="14"/>
          <w:color w:val="auto"/>
        </w:rPr>
      </w:pPr>
    </w:p>
    <w:p>
      <w:pPr>
        <w:ind w:left="360" w:hanging="352"/>
        <w:spacing w:after="0"/>
        <w:tabs>
          <w:tab w:leader="none" w:pos="360"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Chemical Bank has issued and outstanding 51,633,170 shares of its common</w:t>
      </w:r>
    </w:p>
    <w:p>
      <w:pPr>
        <w:spacing w:after="0" w:line="7" w:lineRule="exact"/>
        <w:rPr>
          <w:rFonts w:ascii="Courier New" w:cs="Courier New" w:eastAsia="Courier New" w:hAnsi="Courier New"/>
          <w:sz w:val="14"/>
          <w:szCs w:val="14"/>
          <w:color w:val="auto"/>
        </w:rPr>
      </w:pPr>
    </w:p>
    <w:p>
      <w:pPr>
        <w:ind w:right="45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stock with a $12 par value as of December 31, 1995 and 1994. The Chase Manhattan Bank has issued and outstanding 61,425,980 shares of its common stock as of December 31, 1995 and 61,038,415 shares as of December 31, 1994, each with a $15 par value.</w:t>
      </w:r>
    </w:p>
    <w:p>
      <w:pPr>
        <w:sectPr>
          <w:pgSz w:w="11900" w:h="16838" w:orient="portrait"/>
          <w:cols w:equalWidth="0" w:num="1">
            <w:col w:w="11460"/>
          </w:cols>
          <w:pgMar w:left="220" w:top="285" w:right="219" w:bottom="1440" w:gutter="0" w:footer="0" w:header="0"/>
        </w:sect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1460"/>
          </w:cols>
          <w:pgMar w:left="220" w:top="285" w:right="219" w:bottom="1440" w:gutter="0" w:footer="0" w:header="0"/>
          <w:type w:val="continuous"/>
        </w:sectPr>
      </w:pPr>
    </w:p>
    <w:bookmarkStart w:id="112" w:name="page113"/>
    <w:bookmarkEnd w:id="112"/>
    <w:p>
      <w:pPr>
        <w:ind w:left="260"/>
        <w:spacing w:after="0"/>
        <w:rPr>
          <w:sz w:val="20"/>
          <w:szCs w:val="20"/>
          <w:color w:val="auto"/>
        </w:rPr>
      </w:pPr>
      <w:r>
        <w:rPr>
          <w:rFonts w:ascii="Courier New" w:cs="Courier New" w:eastAsia="Courier New" w:hAnsi="Courier New"/>
          <w:sz w:val="14"/>
          <w:szCs w:val="14"/>
          <w:color w:val="auto"/>
        </w:rPr>
        <w:t>66</w:t>
      </w:r>
    </w:p>
    <w:p>
      <w:pPr>
        <w:spacing w:after="0" w:line="7"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4"/>
          <w:szCs w:val="14"/>
          <w:color w:val="auto"/>
        </w:rPr>
        <w:t>APPENDIX I</w:t>
      </w:r>
    </w:p>
    <w:p>
      <w:pPr>
        <w:spacing w:after="0" w:line="173"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NARRATIVE DESCRIPTION OF GRAPHIC IMAGE MATERIAL</w:t>
      </w:r>
    </w:p>
    <w:p>
      <w:pPr>
        <w:spacing w:after="0" w:line="173" w:lineRule="exact"/>
        <w:rPr>
          <w:sz w:val="20"/>
          <w:szCs w:val="20"/>
          <w:color w:val="auto"/>
        </w:rPr>
      </w:pPr>
    </w:p>
    <w:p>
      <w:pPr>
        <w:ind w:right="4400"/>
        <w:spacing w:after="0" w:line="252" w:lineRule="auto"/>
        <w:rPr>
          <w:sz w:val="20"/>
          <w:szCs w:val="20"/>
          <w:color w:val="auto"/>
        </w:rPr>
      </w:pPr>
      <w:r>
        <w:rPr>
          <w:rFonts w:ascii="Courier New" w:cs="Courier New" w:eastAsia="Courier New" w:hAnsi="Courier New"/>
          <w:sz w:val="14"/>
          <w:szCs w:val="14"/>
          <w:color w:val="auto"/>
        </w:rPr>
        <w:t>Pursuant to Item 304 of Regulation S-T, the following is a description of the graphic image material included in the foregoing Management's Discussion and Analysis of Financial Condition.</w:t>
      </w:r>
    </w:p>
    <w:p>
      <w:pPr>
        <w:sectPr>
          <w:pgSz w:w="11900" w:h="16838" w:orient="portrait"/>
          <w:cols w:equalWidth="0" w:num="1">
            <w:col w:w="11040"/>
          </w:cols>
          <w:pgMar w:left="220" w:top="285" w:right="6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1380" w:space="0"/>
            <w:col w:w="4020" w:space="720"/>
            <w:col w:w="4920"/>
          </w:cols>
          <w:pgMar w:left="220" w:top="285" w:right="639" w:bottom="1440" w:gutter="0" w:footer="0" w:header="0"/>
          <w:type w:val="continuous"/>
        </w:sectPr>
      </w:pPr>
    </w:p>
    <w:p>
      <w:pPr>
        <w:ind w:left="1900" w:right="180" w:hanging="1289"/>
        <w:spacing w:after="0" w:line="255" w:lineRule="auto"/>
        <w:tabs>
          <w:tab w:leader="none" w:pos="1469"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22 Bar graph entitled "Reported Net Income and Return on Common Stockholders' Equity in millions of dollars except ratios" presenting the following information:</w:t>
      </w:r>
    </w:p>
    <w:p>
      <w:pPr>
        <w:spacing w:after="0" w:line="160"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1991</w:t>
            </w:r>
          </w:p>
        </w:tc>
        <w:tc>
          <w:tcPr>
            <w:tcW w:w="3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1992</w:t>
            </w:r>
          </w:p>
        </w:tc>
        <w:tc>
          <w:tcPr>
            <w:tcW w:w="4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c>
          <w:tcPr>
            <w:tcW w:w="3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670</w:t>
            </w:r>
          </w:p>
        </w:tc>
        <w:tc>
          <w:tcPr>
            <w:tcW w:w="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1,723</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2,394</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2,486</w:t>
            </w:r>
          </w:p>
        </w:tc>
        <w:tc>
          <w:tcPr>
            <w:tcW w:w="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2,959</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Return</w:t>
            </w:r>
          </w:p>
        </w:tc>
        <w:tc>
          <w:tcPr>
            <w:tcW w:w="1380" w:type="dxa"/>
            <w:vAlign w:val="bottom"/>
          </w:tcPr>
          <w:p>
            <w:pPr>
              <w:ind w:left="40"/>
              <w:spacing w:after="0"/>
              <w:rPr>
                <w:sz w:val="20"/>
                <w:szCs w:val="20"/>
                <w:color w:val="auto"/>
              </w:rPr>
            </w:pPr>
            <w:r>
              <w:rPr>
                <w:rFonts w:ascii="Courier New" w:cs="Courier New" w:eastAsia="Courier New" w:hAnsi="Courier New"/>
                <w:sz w:val="14"/>
                <w:szCs w:val="14"/>
                <w:color w:val="auto"/>
              </w:rPr>
              <w:t>on Common</w:t>
            </w:r>
          </w:p>
        </w:tc>
        <w:tc>
          <w:tcPr>
            <w:tcW w:w="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Equity</w:t>
            </w:r>
          </w:p>
        </w:tc>
        <w:tc>
          <w:tcPr>
            <w:tcW w:w="1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4.35%</w:t>
            </w:r>
          </w:p>
        </w:tc>
        <w:tc>
          <w:tcPr>
            <w:tcW w:w="3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11.88%</w:t>
            </w:r>
          </w:p>
        </w:tc>
        <w:tc>
          <w:tcPr>
            <w:tcW w:w="4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14.62%</w:t>
            </w:r>
          </w:p>
        </w:tc>
        <w:tc>
          <w:tcPr>
            <w:tcW w:w="3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13.86%</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16.15%</w:t>
            </w:r>
          </w:p>
        </w:tc>
      </w:tr>
    </w:tbl>
    <w:p>
      <w:pPr>
        <w:spacing w:after="0" w:line="335" w:lineRule="exact"/>
        <w:rPr>
          <w:sz w:val="20"/>
          <w:szCs w:val="20"/>
          <w:color w:val="auto"/>
        </w:rPr>
      </w:pPr>
    </w:p>
    <w:p>
      <w:pPr>
        <w:ind w:left="1900" w:hanging="1289"/>
        <w:spacing w:after="0" w:line="255" w:lineRule="auto"/>
        <w:tabs>
          <w:tab w:leader="none" w:pos="1469"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22 Bar graph entitled "Pro Forma Net Income and Return on Common Stockholders' Equity in millions of dollars, except ratios" presenting the following information:</w:t>
      </w:r>
    </w:p>
    <w:p>
      <w:pPr>
        <w:spacing w:after="0" w:line="326"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1991</w:t>
            </w:r>
          </w:p>
        </w:tc>
        <w:tc>
          <w:tcPr>
            <w:tcW w:w="3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1992</w:t>
            </w:r>
          </w:p>
        </w:tc>
        <w:tc>
          <w:tcPr>
            <w:tcW w:w="4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c>
          <w:tcPr>
            <w:tcW w:w="3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497"/>
        </w:trPr>
        <w:tc>
          <w:tcPr>
            <w:tcW w:w="86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calculated on a fully-taxed</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basis and</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excluding the</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impact of</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changes in</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accounting principles,</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restructuring charges,</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charges related to assets</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held for accelerated</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disposition and gains on</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the sales</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of such assets,</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gains on emerging markets</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past-due interest bond</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sales and</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foreclosed</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property expense</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1,111</w:t>
            </w:r>
          </w:p>
        </w:tc>
        <w:tc>
          <w:tcPr>
            <w:tcW w:w="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1,564</w:t>
            </w:r>
          </w:p>
        </w:tc>
        <w:tc>
          <w:tcPr>
            <w:tcW w:w="4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2,266</w:t>
            </w:r>
          </w:p>
        </w:tc>
        <w:tc>
          <w:tcPr>
            <w:tcW w:w="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2,589</w:t>
            </w:r>
          </w:p>
        </w:tc>
        <w:tc>
          <w:tcPr>
            <w:tcW w:w="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2,899</w:t>
            </w:r>
          </w:p>
        </w:tc>
      </w:tr>
      <w:tr>
        <w:trPr>
          <w:trHeight w:val="331"/>
        </w:trPr>
        <w:tc>
          <w:tcPr>
            <w:tcW w:w="860" w:type="dxa"/>
            <w:vAlign w:val="bottom"/>
          </w:tcPr>
          <w:p>
            <w:pPr>
              <w:spacing w:after="0"/>
              <w:rPr>
                <w:sz w:val="20"/>
                <w:szCs w:val="20"/>
                <w:color w:val="auto"/>
              </w:rPr>
            </w:pPr>
            <w:r>
              <w:rPr>
                <w:rFonts w:ascii="Courier New" w:cs="Courier New" w:eastAsia="Courier New" w:hAnsi="Courier New"/>
                <w:sz w:val="14"/>
                <w:szCs w:val="14"/>
                <w:color w:val="auto"/>
              </w:rPr>
              <w:t>Return on</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Common</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2420" w:type="dxa"/>
            <w:vAlign w:val="bottom"/>
            <w:gridSpan w:val="2"/>
          </w:tcPr>
          <w:p>
            <w:pPr>
              <w:spacing w:after="0"/>
              <w:rPr>
                <w:sz w:val="20"/>
                <w:szCs w:val="20"/>
                <w:color w:val="auto"/>
              </w:rPr>
            </w:pPr>
            <w:r>
              <w:rPr>
                <w:rFonts w:ascii="Courier New" w:cs="Courier New" w:eastAsia="Courier New" w:hAnsi="Courier New"/>
                <w:sz w:val="14"/>
                <w:szCs w:val="14"/>
                <w:color w:val="auto"/>
              </w:rPr>
              <w:t>Equity calculated</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rPr>
              <w:t>using pro</w:t>
            </w: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forma</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net income</w:t>
            </w:r>
          </w:p>
        </w:tc>
        <w:tc>
          <w:tcPr>
            <w:tcW w:w="1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8.74%</w:t>
            </w:r>
          </w:p>
        </w:tc>
        <w:tc>
          <w:tcPr>
            <w:tcW w:w="3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10.58%</w:t>
            </w:r>
          </w:p>
        </w:tc>
        <w:tc>
          <w:tcPr>
            <w:tcW w:w="4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13.73%</w:t>
            </w:r>
          </w:p>
        </w:tc>
        <w:tc>
          <w:tcPr>
            <w:tcW w:w="380" w:type="dxa"/>
            <w:vAlign w:val="bottom"/>
          </w:tcPr>
          <w:p>
            <w:pPr>
              <w:spacing w:after="0"/>
              <w:rPr>
                <w:sz w:val="14"/>
                <w:szCs w:val="14"/>
                <w:color w:val="auto"/>
              </w:rPr>
            </w:pP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14.51%</w:t>
            </w:r>
          </w:p>
        </w:tc>
        <w:tc>
          <w:tcPr>
            <w:tcW w:w="3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15.80%</w:t>
            </w:r>
          </w:p>
        </w:tc>
      </w:tr>
    </w:tbl>
    <w:p>
      <w:pPr>
        <w:sectPr>
          <w:pgSz w:w="11900" w:h="16838" w:orient="portrait"/>
          <w:cols w:equalWidth="0" w:num="1">
            <w:col w:w="11040"/>
          </w:cols>
          <w:pgMar w:left="220" w:top="285" w:right="639" w:bottom="1440" w:gutter="0" w:footer="0" w:header="0"/>
          <w:type w:val="continuous"/>
        </w:sectPr>
      </w:pPr>
    </w:p>
    <w:bookmarkStart w:id="113" w:name="page114"/>
    <w:bookmarkEnd w:id="113"/>
    <w:p>
      <w:pPr>
        <w:ind w:left="26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1300"/>
          </w:cols>
          <w:pgMar w:left="220" w:top="285" w:right="37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1380" w:space="0"/>
            <w:col w:w="4020" w:space="720"/>
            <w:col w:w="5180"/>
          </w:cols>
          <w:pgMar w:left="220" w:top="285" w:right="379" w:bottom="1440" w:gutter="0" w:footer="0" w:header="0"/>
          <w:type w:val="continuous"/>
        </w:sectPr>
      </w:pPr>
    </w:p>
    <w:p>
      <w:pPr>
        <w:ind w:left="1900" w:right="620" w:hanging="1289"/>
        <w:spacing w:after="0" w:line="255" w:lineRule="auto"/>
        <w:tabs>
          <w:tab w:leader="none" w:pos="1469"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23 Pie chart entitled "Average Earning Assets Mix, year ended December 31, 1995" presenting the following information:</w:t>
      </w:r>
    </w:p>
    <w:p>
      <w:pPr>
        <w:spacing w:after="0" w:line="160"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2320" w:type="dxa"/>
            <w:vAlign w:val="bottom"/>
          </w:tcPr>
          <w:p>
            <w:pPr>
              <w:spacing w:after="0"/>
              <w:rPr>
                <w:sz w:val="20"/>
                <w:szCs w:val="20"/>
                <w:color w:val="auto"/>
              </w:rPr>
            </w:pPr>
            <w:r>
              <w:rPr>
                <w:rFonts w:ascii="Courier New" w:cs="Courier New" w:eastAsia="Courier New" w:hAnsi="Courier New"/>
                <w:sz w:val="14"/>
                <w:szCs w:val="14"/>
                <w:color w:val="auto"/>
              </w:rPr>
              <w:t>Commercial Loans</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Consumer Loans</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2320" w:type="dxa"/>
            <w:vAlign w:val="bottom"/>
          </w:tcPr>
          <w:p>
            <w:pPr>
              <w:spacing w:after="0"/>
              <w:rPr>
                <w:sz w:val="20"/>
                <w:szCs w:val="20"/>
                <w:color w:val="auto"/>
              </w:rPr>
            </w:pPr>
            <w:r>
              <w:rPr>
                <w:rFonts w:ascii="Courier New" w:cs="Courier New" w:eastAsia="Courier New" w:hAnsi="Courier New"/>
                <w:sz w:val="14"/>
                <w:szCs w:val="14"/>
                <w:color w:val="auto"/>
              </w:rPr>
              <w:t>Liquid Assets</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bl>
    <w:p>
      <w:pPr>
        <w:spacing w:after="0" w:line="335" w:lineRule="exact"/>
        <w:rPr>
          <w:sz w:val="20"/>
          <w:szCs w:val="20"/>
          <w:color w:val="auto"/>
        </w:rPr>
      </w:pPr>
    </w:p>
    <w:p>
      <w:pPr>
        <w:ind w:left="1480" w:hanging="869"/>
        <w:spacing w:after="0"/>
        <w:tabs>
          <w:tab w:leader="none" w:pos="148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23   Pie chart entitled "Average Funding Mix, year ended December 31, 1995" presenting the following information:</w:t>
      </w:r>
    </w:p>
    <w:p>
      <w:pPr>
        <w:spacing w:after="0" w:line="173"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2720" w:type="dxa"/>
            <w:vAlign w:val="bottom"/>
          </w:tcPr>
          <w:p>
            <w:pPr>
              <w:spacing w:after="0"/>
              <w:rPr>
                <w:sz w:val="20"/>
                <w:szCs w:val="20"/>
                <w:color w:val="auto"/>
              </w:rPr>
            </w:pPr>
            <w:r>
              <w:rPr>
                <w:rFonts w:ascii="Courier New" w:cs="Courier New" w:eastAsia="Courier New" w:hAnsi="Courier New"/>
                <w:sz w:val="14"/>
                <w:szCs w:val="14"/>
                <w:color w:val="auto"/>
              </w:rPr>
              <w:t>Interest-Bearing Deposits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Short-Term and Other</w:t>
            </w:r>
          </w:p>
        </w:tc>
        <w:tc>
          <w:tcPr>
            <w:tcW w:w="820" w:type="dxa"/>
            <w:vAlign w:val="bottom"/>
          </w:tcPr>
          <w:p>
            <w:pPr>
              <w:spacing w:after="0"/>
              <w:rPr>
                <w:sz w:val="14"/>
                <w:szCs w:val="14"/>
                <w:color w:val="auto"/>
              </w:rPr>
            </w:pP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Borrowings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2720" w:type="dxa"/>
            <w:vAlign w:val="bottom"/>
          </w:tcPr>
          <w:p>
            <w:pPr>
              <w:spacing w:after="0"/>
              <w:rPr>
                <w:sz w:val="20"/>
                <w:szCs w:val="20"/>
                <w:color w:val="auto"/>
              </w:rPr>
            </w:pPr>
            <w:r>
              <w:rPr>
                <w:rFonts w:ascii="Courier New" w:cs="Courier New" w:eastAsia="Courier New" w:hAnsi="Courier New"/>
                <w:sz w:val="14"/>
                <w:szCs w:val="14"/>
                <w:color w:val="auto"/>
              </w:rPr>
              <w:t>Noninterest-Bearing Funds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bl>
    <w:p>
      <w:pPr>
        <w:spacing w:after="0" w:line="170" w:lineRule="exact"/>
        <w:rPr>
          <w:sz w:val="20"/>
          <w:szCs w:val="20"/>
          <w:color w:val="auto"/>
        </w:rPr>
      </w:pPr>
    </w:p>
    <w:p>
      <w:pPr>
        <w:ind w:left="1480" w:hanging="869"/>
        <w:spacing w:after="0"/>
        <w:tabs>
          <w:tab w:leader="none" w:pos="148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24   Bar graph entitled "Provision for Losses in millions of dollars" presenting the following information:</w:t>
      </w:r>
    </w:p>
    <w:p>
      <w:pPr>
        <w:spacing w:after="0" w:line="33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1991</w:t>
            </w:r>
          </w:p>
        </w:tc>
        <w:tc>
          <w:tcPr>
            <w:tcW w:w="4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1992</w:t>
            </w:r>
          </w:p>
        </w:tc>
        <w:tc>
          <w:tcPr>
            <w:tcW w:w="4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1993</w:t>
            </w:r>
          </w:p>
        </w:tc>
        <w:tc>
          <w:tcPr>
            <w:tcW w:w="4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1994</w:t>
            </w:r>
          </w:p>
        </w:tc>
        <w:tc>
          <w:tcPr>
            <w:tcW w:w="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2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Provision for losses</w:t>
            </w:r>
          </w:p>
        </w:tc>
        <w:tc>
          <w:tcPr>
            <w:tcW w:w="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2,430</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2,585</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2,254</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1,050</w:t>
            </w:r>
          </w:p>
        </w:tc>
        <w:tc>
          <w:tcPr>
            <w:tcW w:w="4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758</w:t>
            </w:r>
          </w:p>
        </w:tc>
      </w:tr>
    </w:tbl>
    <w:p>
      <w:pPr>
        <w:spacing w:after="0" w:line="170"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The 1993 amount excludes the special provision for loans held for accelerated disposition recorded that year.</w:t>
      </w:r>
    </w:p>
    <w:p>
      <w:pPr>
        <w:spacing w:after="0" w:line="173" w:lineRule="exact"/>
        <w:rPr>
          <w:sz w:val="20"/>
          <w:szCs w:val="20"/>
          <w:color w:val="auto"/>
        </w:rPr>
      </w:pPr>
    </w:p>
    <w:p>
      <w:pPr>
        <w:ind w:left="1480" w:hanging="869"/>
        <w:spacing w:after="0"/>
        <w:tabs>
          <w:tab w:leader="none" w:pos="1480"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25   Bar graph entitled "Noninterest Revenue in millions of dollars" presenting the following information:</w:t>
      </w:r>
    </w:p>
    <w:p>
      <w:pPr>
        <w:spacing w:after="0" w:line="33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1991</w:t>
            </w:r>
          </w:p>
        </w:tc>
        <w:tc>
          <w:tcPr>
            <w:tcW w:w="4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1992</w:t>
            </w:r>
          </w:p>
        </w:tc>
        <w:tc>
          <w:tcPr>
            <w:tcW w:w="4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1993</w:t>
            </w:r>
          </w:p>
        </w:tc>
        <w:tc>
          <w:tcPr>
            <w:tcW w:w="4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1994</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2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20" w:type="dxa"/>
            <w:vAlign w:val="bottom"/>
          </w:tcPr>
          <w:p>
            <w:pPr>
              <w:spacing w:after="0"/>
              <w:rPr>
                <w:sz w:val="20"/>
                <w:szCs w:val="20"/>
                <w:color w:val="auto"/>
              </w:rPr>
            </w:pPr>
            <w:r>
              <w:rPr>
                <w:rFonts w:ascii="Courier New" w:cs="Courier New" w:eastAsia="Courier New" w:hAnsi="Courier New"/>
                <w:sz w:val="14"/>
                <w:szCs w:val="14"/>
                <w:color w:val="auto"/>
              </w:rPr>
              <w:t>Total Noninterest Revenue</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5,074</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5,420</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7,181</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6,701</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6,758</w:t>
            </w:r>
          </w:p>
        </w:tc>
      </w:tr>
      <w:tr>
        <w:trPr>
          <w:trHeight w:val="166"/>
        </w:trPr>
        <w:tc>
          <w:tcPr>
            <w:tcW w:w="2320" w:type="dxa"/>
            <w:vAlign w:val="bottom"/>
          </w:tcPr>
          <w:p>
            <w:pPr>
              <w:spacing w:after="0"/>
              <w:rPr>
                <w:sz w:val="14"/>
                <w:szCs w:val="14"/>
                <w:color w:val="auto"/>
              </w:rPr>
            </w:pPr>
          </w:p>
        </w:tc>
        <w:tc>
          <w:tcPr>
            <w:tcW w:w="12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Percentage increase of</w:t>
            </w:r>
          </w:p>
        </w:tc>
        <w:tc>
          <w:tcPr>
            <w:tcW w:w="1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fees &amp; commissions from</w:t>
            </w:r>
          </w:p>
        </w:tc>
        <w:tc>
          <w:tcPr>
            <w:tcW w:w="1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the prior year</w:t>
            </w:r>
          </w:p>
        </w:tc>
        <w:tc>
          <w:tcPr>
            <w:tcW w:w="19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w:t>
            </w:r>
          </w:p>
        </w:tc>
        <w:tc>
          <w:tcPr>
            <w:tcW w:w="12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bl>
    <w:p>
      <w:pPr>
        <w:spacing w:after="0" w:line="170" w:lineRule="exact"/>
        <w:rPr>
          <w:sz w:val="20"/>
          <w:szCs w:val="20"/>
          <w:color w:val="auto"/>
        </w:rPr>
      </w:pPr>
    </w:p>
    <w:p>
      <w:pPr>
        <w:ind w:left="1480" w:hanging="869"/>
        <w:spacing w:after="0"/>
        <w:tabs>
          <w:tab w:leader="none" w:pos="148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27   Bar graph entitled "Noninterest Expense in millions of dollars" presenting the following information:</w:t>
      </w:r>
    </w:p>
    <w:p>
      <w:pPr>
        <w:spacing w:after="0" w:line="338"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1991</w:t>
            </w:r>
          </w:p>
        </w:tc>
        <w:tc>
          <w:tcPr>
            <w:tcW w:w="4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1992</w:t>
            </w:r>
          </w:p>
        </w:tc>
        <w:tc>
          <w:tcPr>
            <w:tcW w:w="4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1993</w:t>
            </w:r>
          </w:p>
        </w:tc>
        <w:tc>
          <w:tcPr>
            <w:tcW w:w="4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1994</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2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Noninterest expense</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excluding restructuring</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charges and foreclosed</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property expense and, in</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1993, the provision for</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other real estate held for</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accelerated disposition</w:t>
            </w:r>
          </w:p>
        </w:tc>
        <w:tc>
          <w:tcPr>
            <w:tcW w:w="4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8,203</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8,388</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8,798</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9,487</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9,450</w:t>
            </w:r>
          </w:p>
        </w:tc>
      </w:tr>
    </w:tbl>
    <w:p>
      <w:pPr>
        <w:sectPr>
          <w:pgSz w:w="11900" w:h="16838" w:orient="portrait"/>
          <w:cols w:equalWidth="0" w:num="1">
            <w:col w:w="11300"/>
          </w:cols>
          <w:pgMar w:left="220" w:top="285" w:right="379" w:bottom="1440" w:gutter="0" w:footer="0" w:header="0"/>
          <w:type w:val="continuous"/>
        </w:sectPr>
      </w:pPr>
    </w:p>
    <w:bookmarkStart w:id="114" w:name="page115"/>
    <w:bookmarkEnd w:id="114"/>
    <w:p>
      <w:pPr>
        <w:ind w:left="26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1120"/>
          </w:cols>
          <w:pgMar w:left="220" w:top="285" w:right="55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1380" w:space="0"/>
            <w:col w:w="4020" w:space="720"/>
            <w:col w:w="5000"/>
          </w:cols>
          <w:pgMar w:left="220" w:top="285" w:right="559" w:bottom="1440" w:gutter="0" w:footer="0" w:header="0"/>
          <w:type w:val="continuous"/>
        </w:sectPr>
      </w:pPr>
    </w:p>
    <w:p>
      <w:pPr>
        <w:ind w:left="1900" w:right="80" w:hanging="1289"/>
        <w:spacing w:after="0" w:line="255" w:lineRule="auto"/>
        <w:tabs>
          <w:tab w:leader="none" w:pos="1469"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29 Pie chart entitled "1995 Total Revenue (Total Net Interest Income and Noninterest Revenue)" presenting the following information:</w:t>
      </w:r>
    </w:p>
    <w:p>
      <w:pPr>
        <w:spacing w:after="0" w:line="160"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Global Bank</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Regional and Consumer</w:t>
            </w:r>
          </w:p>
        </w:tc>
        <w:tc>
          <w:tcPr>
            <w:tcW w:w="100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Banking</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Global Services</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Terminal (LDC and</w:t>
            </w:r>
          </w:p>
        </w:tc>
        <w:tc>
          <w:tcPr>
            <w:tcW w:w="1000" w:type="dxa"/>
            <w:vAlign w:val="bottom"/>
          </w:tcPr>
          <w:p>
            <w:pPr>
              <w:spacing w:after="0"/>
              <w:rPr>
                <w:sz w:val="14"/>
                <w:szCs w:val="14"/>
                <w:color w:val="auto"/>
              </w:rPr>
            </w:pPr>
          </w:p>
        </w:tc>
      </w:tr>
      <w:tr>
        <w:trPr>
          <w:trHeight w:val="166"/>
        </w:trPr>
        <w:tc>
          <w:tcPr>
            <w:tcW w:w="254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bl>
    <w:p>
      <w:pPr>
        <w:spacing w:after="0" w:line="170" w:lineRule="exact"/>
        <w:rPr>
          <w:sz w:val="20"/>
          <w:szCs w:val="20"/>
          <w:color w:val="auto"/>
        </w:rPr>
      </w:pPr>
    </w:p>
    <w:p>
      <w:pPr>
        <w:ind w:left="1900" w:hanging="1289"/>
        <w:spacing w:after="0" w:line="255" w:lineRule="auto"/>
        <w:tabs>
          <w:tab w:leader="none" w:pos="1469"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29 Pie chart entitled "1994 Total Revenues (Total Net Interest Income and Noninterest Revenue)" presenting the following information:</w:t>
      </w:r>
    </w:p>
    <w:p>
      <w:pPr>
        <w:spacing w:after="0" w:line="16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Global Bank</w:t>
            </w:r>
          </w:p>
        </w:tc>
        <w:tc>
          <w:tcPr>
            <w:tcW w:w="5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Regional and Consumer</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Banking</w:t>
            </w:r>
          </w:p>
        </w:tc>
        <w:tc>
          <w:tcPr>
            <w:tcW w:w="5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Global Services</w:t>
            </w:r>
          </w:p>
        </w:tc>
        <w:tc>
          <w:tcPr>
            <w:tcW w:w="5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Terminal (LDC and</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Real Estate)</w:t>
            </w:r>
          </w:p>
        </w:tc>
        <w:tc>
          <w:tcPr>
            <w:tcW w:w="5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56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4"/>
              </w:rPr>
              <w:t>10</w:t>
            </w:r>
          </w:p>
        </w:tc>
        <w:tc>
          <w:tcPr>
            <w:tcW w:w="9780" w:type="dxa"/>
            <w:vAlign w:val="bottom"/>
            <w:gridSpan w:val="12"/>
          </w:tcPr>
          <w:p>
            <w:pPr>
              <w:ind w:left="400"/>
              <w:spacing w:after="0"/>
              <w:rPr>
                <w:sz w:val="20"/>
                <w:szCs w:val="20"/>
                <w:color w:val="auto"/>
              </w:rPr>
            </w:pPr>
            <w:r>
              <w:rPr>
                <w:rFonts w:ascii="Courier New" w:cs="Courier New" w:eastAsia="Courier New" w:hAnsi="Courier New"/>
                <w:sz w:val="14"/>
                <w:szCs w:val="14"/>
                <w:color w:val="auto"/>
              </w:rPr>
              <w:t>32   Pie chart entitled "Loans at December 31, 1995" presenting the make-up of the loan portfolio as follows:</w:t>
            </w:r>
          </w:p>
        </w:tc>
      </w:tr>
      <w:tr>
        <w:trPr>
          <w:trHeight w:val="331"/>
        </w:trPr>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Domestic Residential</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Mortgage</w:t>
            </w:r>
          </w:p>
        </w:tc>
        <w:tc>
          <w:tcPr>
            <w:tcW w:w="5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Domestic Credit Card</w:t>
            </w:r>
          </w:p>
        </w:tc>
        <w:tc>
          <w:tcPr>
            <w:tcW w:w="5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Domestic Other Consumer</w:t>
            </w:r>
          </w:p>
        </w:tc>
        <w:tc>
          <w:tcPr>
            <w:tcW w:w="5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Domestic Commercial</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and Industrial</w:t>
            </w:r>
          </w:p>
        </w:tc>
        <w:tc>
          <w:tcPr>
            <w:tcW w:w="5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Domestic Commercial</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Real Estate</w:t>
            </w:r>
          </w:p>
        </w:tc>
        <w:tc>
          <w:tcPr>
            <w:tcW w:w="5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Domestic Financial</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Institutions</w:t>
            </w:r>
          </w:p>
        </w:tc>
        <w:tc>
          <w:tcPr>
            <w:tcW w:w="5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Foreign</w:t>
            </w:r>
          </w:p>
        </w:tc>
        <w:tc>
          <w:tcPr>
            <w:tcW w:w="52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1"/>
        </w:trPr>
        <w:tc>
          <w:tcPr>
            <w:tcW w:w="56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4"/>
              </w:rPr>
              <w:t>11</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33</w:t>
            </w:r>
          </w:p>
        </w:tc>
        <w:tc>
          <w:tcPr>
            <w:tcW w:w="908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Bar graph entitled "Nonperforming Assets in millions of dollars"  presenting the following information:</w:t>
            </w:r>
          </w:p>
        </w:tc>
      </w:tr>
      <w:tr>
        <w:trPr>
          <w:trHeight w:val="497"/>
        </w:trPr>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1991</w:t>
            </w:r>
          </w:p>
        </w:tc>
        <w:tc>
          <w:tcPr>
            <w:tcW w:w="34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1992</w:t>
            </w:r>
          </w:p>
        </w:tc>
        <w:tc>
          <w:tcPr>
            <w:tcW w:w="44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1993</w:t>
            </w:r>
          </w:p>
        </w:tc>
        <w:tc>
          <w:tcPr>
            <w:tcW w:w="44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1994</w:t>
            </w:r>
          </w:p>
        </w:tc>
        <w:tc>
          <w:tcPr>
            <w:tcW w:w="420" w:type="dxa"/>
            <w:vAlign w:val="bottom"/>
          </w:tcPr>
          <w:p>
            <w:pPr>
              <w:spacing w:after="0"/>
              <w:rPr>
                <w:sz w:val="24"/>
                <w:szCs w:val="24"/>
                <w:color w:val="auto"/>
              </w:rPr>
            </w:pP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Nonperforming Assets</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11,414</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11,181</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5,630</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2,126</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1,664</w:t>
            </w:r>
          </w:p>
        </w:tc>
      </w:tr>
      <w:tr>
        <w:trPr>
          <w:trHeight w:val="166"/>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497"/>
        </w:trPr>
        <w:tc>
          <w:tcPr>
            <w:tcW w:w="56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4"/>
              </w:rPr>
              <w:t>12</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33</w:t>
            </w:r>
          </w:p>
        </w:tc>
        <w:tc>
          <w:tcPr>
            <w:tcW w:w="9080" w:type="dxa"/>
            <w:vAlign w:val="bottom"/>
            <w:gridSpan w:val="11"/>
          </w:tcPr>
          <w:p>
            <w:pPr>
              <w:ind w:left="120"/>
              <w:spacing w:after="0"/>
              <w:rPr>
                <w:sz w:val="20"/>
                <w:szCs w:val="20"/>
                <w:color w:val="auto"/>
              </w:rPr>
            </w:pPr>
            <w:r>
              <w:rPr>
                <w:rFonts w:ascii="Courier New" w:cs="Courier New" w:eastAsia="Courier New" w:hAnsi="Courier New"/>
                <w:sz w:val="14"/>
                <w:szCs w:val="14"/>
                <w:color w:val="auto"/>
              </w:rPr>
              <w:t>Line graph entitled "Net Charge-offs in millions of dollars" presenting the following information:</w:t>
            </w:r>
          </w:p>
        </w:tc>
      </w:tr>
      <w:tr>
        <w:trPr>
          <w:trHeight w:val="331"/>
        </w:trPr>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1991</w:t>
            </w:r>
          </w:p>
        </w:tc>
        <w:tc>
          <w:tcPr>
            <w:tcW w:w="34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1992</w:t>
            </w:r>
          </w:p>
        </w:tc>
        <w:tc>
          <w:tcPr>
            <w:tcW w:w="440" w:type="dxa"/>
            <w:vAlign w:val="bottom"/>
          </w:tcPr>
          <w:p>
            <w:pPr>
              <w:spacing w:after="0"/>
              <w:rPr>
                <w:sz w:val="24"/>
                <w:szCs w:val="2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1993</w:t>
            </w:r>
          </w:p>
        </w:tc>
        <w:tc>
          <w:tcPr>
            <w:tcW w:w="440" w:type="dxa"/>
            <w:vAlign w:val="bottom"/>
          </w:tcPr>
          <w:p>
            <w:pPr>
              <w:spacing w:after="0"/>
              <w:rPr>
                <w:sz w:val="24"/>
                <w:szCs w:val="2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1994</w:t>
            </w:r>
          </w:p>
        </w:tc>
        <w:tc>
          <w:tcPr>
            <w:tcW w:w="420" w:type="dxa"/>
            <w:vAlign w:val="bottom"/>
          </w:tcPr>
          <w:p>
            <w:pPr>
              <w:spacing w:after="0"/>
              <w:rPr>
                <w:sz w:val="24"/>
                <w:szCs w:val="24"/>
                <w:color w:val="auto"/>
              </w:rPr>
            </w:pP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60" w:type="dxa"/>
            <w:vAlign w:val="bottom"/>
          </w:tcPr>
          <w:p>
            <w:pPr>
              <w:ind w:left="120"/>
              <w:spacing w:after="0"/>
              <w:rPr>
                <w:sz w:val="20"/>
                <w:szCs w:val="20"/>
                <w:color w:val="auto"/>
              </w:rPr>
            </w:pPr>
            <w:r>
              <w:rPr>
                <w:rFonts w:ascii="Courier New" w:cs="Courier New" w:eastAsia="Courier New" w:hAnsi="Courier New"/>
                <w:sz w:val="14"/>
                <w:szCs w:val="14"/>
                <w:color w:val="auto"/>
              </w:rPr>
              <w:t>Total Net Charge-offs</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4,232</w:t>
            </w:r>
          </w:p>
        </w:tc>
        <w:tc>
          <w:tcPr>
            <w:tcW w:w="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2,875</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2,618</w:t>
            </w:r>
          </w:p>
        </w:tc>
        <w:tc>
          <w:tcPr>
            <w:tcW w:w="4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1,464</w:t>
            </w:r>
          </w:p>
        </w:tc>
        <w:tc>
          <w:tcPr>
            <w:tcW w:w="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840</w:t>
            </w:r>
          </w:p>
        </w:tc>
      </w:tr>
      <w:tr>
        <w:trPr>
          <w:trHeight w:val="166"/>
        </w:trPr>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1120"/>
          </w:cols>
          <w:pgMar w:left="220" w:top="285" w:right="559" w:bottom="1440" w:gutter="0" w:footer="0" w:header="0"/>
          <w:type w:val="continuous"/>
        </w:sectPr>
      </w:pPr>
    </w:p>
    <w:bookmarkStart w:id="115" w:name="page116"/>
    <w:bookmarkEnd w:id="115"/>
    <w:p>
      <w:pPr>
        <w:ind w:left="26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1300"/>
          </w:cols>
          <w:pgMar w:left="220" w:top="285" w:right="379"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GRAPHIC NUMBER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1380" w:space="0"/>
            <w:col w:w="4020" w:space="720"/>
            <w:col w:w="5180"/>
          </w:cols>
          <w:pgMar w:left="220" w:top="285" w:right="379" w:bottom="1440" w:gutter="0" w:footer="0" w:header="0"/>
          <w:type w:val="continuous"/>
        </w:sectPr>
      </w:pPr>
    </w:p>
    <w:p>
      <w:pPr>
        <w:ind w:left="1900" w:right="780" w:hanging="1375"/>
        <w:spacing w:after="0" w:line="255" w:lineRule="auto"/>
        <w:tabs>
          <w:tab w:leader="none" w:pos="1469"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35 Bar graph entitled "Managed Credit Card Receivables in billions of dollars" presenting the following information:</w:t>
      </w:r>
    </w:p>
    <w:p>
      <w:pPr>
        <w:spacing w:after="0" w:line="326"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12/31/91</w:t>
            </w:r>
          </w:p>
        </w:tc>
        <w:tc>
          <w:tcPr>
            <w:tcW w:w="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12/31/92</w:t>
            </w:r>
          </w:p>
        </w:tc>
        <w:tc>
          <w:tcPr>
            <w:tcW w:w="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12/31/93</w:t>
            </w:r>
          </w:p>
        </w:tc>
        <w:tc>
          <w:tcPr>
            <w:tcW w:w="3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12/31/94</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12/31/95</w:t>
            </w:r>
          </w:p>
        </w:tc>
      </w:tr>
      <w:tr>
        <w:trPr>
          <w:trHeight w:val="166"/>
        </w:trPr>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Owned</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13.6</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17.0</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17.1</w:t>
            </w:r>
          </w:p>
        </w:tc>
      </w:tr>
      <w:tr>
        <w:trPr>
          <w:trHeight w:val="166"/>
        </w:trPr>
        <w:tc>
          <w:tcPr>
            <w:tcW w:w="1560" w:type="dxa"/>
            <w:vAlign w:val="bottom"/>
          </w:tcPr>
          <w:p>
            <w:pPr>
              <w:spacing w:after="0"/>
              <w:rPr>
                <w:sz w:val="14"/>
                <w:szCs w:val="14"/>
                <w:color w:val="auto"/>
              </w:rPr>
            </w:pPr>
          </w:p>
        </w:tc>
        <w:tc>
          <w:tcPr>
            <w:tcW w:w="20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spacing w:after="0"/>
              <w:rPr>
                <w:sz w:val="20"/>
                <w:szCs w:val="20"/>
                <w:color w:val="auto"/>
              </w:rPr>
            </w:pPr>
            <w:r>
              <w:rPr>
                <w:rFonts w:ascii="Courier New" w:cs="Courier New" w:eastAsia="Courier New" w:hAnsi="Courier New"/>
                <w:sz w:val="14"/>
                <w:szCs w:val="14"/>
                <w:color w:val="auto"/>
              </w:rPr>
              <w:t>Managed</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16.3</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17.4</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23.7</w:t>
            </w:r>
          </w:p>
        </w:tc>
      </w:tr>
      <w:tr>
        <w:trPr>
          <w:trHeight w:val="166"/>
        </w:trPr>
        <w:tc>
          <w:tcPr>
            <w:tcW w:w="1560" w:type="dxa"/>
            <w:vAlign w:val="bottom"/>
          </w:tcPr>
          <w:p>
            <w:pPr>
              <w:spacing w:after="0"/>
              <w:rPr>
                <w:sz w:val="14"/>
                <w:szCs w:val="14"/>
                <w:color w:val="auto"/>
              </w:rPr>
            </w:pPr>
          </w:p>
        </w:tc>
        <w:tc>
          <w:tcPr>
            <w:tcW w:w="20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1900" w:right="100" w:hanging="1375"/>
        <w:spacing w:after="0" w:line="255" w:lineRule="auto"/>
        <w:tabs>
          <w:tab w:leader="none" w:pos="1469"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35 Bar graph entitled "Credit Card Net Charge-offs to Average Managed Receivables in million of dollars, except ratios" presenting the following information:</w:t>
      </w:r>
    </w:p>
    <w:p>
      <w:pPr>
        <w:spacing w:after="0" w:line="326"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1991</w:t>
            </w: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1992</w:t>
            </w:r>
          </w:p>
        </w:tc>
        <w:tc>
          <w:tcPr>
            <w:tcW w:w="4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1993</w:t>
            </w:r>
          </w:p>
        </w:tc>
        <w:tc>
          <w:tcPr>
            <w:tcW w:w="4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c>
          <w:tcPr>
            <w:tcW w:w="4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2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380" w:type="dxa"/>
            <w:vAlign w:val="bottom"/>
          </w:tcPr>
          <w:p>
            <w:pPr>
              <w:spacing w:after="0"/>
              <w:rPr>
                <w:sz w:val="20"/>
                <w:szCs w:val="20"/>
                <w:color w:val="auto"/>
              </w:rPr>
            </w:pPr>
            <w:r>
              <w:rPr>
                <w:rFonts w:ascii="Courier New" w:cs="Courier New" w:eastAsia="Courier New" w:hAnsi="Courier New"/>
                <w:sz w:val="14"/>
                <w:szCs w:val="14"/>
                <w:color w:val="auto"/>
              </w:rPr>
              <w:t>Net Charge-offs of Managed</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Credit Card Receivables</w:t>
            </w:r>
          </w:p>
        </w:tc>
        <w:tc>
          <w:tcPr>
            <w:tcW w:w="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781</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877</w:t>
            </w:r>
          </w:p>
        </w:tc>
        <w:tc>
          <w:tcPr>
            <w:tcW w:w="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779</w:t>
            </w:r>
          </w:p>
        </w:tc>
        <w:tc>
          <w:tcPr>
            <w:tcW w:w="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745</w:t>
            </w:r>
          </w:p>
        </w:tc>
        <w:tc>
          <w:tcPr>
            <w:tcW w:w="42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849</w:t>
            </w: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Net Charge-offs of Managed</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Credit Card Receivables as</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a percentage of Average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Managed Credit Card</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380" w:type="dxa"/>
            <w:vAlign w:val="bottom"/>
          </w:tcPr>
          <w:p>
            <w:pPr>
              <w:spacing w:after="0"/>
              <w:rPr>
                <w:sz w:val="20"/>
                <w:szCs w:val="20"/>
                <w:color w:val="auto"/>
              </w:rPr>
            </w:pPr>
            <w:r>
              <w:rPr>
                <w:rFonts w:ascii="Courier New" w:cs="Courier New" w:eastAsia="Courier New" w:hAnsi="Courier New"/>
                <w:sz w:val="14"/>
                <w:szCs w:val="14"/>
                <w:color w:val="auto"/>
              </w:rPr>
              <w:t>Receivables</w:t>
            </w:r>
          </w:p>
        </w:tc>
        <w:tc>
          <w:tcPr>
            <w:tcW w:w="46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5.25%</w:t>
            </w:r>
          </w:p>
        </w:tc>
        <w:tc>
          <w:tcPr>
            <w:tcW w:w="44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5.59%</w:t>
            </w:r>
          </w:p>
        </w:tc>
        <w:tc>
          <w:tcPr>
            <w:tcW w:w="4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4.91%</w:t>
            </w:r>
          </w:p>
        </w:tc>
        <w:tc>
          <w:tcPr>
            <w:tcW w:w="4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4.30%</w:t>
            </w:r>
          </w:p>
        </w:tc>
        <w:tc>
          <w:tcPr>
            <w:tcW w:w="4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4.05%</w:t>
            </w:r>
          </w:p>
        </w:tc>
      </w:tr>
    </w:tbl>
    <w:p>
      <w:pPr>
        <w:spacing w:after="0" w:line="170" w:lineRule="exact"/>
        <w:rPr>
          <w:sz w:val="20"/>
          <w:szCs w:val="20"/>
          <w:color w:val="auto"/>
        </w:rPr>
      </w:pPr>
    </w:p>
    <w:p>
      <w:pPr>
        <w:ind w:left="1900" w:right="260" w:hanging="1375"/>
        <w:spacing w:after="0" w:line="255" w:lineRule="auto"/>
        <w:tabs>
          <w:tab w:leader="none" w:pos="1469"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39 Bar graph entitled "Total Allowance for Credit Losses and Allowance Coverage Ratio in millions of dollars, except ratios" presenting the following information:</w:t>
      </w:r>
    </w:p>
    <w:p>
      <w:pPr>
        <w:spacing w:after="0" w:line="326"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12/31/91</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12/31/92</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12/31/93</w:t>
            </w:r>
          </w:p>
        </w:tc>
        <w:tc>
          <w:tcPr>
            <w:tcW w:w="2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12/31/94</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12/31/95</w:t>
            </w:r>
          </w:p>
        </w:tc>
      </w:tr>
      <w:tr>
        <w:trPr>
          <w:trHeight w:val="166"/>
        </w:trPr>
        <w:tc>
          <w:tcPr>
            <w:tcW w:w="2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1"/>
        </w:trPr>
        <w:tc>
          <w:tcPr>
            <w:tcW w:w="2120" w:type="dxa"/>
            <w:vAlign w:val="bottom"/>
          </w:tcPr>
          <w:p>
            <w:pPr>
              <w:spacing w:after="0"/>
              <w:rPr>
                <w:sz w:val="20"/>
                <w:szCs w:val="20"/>
                <w:color w:val="auto"/>
              </w:rPr>
            </w:pPr>
            <w:r>
              <w:rPr>
                <w:rFonts w:ascii="Courier New" w:cs="Courier New" w:eastAsia="Courier New" w:hAnsi="Courier New"/>
                <w:sz w:val="14"/>
                <w:szCs w:val="14"/>
                <w:color w:val="auto"/>
              </w:rPr>
              <w:t>Total Allowance for</w:t>
            </w: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Credit Losses</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5,235</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4,938</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4,445</w:t>
            </w:r>
          </w:p>
        </w:tc>
        <w:tc>
          <w:tcPr>
            <w:tcW w:w="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3,894</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3,784</w:t>
            </w: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Total Allowance as a</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Percentage of Total</w:t>
            </w:r>
          </w:p>
        </w:tc>
        <w:tc>
          <w:tcPr>
            <w:tcW w:w="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120" w:type="dxa"/>
            <w:vAlign w:val="bottom"/>
          </w:tcPr>
          <w:p>
            <w:pPr>
              <w:spacing w:after="0"/>
              <w:rPr>
                <w:sz w:val="20"/>
                <w:szCs w:val="20"/>
                <w:color w:val="auto"/>
              </w:rPr>
            </w:pPr>
            <w:r>
              <w:rPr>
                <w:rFonts w:ascii="Courier New" w:cs="Courier New" w:eastAsia="Courier New" w:hAnsi="Courier New"/>
                <w:sz w:val="14"/>
                <w:szCs w:val="14"/>
                <w:color w:val="auto"/>
              </w:rPr>
              <w:t>Nonperforming Loans</w:t>
            </w:r>
          </w:p>
        </w:tc>
        <w:tc>
          <w:tcPr>
            <w:tcW w:w="5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w:t>
            </w:r>
          </w:p>
        </w:tc>
        <w:tc>
          <w:tcPr>
            <w:tcW w:w="26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122%</w:t>
            </w:r>
          </w:p>
        </w:tc>
        <w:tc>
          <w:tcPr>
            <w:tcW w:w="26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245%</w:t>
            </w: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253%</w:t>
            </w:r>
          </w:p>
        </w:tc>
      </w:tr>
    </w:tbl>
    <w:p>
      <w:pPr>
        <w:spacing w:after="0" w:line="170" w:lineRule="exact"/>
        <w:rPr>
          <w:sz w:val="20"/>
          <w:szCs w:val="20"/>
          <w:color w:val="auto"/>
        </w:rPr>
      </w:pPr>
    </w:p>
    <w:p>
      <w:pPr>
        <w:ind w:left="1900" w:hanging="1375"/>
        <w:spacing w:after="0" w:line="255" w:lineRule="auto"/>
        <w:tabs>
          <w:tab w:leader="none" w:pos="1469"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41 Bar graph entitled "Histogram of Daily Market Risk-Related Trading Revenue for 1995" presenting the following information:</w:t>
      </w:r>
    </w:p>
    <w:p>
      <w:pPr>
        <w:spacing w:after="0" w:line="326"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Millions of dollars</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0 - 5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5 - 10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10 - 15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15 - 20</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20 - 25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25 - 30</w:t>
            </w:r>
          </w:p>
        </w:tc>
      </w:tr>
      <w:tr>
        <w:trPr>
          <w:trHeight w:val="166"/>
        </w:trPr>
        <w:tc>
          <w:tcPr>
            <w:tcW w:w="2640" w:type="dxa"/>
            <w:vAlign w:val="bottom"/>
          </w:tcPr>
          <w:p>
            <w:pPr>
              <w:spacing w:after="0"/>
              <w:rPr>
                <w:sz w:val="14"/>
                <w:szCs w:val="14"/>
                <w:color w:val="auto"/>
              </w:rPr>
            </w:pP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2640" w:type="dxa"/>
            <w:vAlign w:val="bottom"/>
          </w:tcPr>
          <w:p>
            <w:pPr>
              <w:spacing w:after="0"/>
              <w:rPr>
                <w:sz w:val="20"/>
                <w:szCs w:val="20"/>
                <w:color w:val="auto"/>
              </w:rPr>
            </w:pPr>
            <w:r>
              <w:rPr>
                <w:rFonts w:ascii="Courier New" w:cs="Courier New" w:eastAsia="Courier New" w:hAnsi="Courier New"/>
                <w:sz w:val="14"/>
                <w:szCs w:val="14"/>
                <w:color w:val="auto"/>
              </w:rPr>
              <w:t>Number of trading days</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trading revenue was within</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the above prescribed</w:t>
            </w: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positive dollar range</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bl>
    <w:p>
      <w:pPr>
        <w:sectPr>
          <w:pgSz w:w="11900" w:h="16838" w:orient="portrait"/>
          <w:cols w:equalWidth="0" w:num="1">
            <w:col w:w="11300"/>
          </w:cols>
          <w:pgMar w:left="220" w:top="285" w:right="379" w:bottom="1440" w:gutter="0" w:footer="0" w:header="0"/>
          <w:type w:val="continuous"/>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70</w:t>
            </w:r>
          </w:p>
        </w:tc>
        <w:tc>
          <w:tcPr>
            <w:tcW w:w="3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497"/>
        </w:trPr>
        <w:tc>
          <w:tcPr>
            <w:tcW w:w="1380" w:type="dxa"/>
            <w:vAlign w:val="bottom"/>
          </w:tcPr>
          <w:p>
            <w:pPr>
              <w:spacing w:after="0"/>
              <w:rPr>
                <w:sz w:val="20"/>
                <w:szCs w:val="20"/>
                <w:color w:val="auto"/>
              </w:rPr>
            </w:pPr>
            <w:r>
              <w:rPr>
                <w:rFonts w:ascii="Courier New" w:cs="Courier New" w:eastAsia="Courier New" w:hAnsi="Courier New"/>
                <w:sz w:val="14"/>
                <w:szCs w:val="14"/>
                <w:color w:val="auto"/>
              </w:rPr>
              <w:t>GRAPHIC NUMBER</w:t>
            </w:r>
          </w:p>
        </w:tc>
        <w:tc>
          <w:tcPr>
            <w:tcW w:w="3020" w:type="dxa"/>
            <w:vAlign w:val="bottom"/>
          </w:tcPr>
          <w:p>
            <w:pPr>
              <w:spacing w:after="0"/>
              <w:rPr>
                <w:sz w:val="20"/>
                <w:szCs w:val="20"/>
                <w:color w:val="auto"/>
              </w:rPr>
            </w:pPr>
            <w:r>
              <w:rPr>
                <w:rFonts w:ascii="Courier New" w:cs="Courier New" w:eastAsia="Courier New" w:hAnsi="Courier New"/>
                <w:sz w:val="14"/>
                <w:szCs w:val="14"/>
                <w:color w:val="auto"/>
              </w:rPr>
              <w:t>PAGE</w:t>
            </w:r>
          </w:p>
        </w:tc>
        <w:tc>
          <w:tcPr>
            <w:tcW w:w="1160" w:type="dxa"/>
            <w:vAlign w:val="bottom"/>
          </w:tcPr>
          <w:p>
            <w:pPr>
              <w:spacing w:after="0"/>
              <w:rPr>
                <w:sz w:val="24"/>
                <w:szCs w:val="24"/>
                <w:color w:val="auto"/>
              </w:rPr>
            </w:pPr>
          </w:p>
        </w:tc>
        <w:tc>
          <w:tcPr>
            <w:tcW w:w="2420" w:type="dxa"/>
            <w:vAlign w:val="bottom"/>
            <w:gridSpan w:val="2"/>
          </w:tcPr>
          <w:p>
            <w:pPr>
              <w:jc w:val="right"/>
              <w:ind w:right="828"/>
              <w:spacing w:after="0"/>
              <w:rPr>
                <w:sz w:val="20"/>
                <w:szCs w:val="20"/>
                <w:color w:val="auto"/>
              </w:rPr>
            </w:pPr>
            <w:r>
              <w:rPr>
                <w:rFonts w:ascii="Courier New" w:cs="Courier New" w:eastAsia="Courier New" w:hAnsi="Courier New"/>
                <w:sz w:val="14"/>
                <w:szCs w:val="14"/>
                <w:color w:val="auto"/>
              </w:rPr>
              <w:t>DESCRIPTION</w:t>
            </w: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13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0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spacing w:after="0"/>
              <w:rPr>
                <w:sz w:val="14"/>
                <w:szCs w:val="14"/>
                <w:color w:val="auto"/>
              </w:rPr>
            </w:pPr>
          </w:p>
        </w:tc>
        <w:tc>
          <w:tcPr>
            <w:tcW w:w="242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1"/>
        </w:trPr>
        <w:tc>
          <w:tcPr>
            <w:tcW w:w="1380" w:type="dxa"/>
            <w:vAlign w:val="bottom"/>
          </w:tcPr>
          <w:p>
            <w:pPr>
              <w:spacing w:after="0"/>
              <w:rPr>
                <w:sz w:val="24"/>
                <w:szCs w:val="24"/>
                <w:color w:val="auto"/>
              </w:rPr>
            </w:pPr>
          </w:p>
        </w:tc>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Millions of dollars</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0 - (5)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 - (10)</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 - (15)</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 - (20)</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 - (25)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 - (30)</w:t>
            </w:r>
          </w:p>
        </w:tc>
      </w:tr>
      <w:tr>
        <w:trPr>
          <w:trHeight w:val="331"/>
        </w:trPr>
        <w:tc>
          <w:tcPr>
            <w:tcW w:w="1380" w:type="dxa"/>
            <w:vAlign w:val="bottom"/>
          </w:tcPr>
          <w:p>
            <w:pPr>
              <w:spacing w:after="0"/>
              <w:rPr>
                <w:sz w:val="24"/>
                <w:szCs w:val="24"/>
                <w:color w:val="auto"/>
              </w:rPr>
            </w:pPr>
          </w:p>
        </w:tc>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Number of trading days</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1380" w:type="dxa"/>
            <w:vAlign w:val="bottom"/>
          </w:tcPr>
          <w:p>
            <w:pPr>
              <w:spacing w:after="0"/>
              <w:rPr>
                <w:sz w:val="14"/>
                <w:szCs w:val="14"/>
                <w:color w:val="auto"/>
              </w:rPr>
            </w:pPr>
          </w:p>
        </w:tc>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trading revenue was within</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the above prescribed</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negative dollar range</w:t>
            </w: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w:t>
            </w:r>
          </w:p>
        </w:tc>
      </w:tr>
      <w:tr>
        <w:trPr>
          <w:trHeight w:val="331"/>
        </w:trPr>
        <w:tc>
          <w:tcPr>
            <w:tcW w:w="1380" w:type="dxa"/>
            <w:vAlign w:val="bottom"/>
          </w:tcPr>
          <w:p>
            <w:pPr>
              <w:spacing w:after="0"/>
              <w:rPr>
                <w:sz w:val="24"/>
                <w:szCs w:val="24"/>
                <w:color w:val="auto"/>
              </w:rPr>
            </w:pPr>
          </w:p>
        </w:tc>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Millions of dollars</w:t>
            </w:r>
          </w:p>
        </w:tc>
        <w:tc>
          <w:tcPr>
            <w:tcW w:w="1160" w:type="dxa"/>
            <w:vAlign w:val="bottom"/>
          </w:tcPr>
          <w:p>
            <w:pPr>
              <w:spacing w:after="0"/>
              <w:rPr>
                <w:sz w:val="24"/>
                <w:szCs w:val="2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 - (35)</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 - (40)</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 - (45)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 - (50)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(50) - (55)</w:t>
            </w:r>
          </w:p>
        </w:tc>
      </w:tr>
      <w:tr>
        <w:trPr>
          <w:trHeight w:val="166"/>
        </w:trPr>
        <w:tc>
          <w:tcPr>
            <w:tcW w:w="1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380" w:type="dxa"/>
            <w:vAlign w:val="bottom"/>
          </w:tcPr>
          <w:p>
            <w:pPr>
              <w:spacing w:after="0"/>
              <w:rPr>
                <w:sz w:val="24"/>
                <w:szCs w:val="24"/>
                <w:color w:val="auto"/>
              </w:rPr>
            </w:pPr>
          </w:p>
        </w:tc>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Number of trading days</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1380" w:type="dxa"/>
            <w:vAlign w:val="bottom"/>
          </w:tcPr>
          <w:p>
            <w:pPr>
              <w:spacing w:after="0"/>
              <w:rPr>
                <w:sz w:val="14"/>
                <w:szCs w:val="14"/>
                <w:color w:val="auto"/>
              </w:rPr>
            </w:pPr>
          </w:p>
        </w:tc>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trading revenue was within</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the above prescribed</w:t>
            </w: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1380" w:type="dxa"/>
            <w:vAlign w:val="bottom"/>
          </w:tcPr>
          <w:p>
            <w:pPr>
              <w:spacing w:after="0"/>
              <w:rPr>
                <w:sz w:val="14"/>
                <w:szCs w:val="14"/>
                <w:color w:val="auto"/>
              </w:rPr>
            </w:pPr>
          </w:p>
        </w:tc>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negative dollar range</w:t>
            </w:r>
          </w:p>
        </w:tc>
        <w:tc>
          <w:tcPr>
            <w:tcW w:w="1160" w:type="dxa"/>
            <w:vAlign w:val="bottom"/>
          </w:tcPr>
          <w:p>
            <w:pPr>
              <w:spacing w:after="0"/>
              <w:rPr>
                <w:sz w:val="14"/>
                <w:szCs w:val="14"/>
                <w:color w:val="auto"/>
              </w:rPr>
            </w:pP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r>
      <w:tr>
        <w:trPr>
          <w:trHeight w:val="497"/>
        </w:trPr>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w:t>
            </w:r>
          </w:p>
        </w:tc>
        <w:tc>
          <w:tcPr>
            <w:tcW w:w="784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46   Bar graph entitled "Risk-Based Capital Ratios" presenting the following information:</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97"/>
        </w:trPr>
        <w:tc>
          <w:tcPr>
            <w:tcW w:w="1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12/31/91</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12/31/92</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12/31/93</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12/31/94</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12/31/95</w:t>
            </w:r>
          </w:p>
        </w:tc>
        <w:tc>
          <w:tcPr>
            <w:tcW w:w="1040" w:type="dxa"/>
            <w:vAlign w:val="bottom"/>
          </w:tcPr>
          <w:p>
            <w:pPr>
              <w:spacing w:after="0"/>
              <w:rPr>
                <w:sz w:val="24"/>
                <w:szCs w:val="24"/>
                <w:color w:val="auto"/>
              </w:rPr>
            </w:pPr>
          </w:p>
        </w:tc>
      </w:tr>
      <w:tr>
        <w:trPr>
          <w:trHeight w:val="166"/>
        </w:trPr>
        <w:tc>
          <w:tcPr>
            <w:tcW w:w="138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r>
      <w:tr>
        <w:trPr>
          <w:trHeight w:val="497"/>
        </w:trPr>
        <w:tc>
          <w:tcPr>
            <w:tcW w:w="1380" w:type="dxa"/>
            <w:vAlign w:val="bottom"/>
          </w:tcPr>
          <w:p>
            <w:pPr>
              <w:spacing w:after="0"/>
              <w:rPr>
                <w:sz w:val="24"/>
                <w:szCs w:val="24"/>
                <w:color w:val="auto"/>
              </w:rPr>
            </w:pPr>
          </w:p>
        </w:tc>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Total Risk-Based</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1380" w:type="dxa"/>
            <w:vAlign w:val="bottom"/>
          </w:tcPr>
          <w:p>
            <w:pPr>
              <w:spacing w:after="0"/>
              <w:rPr>
                <w:sz w:val="14"/>
                <w:szCs w:val="14"/>
                <w:color w:val="auto"/>
              </w:rPr>
            </w:pPr>
          </w:p>
        </w:tc>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Capital Ratio</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9.25%</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11.22%</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12.35%</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12.27%</w:t>
            </w:r>
          </w:p>
        </w:tc>
        <w:tc>
          <w:tcPr>
            <w:tcW w:w="1040" w:type="dxa"/>
            <w:vAlign w:val="bottom"/>
          </w:tcPr>
          <w:p>
            <w:pPr>
              <w:spacing w:after="0"/>
              <w:rPr>
                <w:sz w:val="14"/>
                <w:szCs w:val="14"/>
                <w:color w:val="auto"/>
              </w:rPr>
            </w:pPr>
          </w:p>
        </w:tc>
      </w:tr>
      <w:tr>
        <w:trPr>
          <w:trHeight w:val="331"/>
        </w:trPr>
        <w:tc>
          <w:tcPr>
            <w:tcW w:w="1380" w:type="dxa"/>
            <w:vAlign w:val="bottom"/>
          </w:tcPr>
          <w:p>
            <w:pPr>
              <w:spacing w:after="0"/>
              <w:rPr>
                <w:sz w:val="24"/>
                <w:szCs w:val="24"/>
                <w:color w:val="auto"/>
              </w:rPr>
            </w:pPr>
          </w:p>
        </w:tc>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Tier 1 Risk-Based</w:t>
            </w: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1380" w:type="dxa"/>
            <w:vAlign w:val="bottom"/>
          </w:tcPr>
          <w:p>
            <w:pPr>
              <w:spacing w:after="0"/>
              <w:rPr>
                <w:sz w:val="14"/>
                <w:szCs w:val="14"/>
                <w:color w:val="auto"/>
              </w:rPr>
            </w:pPr>
          </w:p>
        </w:tc>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Capital Ratio</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5.14%</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7.01%</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8.06%</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8.05%</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8.22%</w:t>
            </w:r>
          </w:p>
        </w:tc>
        <w:tc>
          <w:tcPr>
            <w:tcW w:w="1040" w:type="dxa"/>
            <w:vAlign w:val="bottom"/>
          </w:tcPr>
          <w:p>
            <w:pPr>
              <w:spacing w:after="0"/>
              <w:rPr>
                <w:sz w:val="14"/>
                <w:szCs w:val="14"/>
                <w:color w:val="auto"/>
              </w:rPr>
            </w:pPr>
          </w:p>
        </w:tc>
      </w:tr>
      <w:tr>
        <w:trPr>
          <w:trHeight w:val="331"/>
        </w:trPr>
        <w:tc>
          <w:tcPr>
            <w:tcW w:w="1380" w:type="dxa"/>
            <w:vAlign w:val="bottom"/>
          </w:tcPr>
          <w:p>
            <w:pPr>
              <w:spacing w:after="0"/>
              <w:rPr>
                <w:sz w:val="24"/>
                <w:szCs w:val="24"/>
                <w:color w:val="auto"/>
              </w:rPr>
            </w:pPr>
          </w:p>
        </w:tc>
        <w:tc>
          <w:tcPr>
            <w:tcW w:w="3020" w:type="dxa"/>
            <w:vAlign w:val="bottom"/>
          </w:tcPr>
          <w:p>
            <w:pPr>
              <w:ind w:left="520"/>
              <w:spacing w:after="0"/>
              <w:rPr>
                <w:sz w:val="20"/>
                <w:szCs w:val="20"/>
                <w:color w:val="auto"/>
              </w:rPr>
            </w:pPr>
            <w:r>
              <w:rPr>
                <w:rFonts w:ascii="Courier New" w:cs="Courier New" w:eastAsia="Courier New" w:hAnsi="Courier New"/>
                <w:sz w:val="14"/>
                <w:szCs w:val="14"/>
                <w:color w:val="auto"/>
              </w:rPr>
              <w:t>Tier 1 Leverage Ratio</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5.01%</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6.79%</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7.35%</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6.63%</w:t>
            </w:r>
          </w:p>
        </w:tc>
        <w:tc>
          <w:tcPr>
            <w:tcW w:w="11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6.68%</w:t>
            </w:r>
          </w:p>
        </w:tc>
        <w:tc>
          <w:tcPr>
            <w:tcW w:w="1040" w:type="dxa"/>
            <w:vAlign w:val="bottom"/>
          </w:tcPr>
          <w:p>
            <w:pPr>
              <w:spacing w:after="0"/>
              <w:rPr>
                <w:sz w:val="24"/>
                <w:szCs w:val="24"/>
                <w:color w:val="auto"/>
              </w:rPr>
            </w:pPr>
          </w:p>
        </w:tc>
      </w:tr>
    </w:tbl>
    <w:p>
      <w:pPr>
        <w:spacing w:after="0" w:line="170"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The minimum regulatory requirements for the above ratios are as follows:</w:t>
      </w:r>
    </w:p>
    <w:p>
      <w:pPr>
        <w:spacing w:after="0" w:line="17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3580" w:type="dxa"/>
            <w:vAlign w:val="bottom"/>
            <w:gridSpan w:val="3"/>
          </w:tcPr>
          <w:p>
            <w:pPr>
              <w:ind w:left="820"/>
              <w:spacing w:after="0"/>
              <w:rPr>
                <w:sz w:val="20"/>
                <w:szCs w:val="20"/>
                <w:color w:val="auto"/>
              </w:rPr>
            </w:pPr>
            <w:r>
              <w:rPr>
                <w:rFonts w:ascii="Courier New" w:cs="Courier New" w:eastAsia="Courier New" w:hAnsi="Courier New"/>
                <w:sz w:val="14"/>
                <w:szCs w:val="14"/>
                <w:color w:val="auto"/>
              </w:rPr>
              <w:t>Minimum Total Risk-Based Capital</w:t>
            </w: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2080" w:type="dxa"/>
            <w:vAlign w:val="bottom"/>
          </w:tcPr>
          <w:p>
            <w:pPr>
              <w:ind w:left="820"/>
              <w:spacing w:after="0"/>
              <w:rPr>
                <w:sz w:val="20"/>
                <w:szCs w:val="20"/>
                <w:color w:val="auto"/>
              </w:rPr>
            </w:pPr>
            <w:r>
              <w:rPr>
                <w:rFonts w:ascii="Courier New" w:cs="Courier New" w:eastAsia="Courier New" w:hAnsi="Courier New"/>
                <w:sz w:val="14"/>
                <w:szCs w:val="14"/>
                <w:color w:val="auto"/>
              </w:rPr>
              <w:t>Ratio</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2080" w:type="dxa"/>
            <w:vAlign w:val="bottom"/>
          </w:tcPr>
          <w:p>
            <w:pPr>
              <w:ind w:left="820"/>
              <w:spacing w:after="0"/>
              <w:rPr>
                <w:sz w:val="20"/>
                <w:szCs w:val="20"/>
                <w:color w:val="auto"/>
              </w:rPr>
            </w:pPr>
            <w:r>
              <w:rPr>
                <w:rFonts w:ascii="Courier New" w:cs="Courier New" w:eastAsia="Courier New" w:hAnsi="Courier New"/>
                <w:sz w:val="14"/>
                <w:szCs w:val="14"/>
                <w:color w:val="auto"/>
              </w:rPr>
              <w:t>Minimum Tier 1</w:t>
            </w:r>
          </w:p>
        </w:tc>
        <w:tc>
          <w:tcPr>
            <w:tcW w:w="23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Risk-Based Capital</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2080" w:type="dxa"/>
            <w:vAlign w:val="bottom"/>
          </w:tcPr>
          <w:p>
            <w:pPr>
              <w:ind w:left="820"/>
              <w:spacing w:after="0"/>
              <w:rPr>
                <w:sz w:val="20"/>
                <w:szCs w:val="20"/>
                <w:color w:val="auto"/>
              </w:rPr>
            </w:pPr>
            <w:r>
              <w:rPr>
                <w:rFonts w:ascii="Courier New" w:cs="Courier New" w:eastAsia="Courier New" w:hAnsi="Courier New"/>
                <w:sz w:val="14"/>
                <w:szCs w:val="14"/>
                <w:color w:val="auto"/>
              </w:rPr>
              <w:t>Ratio</w:t>
            </w: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2080" w:type="dxa"/>
            <w:vAlign w:val="bottom"/>
          </w:tcPr>
          <w:p>
            <w:pPr>
              <w:ind w:left="820"/>
              <w:spacing w:after="0"/>
              <w:rPr>
                <w:sz w:val="20"/>
                <w:szCs w:val="20"/>
                <w:color w:val="auto"/>
              </w:rPr>
            </w:pPr>
            <w:r>
              <w:rPr>
                <w:rFonts w:ascii="Courier New" w:cs="Courier New" w:eastAsia="Courier New" w:hAnsi="Courier New"/>
                <w:sz w:val="14"/>
                <w:szCs w:val="14"/>
                <w:color w:val="auto"/>
              </w:rPr>
              <w:t>Minimum Tier 1</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Leverage Ratio</w:t>
            </w:r>
          </w:p>
        </w:tc>
        <w:tc>
          <w:tcPr>
            <w:tcW w:w="26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56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4"/>
              </w:rPr>
              <w:t>18</w:t>
            </w:r>
          </w:p>
        </w:tc>
        <w:tc>
          <w:tcPr>
            <w:tcW w:w="9700" w:type="dxa"/>
            <w:vAlign w:val="bottom"/>
            <w:gridSpan w:val="12"/>
          </w:tcPr>
          <w:p>
            <w:pPr>
              <w:ind w:left="400"/>
              <w:spacing w:after="0"/>
              <w:rPr>
                <w:sz w:val="20"/>
                <w:szCs w:val="20"/>
                <w:color w:val="auto"/>
              </w:rPr>
            </w:pPr>
            <w:r>
              <w:rPr>
                <w:rFonts w:ascii="Courier New" w:cs="Courier New" w:eastAsia="Courier New" w:hAnsi="Courier New"/>
                <w:sz w:val="14"/>
                <w:szCs w:val="14"/>
                <w:color w:val="auto"/>
              </w:rPr>
              <w:t>46   Bar graph entitled "Market Capitalization in billions of dollars" presenting the following information:</w:t>
            </w:r>
          </w:p>
        </w:tc>
      </w:tr>
      <w:tr>
        <w:trPr>
          <w:trHeight w:val="497"/>
        </w:trPr>
        <w:tc>
          <w:tcPr>
            <w:tcW w:w="5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12/31/91</w:t>
            </w:r>
          </w:p>
        </w:tc>
        <w:tc>
          <w:tcPr>
            <w:tcW w:w="26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12/31/92</w:t>
            </w:r>
          </w:p>
        </w:tc>
        <w:tc>
          <w:tcPr>
            <w:tcW w:w="300" w:type="dxa"/>
            <w:vAlign w:val="bottom"/>
          </w:tcPr>
          <w:p>
            <w:pPr>
              <w:spacing w:after="0"/>
              <w:rPr>
                <w:sz w:val="24"/>
                <w:szCs w:val="2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12/31/93</w:t>
            </w:r>
          </w:p>
        </w:tc>
        <w:tc>
          <w:tcPr>
            <w:tcW w:w="320" w:type="dxa"/>
            <w:vAlign w:val="bottom"/>
          </w:tcPr>
          <w:p>
            <w:pPr>
              <w:spacing w:after="0"/>
              <w:rPr>
                <w:sz w:val="24"/>
                <w:szCs w:val="2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12/31/94</w:t>
            </w:r>
          </w:p>
        </w:tc>
        <w:tc>
          <w:tcPr>
            <w:tcW w:w="300" w:type="dxa"/>
            <w:vAlign w:val="bottom"/>
          </w:tcPr>
          <w:p>
            <w:pPr>
              <w:spacing w:after="0"/>
              <w:rPr>
                <w:sz w:val="24"/>
                <w:szCs w:val="2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12/31/95</w:t>
            </w:r>
          </w:p>
        </w:tc>
      </w:tr>
      <w:tr>
        <w:trPr>
          <w:trHeight w:val="166"/>
        </w:trPr>
        <w:tc>
          <w:tcPr>
            <w:tcW w:w="5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w:t>
            </w:r>
          </w:p>
        </w:tc>
        <w:tc>
          <w:tcPr>
            <w:tcW w:w="26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331"/>
        </w:trPr>
        <w:tc>
          <w:tcPr>
            <w:tcW w:w="560" w:type="dxa"/>
            <w:vAlign w:val="bottom"/>
          </w:tcPr>
          <w:p>
            <w:pPr>
              <w:spacing w:after="0"/>
              <w:rPr>
                <w:sz w:val="24"/>
                <w:szCs w:val="24"/>
                <w:color w:val="auto"/>
              </w:rPr>
            </w:pPr>
          </w:p>
        </w:tc>
        <w:tc>
          <w:tcPr>
            <w:tcW w:w="332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Market Capitalization</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15.8</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17.8</w:t>
            </w:r>
          </w:p>
        </w:tc>
        <w:tc>
          <w:tcPr>
            <w:tcW w:w="3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15.4</w:t>
            </w:r>
          </w:p>
        </w:tc>
        <w:tc>
          <w:tcPr>
            <w:tcW w:w="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25.6</w:t>
            </w:r>
          </w:p>
        </w:tc>
      </w:tr>
    </w:tbl>
    <w:p>
      <w:pPr>
        <w:sectPr>
          <w:pgSz w:w="11900" w:h="16838" w:orient="portrait"/>
          <w:cols w:equalWidth="0" w:num="1">
            <w:col w:w="11380"/>
          </w:cols>
          <w:pgMar w:left="220" w:top="285" w:right="299"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4"/>
          <w:szCs w:val="14"/>
          <w:color w:val="auto"/>
        </w:rPr>
        <w:t>1</w:t>
      </w:r>
    </w:p>
    <w:p>
      <w:pPr>
        <w:spacing w:after="0" w:line="7"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Exhibit 99.3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SUPERVISION AND REGULATION OF THE CHASE MANHATTAN CORPORATION</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On March 31, 1996, The Chase Manhattan Corporation merged with and into Chemical Banking Corporation, with Chemical Banking Corporation continuing as the surviving corporation under the name "The Chase Manhattan Corporation" (the "Corporation"). Following is a description of certain supervisory and regulatory matters relating to the Corporation.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General</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Corporation is subject to regulation as a registered bank holding company under the Bank Holding Company Act of 1956, as amended ("BHCA"). As such, the Corporation is required to file with the Board of Governors of the Federal Reserve System (the "Federal Reserve Board") an annual report and other information required quarterly pursuant to the BHCA. The Corporation is also subject to the examination powers of the Federal Reserve Board.</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Under the BHCA, the Corporation may not engage in any business other than managing and controlling banks or furnishing certain specified services to subsidiaries, and may not acquire voting control of non-banking corporations, except those corporations engaged in businesses or furnishing services which the Federal Reserve Board deems to be so closely related to banking as "to be a proper incident thereto". Further, the Corporation is prohibited, with certain exceptions, from acquiring direct or indirect ownership or control of more than 5% of the voting shares of any corporation that is engaged in activities that are not closely related to banking, and may not acquire direct or indirect ownership or control of more than 5% of the voting shares of any domestic bank without the prior approval of the Federal Reserve Board.</w:t>
      </w:r>
    </w:p>
    <w:p>
      <w:pPr>
        <w:spacing w:after="0" w:line="163" w:lineRule="exact"/>
        <w:rPr>
          <w:sz w:val="20"/>
          <w:szCs w:val="20"/>
          <w:color w:val="auto"/>
        </w:rPr>
      </w:pPr>
    </w:p>
    <w:p>
      <w:pPr>
        <w:ind w:right="3339" w:firstLine="861"/>
        <w:spacing w:after="0" w:line="251" w:lineRule="auto"/>
        <w:rPr>
          <w:sz w:val="20"/>
          <w:szCs w:val="20"/>
          <w:color w:val="auto"/>
        </w:rPr>
      </w:pPr>
      <w:r>
        <w:rPr>
          <w:rFonts w:ascii="Courier New" w:cs="Courier New" w:eastAsia="Courier New" w:hAnsi="Courier New"/>
          <w:sz w:val="14"/>
          <w:szCs w:val="14"/>
          <w:color w:val="auto"/>
        </w:rPr>
        <w:t>The principal bank subsidiaries of the Corporation, as of the date hereof, are The Chase Manhattan Bank (National Association), a national banking association ("Chase Bank"), Chemical Bank, a New York banking corporation, and Texas Commerce Bank National Association, a national banking association ("TCB"), and a subsidiary of Texas Commerce Equity Holdings, Inc., a Delaware holding company subsidiary of the Corporation. Chase Bank and Chemical Bank have entered into an agreement pursuant to which Chase Bank will merge with and into Chemical Bank, with Chemical Bank continuing as the surviving corporation in the bank merger with the name "The Chase Manhattan Bank". The bank merger is expected to be completed in July 1996.</w:t>
      </w:r>
    </w:p>
    <w:p>
      <w:pPr>
        <w:sectPr>
          <w:pgSz w:w="11900" w:h="16838" w:orient="portrait"/>
          <w:cols w:equalWidth="0" w:num="1">
            <w:col w:w="10239"/>
          </w:cols>
          <w:pgMar w:left="220" w:top="141"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4"/>
          <w:szCs w:val="14"/>
          <w:color w:val="auto"/>
        </w:rPr>
        <w:t>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Dividend Restrictions</w:t>
      </w:r>
    </w:p>
    <w:p>
      <w:pPr>
        <w:spacing w:after="0" w:line="173"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Federal law imposes limitations on the payment of dividends by the subsidiaries of the Corporation that are state member banks of the Federal Reserve System (a "state member bank") or national banks. Non-bank subsidiaries of the Corporation are not subject to such limitations. The amount of dividends that may be paid by a state member bank, such as Chemical Bank, or by a national bank, such as Chase Bank or TCB, is limited to the lesser of the amounts calculated under a "recent earnings" test and an "undivided profits" test. Under the recent earnings test, a dividend may not be paid if the total of all dividends declared by a bank in any calendar year is in excess of the current year's net income combined with the retained net income of the two preceding years unless the bank obtains the approval of its appropriate Federal banking regulator (which, in the case of a state member bank, is the Federal Reserve Board and, in the case of a national bank, is the Office of the Comptroller of the Currency (the "Comptroller of the Currency"). Under the undivided profits test, a dividend may not be paid in excess of a bank's "undivided profits".</w:t>
      </w:r>
    </w:p>
    <w:p>
      <w:pPr>
        <w:spacing w:after="0" w:line="172"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accordance with the foregoing restrictions, the Corporation's bank subsidiaries could, during 1996, without the approval of their relevant banking regulators, pay dividends of approximately $2.5 billion to their respective bank holding companies, plus an additional amount equal to their net income from January 1, 1996 through the date in 1996 of any such dividend payment.</w:t>
      </w:r>
    </w:p>
    <w:p>
      <w:pPr>
        <w:spacing w:after="0" w:line="165"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addition to the dividend restrictions described above, the Federal Reserve Board, the Comptroller of the Currency and the Federal Deposit Insurance Corporation ("FDIC") have authority under the Financial Institutions Supervisory Act to prohibit or to limit the payment of dividends by the banking organizations they supervise, including the Corporation and its subsidiaries that are banks or bank holding companies, if, in the banking regulator's opinion, payment of a dividend would constitute an unsafe or unsound practice in light of the financial condition of the banking organization.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Risk-Based Capital</w:t>
      </w:r>
    </w:p>
    <w:p>
      <w:pPr>
        <w:spacing w:after="0" w:line="173" w:lineRule="exact"/>
        <w:rPr>
          <w:sz w:val="20"/>
          <w:szCs w:val="20"/>
          <w:color w:val="auto"/>
        </w:rPr>
      </w:pPr>
    </w:p>
    <w:p>
      <w:pPr>
        <w:ind w:right="3339" w:firstLine="775"/>
        <w:spacing w:after="0" w:line="252" w:lineRule="auto"/>
        <w:rPr>
          <w:sz w:val="20"/>
          <w:szCs w:val="20"/>
          <w:color w:val="auto"/>
        </w:rPr>
      </w:pPr>
      <w:r>
        <w:rPr>
          <w:rFonts w:ascii="Courier New" w:cs="Courier New" w:eastAsia="Courier New" w:hAnsi="Courier New"/>
          <w:sz w:val="14"/>
          <w:szCs w:val="14"/>
          <w:color w:val="auto"/>
        </w:rPr>
        <w:t>The Federal banking regulators have also adopted risk-based capital and leverage guidelines, which require that the Corporation's capital-to-assets ratios meet certain minimum standards.</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risk-based capital ratio is determined by allocating assets and specified off-balance sheet financial instruments into four weighted categories, with higher levels of capital being required for the categories perceived as representing greater risk. Under the guidelines, a banking corporation's capital is divided into two tiers. Tier 1 Capital includes common equity, qualifying perpetual preferred stock, minority interests in the equity accounts of consolidated</w:t>
      </w:r>
    </w:p>
    <w:p>
      <w:pPr>
        <w:sectPr>
          <w:pgSz w:w="11900" w:h="16838" w:orient="portrait"/>
          <w:cols w:equalWidth="0" w:num="1">
            <w:col w:w="10239"/>
          </w:cols>
          <w:pgMar w:left="220" w:top="285"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4"/>
          <w:szCs w:val="14"/>
          <w:color w:val="auto"/>
        </w:rPr>
        <w:t>3</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subsidiaries, less goodwill and other non-qualifying intangibles and other assets. Tier 2 Capital includes, among other items, perpetual preferred equity not qualifying for Tier 1, limited-life preferred stock with an original maturity of greater than 20 years, mandatory convertible debt, subordinated debt and intermediate-term preferred stock with an original weighted-average maturity of at least five years, qualifying allowance for credit losses, less required deductions as provided by regulation. The amount of Tier 2 Capital may not exceed the amount of Tier 1 Capital. Total Capital is the sum of Tier 1 Capital and Tier 2 Capital.</w:t>
      </w:r>
    </w:p>
    <w:p>
      <w:pPr>
        <w:spacing w:after="0" w:line="329" w:lineRule="exact"/>
        <w:rPr>
          <w:sz w:val="20"/>
          <w:szCs w:val="20"/>
          <w:color w:val="auto"/>
        </w:rPr>
      </w:pPr>
    </w:p>
    <w:p>
      <w:pPr>
        <w:ind w:right="3519" w:firstLine="775"/>
        <w:spacing w:after="0" w:line="252" w:lineRule="auto"/>
        <w:rPr>
          <w:sz w:val="20"/>
          <w:szCs w:val="20"/>
          <w:color w:val="auto"/>
        </w:rPr>
      </w:pPr>
      <w:r>
        <w:rPr>
          <w:rFonts w:ascii="Courier New" w:cs="Courier New" w:eastAsia="Courier New" w:hAnsi="Courier New"/>
          <w:sz w:val="14"/>
          <w:szCs w:val="14"/>
          <w:color w:val="auto"/>
        </w:rPr>
        <w:t>Banking organizations are required to maintain a Total risk-based capital ratio (Total Capital to risk-weighted assets) of 8%, of which at least 4% must be Tier 1 Capital.</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Federal banking regulators have also established minimum leverage ratio guidelines. The leverage ratio is defined as Tier 1 Capital divided by average total assets (net of allowance for credit losses, goodwill and certain intangible assets). The minimum leverage ratio is 3% for banking organizations that have well-diversified risk (including no undue interest rate risk); excellent asset quality; high liquidity; good earnings; and, in general, are considered strong banking organizations. Other banking organizations are expected to have ratios of at least 4%- 5% depending upon their particular condition and growth plans. Higher capital ratios could be required if warranted by the particular circumstance or risk profile of a given banking organization.</w:t>
      </w:r>
    </w:p>
    <w:p>
      <w:pPr>
        <w:spacing w:after="0" w:line="16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Federal Deposit Insurance Corporation Improvement Act of 1991 ("FDICIA") required each Federal banking regulator to revise its risk-based capital standards within 18 months of enactment of the statute to ensure that those standards take adequate account of interest rate risk, concentration of credit risk and the risk of nontraditional activities. On December 15, 1994, the Federal banking regulators adopted amendments to their respective risk- based capital requirements that explicitly identify concentration of credit risk and certain risks arising from nontraditional activities, and the management of such risks, as important factors to consider in assessing an institution's overall capital adequacy. The amendments do not, however, mandate any specific adjustments to the risk-based capital calculations as a result of such factors.</w:t>
      </w:r>
    </w:p>
    <w:p>
      <w:pPr>
        <w:spacing w:after="0" w:line="16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On July 25, 1995, the Federal banking regulators issued a proposal to amend the risk- based capital rules to incorporate a measure for market risk in foreign exchange and commodity activities and in the trading of debt and equity instruments. Under the proposal, banking organizations with relatively large trading activities, such as the Corporation, could calculate the amount of capital required to be maintained for market risk by using their own internal value-at- risk models (subject to parameters set by the regulators) or, alternatively, risk management techniques developed by the regulators. The effect of the proposed rules would be that, in addition to existing capital requirements for credit risk, the Corporation would be required to maintain additional capital for market risk. This additional requirement may be satisfied, in</w:t>
      </w:r>
    </w:p>
    <w:p>
      <w:pPr>
        <w:sectPr>
          <w:pgSz w:w="11900" w:h="16838" w:orient="portrait"/>
          <w:cols w:equalWidth="0" w:num="1">
            <w:col w:w="10239"/>
          </w:cols>
          <w:pgMar w:left="220" w:top="285"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4"/>
          <w:szCs w:val="14"/>
          <w:color w:val="auto"/>
        </w:rPr>
        <w:t>4</w:t>
      </w:r>
    </w:p>
    <w:p>
      <w:pPr>
        <w:spacing w:after="0" w:line="7" w:lineRule="exact"/>
        <w:rPr>
          <w:sz w:val="20"/>
          <w:szCs w:val="20"/>
          <w:color w:val="auto"/>
        </w:rPr>
      </w:pPr>
    </w:p>
    <w:p>
      <w:pPr>
        <w:ind w:right="4119"/>
        <w:spacing w:after="0" w:line="255" w:lineRule="auto"/>
        <w:rPr>
          <w:sz w:val="20"/>
          <w:szCs w:val="20"/>
          <w:color w:val="auto"/>
        </w:rPr>
      </w:pPr>
      <w:r>
        <w:rPr>
          <w:rFonts w:ascii="Courier New" w:cs="Courier New" w:eastAsia="Courier New" w:hAnsi="Courier New"/>
          <w:sz w:val="14"/>
          <w:szCs w:val="14"/>
          <w:color w:val="auto"/>
        </w:rPr>
        <w:t>part, by issuing short-term subordinated debt that qualified as "Tier 3 Capital". The proposed rule would go into effect at the end of 1997.</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On August 2, 1995, the Federal banking regulators published amendments to their risk- based capital rules that include interest-rate risk as a qualitative factor to be considered in assessing capital adequacy. Concurrent with the publication of the amendments, the Federal banking regulators proposed a system for measuring interest rate risk and announced their intention, after a trial period to evaluate the reliability and accuracy of the proposed system, to initiate a rulemaking process for the purpose of amending the risk-based capital rules to include an explicit capital charge for interest-rate risk that will be based upon the level of a banking organization's measured interest-rate risk exposure.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FDICIA</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FDICIA also required the FDIC to establish a risk-based assessment system for FDIC deposit insurance and revised certain provisions of the Federal Deposit Insurance Act, as well as certain other Federal banking statutes. In general, FDICIA provides for expanded regulation of depository institutions and their affiliates, including parent holding companies, by such institutions' Federal banking regulators, and requires the Federal banking regulator to take "prompt corrective action" with respect to a depository institution if such institution does not meet certain capital adequacy standards.</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Prompt Corrective Action: Pursuant to FDICIA, the Federal Reserve Board, the FDIC and the Comptroller of the Currency adopted regulations setting forth a five-tier scheme for measuring the capital adequacy of the depository institutions they supervise. Under the regulations (commonly referred to as the "prompt corrective action" rules), an institution would be placed in one of the following capital categories: (i) well capitalized (an institution that has a Total risk-based capital ratio of at least 10%, a Tier 1 risk-based capital ratio of at least 6% and a Tier 1 leverage ratio of at least 5%); (ii) adequately capitalized (an institution that has a Total risk-based capital ratio of at least 8%, a Tier 1 risk-based capital ratio of at least 4% and a Tier 1 leverage ratio of at least 4%); (iii) undercapitalized (an institution that has a Total risk-based capital ratio of under 8% or a Tier 1 risk-based capital ratio under 4% or a Tier 1 leverage ratio under 4%); (iv) significantly undercapitalized (an institution that has a Total risk-based capital ratio of under 6% or a Tier 1 risk-based capital ratio under 3% or a Tier 1 leverage ratio under 3%), and (v) critically undercapitalized (an institution that has a ratio of tangible equity to total assets of 2% or less).</w:t>
      </w:r>
    </w:p>
    <w:p>
      <w:pPr>
        <w:spacing w:after="0" w:line="173" w:lineRule="exact"/>
        <w:rPr>
          <w:sz w:val="20"/>
          <w:szCs w:val="20"/>
          <w:color w:val="auto"/>
        </w:rPr>
      </w:pPr>
    </w:p>
    <w:p>
      <w:pPr>
        <w:ind w:right="3519" w:firstLine="775"/>
        <w:spacing w:after="0" w:line="251" w:lineRule="auto"/>
        <w:rPr>
          <w:sz w:val="20"/>
          <w:szCs w:val="20"/>
          <w:color w:val="auto"/>
        </w:rPr>
      </w:pPr>
      <w:r>
        <w:rPr>
          <w:rFonts w:ascii="Courier New" w:cs="Courier New" w:eastAsia="Courier New" w:hAnsi="Courier New"/>
          <w:sz w:val="14"/>
          <w:szCs w:val="14"/>
          <w:color w:val="auto"/>
        </w:rPr>
        <w:t>Supervisory actions by the appropriate Federal banking regulator will depend upon an institution's classification within the five categories. All institutions are generally prohibited from declaring any dividends, making any other capital distribution, or paying a management fee to any controlling person, if such payment would cause the institution to become</w:t>
      </w:r>
    </w:p>
    <w:p>
      <w:pPr>
        <w:sectPr>
          <w:pgSz w:w="11900" w:h="16838" w:orient="portrait"/>
          <w:cols w:equalWidth="0" w:num="1">
            <w:col w:w="10239"/>
          </w:cols>
          <w:pgMar w:left="220" w:top="285"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4"/>
          <w:szCs w:val="14"/>
          <w:color w:val="auto"/>
        </w:rPr>
        <w:t>5</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undercapitalized. Additional supervisory actions are mandated for an institution falling into one of the three "undercapitalized" categories, with the severity of supervisory action increasing at greater levels of capital deficiency. For example, critically undercapitalized institutions are, among other things, restricted from making any principal or interest payments on subordinated debt without prior approval of their Federal banking regulator. The regulations apply only to banks and not to bank holding companies, such as the Corporation; however, the Federal Reserve Board is authorized to take appropriate action at the holding company level based on the undercapitalized status of such holding company's subsidiary banking institution. In certain instances relating to an undercapitalized banking institution, the bank holding company would be required to guarantee the performance of the undercapitalized subsidiary and may be liable for civil money damages for failure to fulfill its commitments on such guarantee.</w:t>
      </w:r>
    </w:p>
    <w:p>
      <w:pPr>
        <w:spacing w:after="0" w:line="328" w:lineRule="exact"/>
        <w:rPr>
          <w:sz w:val="20"/>
          <w:szCs w:val="20"/>
          <w:color w:val="auto"/>
        </w:rPr>
      </w:pPr>
    </w:p>
    <w:p>
      <w:pPr>
        <w:ind w:right="3519" w:firstLine="775"/>
        <w:spacing w:after="0" w:line="255" w:lineRule="auto"/>
        <w:rPr>
          <w:sz w:val="20"/>
          <w:szCs w:val="20"/>
          <w:color w:val="auto"/>
        </w:rPr>
      </w:pPr>
      <w:r>
        <w:rPr>
          <w:rFonts w:ascii="Courier New" w:cs="Courier New" w:eastAsia="Courier New" w:hAnsi="Courier New"/>
          <w:sz w:val="14"/>
          <w:szCs w:val="14"/>
          <w:color w:val="auto"/>
        </w:rPr>
        <w:t>As of the date hereof, each of the Corporation's banking subsidiaries were "well capitalized".</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Brokered Deposits: The ability of depository institutions to accept brokered deposits is regulated under FDICIA. The term "brokered deposits" is defined to include deposits that are solicited by a bank's affiliates on its behalf. A significant portion of Chemical Bank's and Chase Bank's wholesale deposits are solicited on their behalf by broker-dealer affiliates and are considered brokered deposits. Under the rule, (i) an "undercapitalized" institution is prohibited from accepting, renewing or rolling over brokered deposits, (ii) an "adequately capitalized" institution must obtain a waiver from the FDIC before accepting, renewing or rolling over brokered deposits and is not permitted to pay interest on brokered deposits accepted in such institution's normal market area at rates that "significantly exceed" rates paid on deposits of similar maturity in such area, and (iii) a "well capitalized" institution may accept, renew or roll over brokered deposits without restriction. The definitions of "well capitalized", "adequately capitalized", and "undercapitalized" are the same as those utilized in the "prompt corrective action" rules described above.</w:t>
      </w:r>
    </w:p>
    <w:p>
      <w:pPr>
        <w:spacing w:after="0" w:line="328"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FDIC Insurance Assessments: Under the FDIC's risk-based insurance premium assessment system, each depository institution is assigned to one of nine risk classifications based upon certain capital and supervisory measures and, depending upon its classification, is assessed insurance premiums on its deposits. Effective January 1, 1996, depository institutions in the top risk classification category will pay only the statutory minimum of $2,000 annually for deposit insurance and remaining depository institutions will pay premiums ranging from 3 basis points to 30 basis points of domestic deposits. Each of the Corporation's banks, including Chemical Bank, Chase Bank and TCB, will pay the statutory minimum premium. The rate schedule is subject to future adjustments by the FDIC. In addition, the FDIC has authority to impose special assessments from time to time.</w:t>
      </w:r>
    </w:p>
    <w:p>
      <w:pPr>
        <w:spacing w:after="0" w:line="329" w:lineRule="exact"/>
        <w:rPr>
          <w:sz w:val="20"/>
          <w:szCs w:val="20"/>
          <w:color w:val="auto"/>
        </w:rPr>
      </w:pPr>
    </w:p>
    <w:p>
      <w:pPr>
        <w:jc w:val="both"/>
        <w:ind w:right="3419" w:firstLine="775"/>
        <w:spacing w:after="0" w:line="252" w:lineRule="auto"/>
        <w:rPr>
          <w:sz w:val="20"/>
          <w:szCs w:val="20"/>
          <w:color w:val="auto"/>
        </w:rPr>
      </w:pPr>
      <w:r>
        <w:rPr>
          <w:rFonts w:ascii="Courier New" w:cs="Courier New" w:eastAsia="Courier New" w:hAnsi="Courier New"/>
          <w:sz w:val="14"/>
          <w:szCs w:val="14"/>
          <w:color w:val="auto"/>
        </w:rPr>
        <w:t>There is a substantial disparity between assessment rates for deposits insured by the Bank-Insurance Fund ("BIF") and deposits insured by the Savings Association Insurance Fund</w:t>
      </w:r>
    </w:p>
    <w:p>
      <w:pPr>
        <w:sectPr>
          <w:pgSz w:w="11900" w:h="16838" w:orient="portrait"/>
          <w:cols w:equalWidth="0" w:num="1">
            <w:col w:w="10239"/>
          </w:cols>
          <w:pgMar w:left="220" w:top="285"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4"/>
          <w:szCs w:val="14"/>
          <w:color w:val="auto"/>
        </w:rPr>
        <w:t>6</w:t>
      </w:r>
    </w:p>
    <w:p>
      <w:pPr>
        <w:spacing w:after="0" w:line="7"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("SAIF"). Various government agencies are considering a number of proposals to recapitalize the SAIF, including proposals to recapitalize the SAIF through a special assessment or by a merger of BIF and SAIF. The Corporation cannot predict the effect, if any, the adoption of any such proposals would have on the operations of its bank subsidiaries.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Powers of the FDIC Upon Insolvency of an Insured Depository Institution</w:t>
      </w:r>
    </w:p>
    <w:p>
      <w:pPr>
        <w:spacing w:after="0" w:line="173" w:lineRule="exact"/>
        <w:rPr>
          <w:sz w:val="20"/>
          <w:szCs w:val="20"/>
          <w:color w:val="auto"/>
        </w:rPr>
      </w:pPr>
    </w:p>
    <w:p>
      <w:pPr>
        <w:ind w:right="3419" w:firstLine="775"/>
        <w:spacing w:after="0" w:line="251" w:lineRule="auto"/>
        <w:rPr>
          <w:sz w:val="20"/>
          <w:szCs w:val="20"/>
          <w:color w:val="auto"/>
        </w:rPr>
      </w:pPr>
      <w:r>
        <w:rPr>
          <w:rFonts w:ascii="Courier New" w:cs="Courier New" w:eastAsia="Courier New" w:hAnsi="Courier New"/>
          <w:sz w:val="14"/>
          <w:szCs w:val="14"/>
          <w:color w:val="auto"/>
        </w:rPr>
        <w:t>The Financial Institutions Reform, Recovery, and Enforcement Act of 1989 ("FIRREA") imposes liability on an FDIC-insured depository institution (such as the Corporation's bank subsidiaries) for costs incurred by the FDIC in connection with the insolvency of other FDIC-insured institutions under common control with such institution (commonly referred to as "cross-guarantees" of insured depository institutions). An FDIC cross-guarantee claim against a depository institution is superior in right of payment to claims of the holding company and its affiliates against such depository institution.</w:t>
      </w:r>
    </w:p>
    <w:p>
      <w:pPr>
        <w:spacing w:after="0" w:line="164"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In the event an insured depository institution becomes insolvent, or upon the occurrence of certain other events specified in the Federal Deposit Insurance Act, whenever the FDIC is appointed the conservator or receiver of such insured depository institution, the FDIC has the power: (i) to transfer any of such bank's assets and liabilities to a new obligor (including, but not limited to, another financial institution acquiring all or a portion of the bank's business, assets or liabilities), without the approval of such bank's creditors; (ii) to enforce the terms of such bank's contracts pursuant to their terms, or (iii) to repudiate or disaffirm any contract or lease to which such depository institution is a party, the performance of which is determined by the FDIC to be burdensome and the disaffirmance or repudiation of which is determined by the FDIC to promote the orderly administration of such depository institution's assets. Such provisions of the Federal Deposit Insurance Act would be applicable to obligations and liabilities of those of the Corporation's subsidiaries that are insured depository institutions, such as Chemical Bank, Chase Bank and TCB, including without limitation, obligations under senior or subordinated debt issued by such banks to investors (hereinafter referred to as "public noteholders") in the public markets.</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In its resolution of the problems of an insured depository institution in default or in danger of default, the FDIC is not permitted to take any action that would have the effect of increasing the losses to a deposit insurance fund by protecting depositors for more than the insured portion of their deposits or by protecting creditors of the insured depository institution (including public noteholders), other than depositors. In addition, the FDIC is authorized to settle all uninsured and unsecured claims in the insolvency of an insured institution by making a final settlement payment after the declaration of insolvency based upon a percentage determined by the FDIC reflecting an average of the FDIC's receivership recovery experience, regardless of the assets of the insolvent institution actually available for distribution to creditors.</w:t>
      </w:r>
    </w:p>
    <w:p>
      <w:pPr>
        <w:sectPr>
          <w:pgSz w:w="11900" w:h="16838" w:orient="portrait"/>
          <w:cols w:equalWidth="0" w:num="1">
            <w:col w:w="10239"/>
          </w:cols>
          <w:pgMar w:left="220" w:top="285"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4"/>
          <w:szCs w:val="14"/>
          <w:color w:val="auto"/>
        </w:rPr>
        <w:t>7</w:t>
      </w:r>
    </w:p>
    <w:p>
      <w:pPr>
        <w:spacing w:after="0" w:line="7" w:lineRule="exact"/>
        <w:rPr>
          <w:sz w:val="20"/>
          <w:szCs w:val="20"/>
          <w:color w:val="auto"/>
        </w:rPr>
      </w:pPr>
    </w:p>
    <w:p>
      <w:pPr>
        <w:ind w:right="3859"/>
        <w:spacing w:after="0" w:line="255" w:lineRule="auto"/>
        <w:rPr>
          <w:sz w:val="20"/>
          <w:szCs w:val="20"/>
          <w:color w:val="auto"/>
        </w:rPr>
      </w:pPr>
      <w:r>
        <w:rPr>
          <w:rFonts w:ascii="Courier New" w:cs="Courier New" w:eastAsia="Courier New" w:hAnsi="Courier New"/>
          <w:sz w:val="14"/>
          <w:szCs w:val="14"/>
          <w:color w:val="auto"/>
        </w:rPr>
        <w:t>Such a payment would constitute full payment and disposition of the FDIC's obligations to claimants.</w:t>
      </w:r>
    </w:p>
    <w:p>
      <w:pPr>
        <w:spacing w:after="0" w:line="160"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The Omnibus Budget Reconciliation Act of 1993 included a "depositor preference" provision, which provided that the claims of a receiver of an insured depository institution for administrative expenses and the claims of holders of deposit liabilities (including the FDIC, as subrogee of such holders) have priority over the claims of other unsecured creditors of such institution, including public noteholders, in the event of the liquidation or other resolution of such institution.</w:t>
      </w:r>
    </w:p>
    <w:p>
      <w:pPr>
        <w:spacing w:after="0" w:line="164"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As a result of the provisions described above, whether or not the FDIC ever sought to repudiate any obligations held by public noteholders of any subsidiary of the Corporation that is an insured depository institution, such as Chemical Bank, Chase Bank or TCB, the public noteholders would be treated differently from, and could receive, if anything, substantially less than, holders of deposit obligations of such depository institution.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Supervision and Regulation</w:t>
      </w:r>
    </w:p>
    <w:p>
      <w:pPr>
        <w:spacing w:after="0" w:line="173" w:lineRule="exact"/>
        <w:rPr>
          <w:sz w:val="20"/>
          <w:szCs w:val="20"/>
          <w:color w:val="auto"/>
        </w:rPr>
      </w:pPr>
    </w:p>
    <w:p>
      <w:pPr>
        <w:ind w:right="3339" w:firstLine="775"/>
        <w:spacing w:after="0" w:line="251" w:lineRule="auto"/>
        <w:rPr>
          <w:sz w:val="20"/>
          <w:szCs w:val="20"/>
          <w:color w:val="auto"/>
        </w:rPr>
      </w:pPr>
      <w:r>
        <w:rPr>
          <w:rFonts w:ascii="Courier New" w:cs="Courier New" w:eastAsia="Courier New" w:hAnsi="Courier New"/>
          <w:sz w:val="14"/>
          <w:szCs w:val="14"/>
          <w:color w:val="auto"/>
        </w:rPr>
        <w:t>Under Federal Reserve Board policy, the Corporation is expected to act as a source of financial strength to each bank subsidiary and to commit resources to support such bank subsidiary in circumstances where it might not do so absent such policy. Any loans by a bank holding company to any of its subsidiary banks are subordinate in right of payment to deposits and to certain other indebtedness of the subsidiary banks. In the event of a bank holding company's bankruptcy, any commitment by the bank holding company to a Federal bank regulatory agency to maintain the capital of a subsidiary bank at a certain level will be assumed by the bankruptcy trustee and entitled to a priority of payment.</w:t>
      </w:r>
    </w:p>
    <w:p>
      <w:pPr>
        <w:spacing w:after="0" w:line="329" w:lineRule="exact"/>
        <w:rPr>
          <w:sz w:val="20"/>
          <w:szCs w:val="20"/>
          <w:color w:val="auto"/>
        </w:rPr>
      </w:pPr>
    </w:p>
    <w:p>
      <w:pPr>
        <w:ind w:right="3419" w:firstLine="775"/>
        <w:spacing w:after="0" w:line="250" w:lineRule="auto"/>
        <w:rPr>
          <w:sz w:val="20"/>
          <w:szCs w:val="20"/>
          <w:color w:val="auto"/>
        </w:rPr>
      </w:pPr>
      <w:r>
        <w:rPr>
          <w:rFonts w:ascii="Courier New" w:cs="Courier New" w:eastAsia="Courier New" w:hAnsi="Courier New"/>
          <w:sz w:val="14"/>
          <w:szCs w:val="14"/>
          <w:color w:val="auto"/>
        </w:rPr>
        <w:t>The bank subsidiaries of the Corporation are subject to certain restrictions imposed by Federal law on extensions of credit to, and certain other transactions with, the Corporation and certain other affiliates and on investments in stock or securities thereof. Such restrictions prevent the Corporation and other affiliates from borrowing from a bank subsidiary unless the loans are secured in specified amounts. Without the prior approval of the Federal Reserve Board, secured loans, other transactions and investments by any bank subsidiary are generally limited in amount as to the Corporation and as to each of the other affiliates to 10% of the bank's capital and surplus and as to the Corporation and all such other affiliates to an aggregate of 20% of the bank's capital and surplus. Federal law also requires that transactions between a bank subsidiary and the Corporation or certain non-bank affiliates, including extensions of credit, sales of securities or assets and the provision of services, be conducted on terms at least as favorable to the bank subsidiary as those that apply or that would apply to comparable transactions with unaffiliated parties.</w:t>
      </w:r>
    </w:p>
    <w:p>
      <w:pPr>
        <w:sectPr>
          <w:pgSz w:w="11900" w:h="16838" w:orient="portrait"/>
          <w:cols w:equalWidth="0" w:num="1">
            <w:col w:w="10239"/>
          </w:cols>
          <w:pgMar w:left="220" w:top="285"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4"/>
          <w:szCs w:val="14"/>
          <w:color w:val="auto"/>
        </w:rPr>
        <w:t>8</w:t>
      </w:r>
    </w:p>
    <w:p>
      <w:pPr>
        <w:spacing w:after="0" w:line="7" w:lineRule="exact"/>
        <w:rPr>
          <w:sz w:val="20"/>
          <w:szCs w:val="20"/>
          <w:color w:val="auto"/>
        </w:rPr>
      </w:pPr>
    </w:p>
    <w:p>
      <w:pPr>
        <w:ind w:right="3339" w:firstLine="775"/>
        <w:spacing w:after="0" w:line="250" w:lineRule="auto"/>
        <w:rPr>
          <w:sz w:val="20"/>
          <w:szCs w:val="20"/>
          <w:color w:val="auto"/>
        </w:rPr>
      </w:pPr>
      <w:r>
        <w:rPr>
          <w:rFonts w:ascii="Courier New" w:cs="Courier New" w:eastAsia="Courier New" w:hAnsi="Courier New"/>
          <w:sz w:val="14"/>
          <w:szCs w:val="14"/>
          <w:color w:val="auto"/>
        </w:rPr>
        <w:t>The Corporation's bank and non-bank subsidiaries are subject to direct supervision and regulation by various other Federal and state authorities. Chemical Bank, as a New York State-chartered bank and member bank of the Federal Reserve System, is subject to supervision and regulation of the New York State Banking Department as well as by the Federal Reserve Board and the FDIC. The Corporation's national bank subsidiaries, such as Chase Bank, TCB and Chemical Bank, N.A., are subject to substantially similar supervision and regulation by the Comptroller of the Currency. Supervision and regulation by each of the foregoing regulatory agencies generally include comprehensive annual reviews of all major aspects of the relevant bank's business and condition, as well as the imposition of periodic reporting requirements and limitations on investments and other powers. The activities of the Corporation's broker-dealers are subject to the regulations of the Securities and Exchange Commission ("SEC") and the National Association of Securities Dealers, Inc., and, in the case of Chase Securities Inc. (the Corporation's "Section 20" subsidiary ("CSI")), are subject to the supervision and regulation of the Federal Reserve Board (which has subjected CSI's activities to certain conditions and limitations, including limiting CSI's gross revenues from underwriting and dealing in bank-ineligible corporate debt and equity securities to 10% of CSI's total gross revenues). The Corporation's mutual funds include the Hanover Funds and the Vista Family of Funds. The business of such funds, as well as the means by which they may be distributed in the United States, are subject to regulation by the SEC and the Federal Reserve Board. Numerous Federal and state consumer laws impose requirements on the making, enforcement and collection of consumer loans, and on the types of disclosures that need to be made in connection with such loans. The types of activities in which the foreign branches of Chemical Bank and Chase Bank and the international subsidiaries of the Corporation may engage are subject to various restrictions imposed by the Federal Reserve Board. Such foreign branches and international subsidiaries are also subject to the laws and banking authorities of the countries in which they operate.</w:t>
      </w:r>
    </w:p>
    <w:sectPr>
      <w:pgSz w:w="11900" w:h="16838" w:orient="portrait"/>
      <w:cols w:equalWidth="0" w:num="1">
        <w:col w:w="10239"/>
      </w:cols>
      <w:pgMar w:left="22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A62ACA"/>
    <w:multiLevelType w:val="hybridMultilevel"/>
    <w:lvl w:ilvl="0">
      <w:lvlJc w:val="left"/>
      <w:lvlText w:val="%1."/>
      <w:numFmt w:val="decimal"/>
      <w:start w:val="1"/>
    </w:lvl>
  </w:abstractNum>
  <w:abstractNum w:abstractNumId="1">
    <w:nsid w:val="14FCE74E"/>
    <w:multiLevelType w:val="hybridMultilevel"/>
    <w:lvl w:ilvl="0">
      <w:lvlJc w:val="left"/>
      <w:lvlText w:val="%1."/>
      <w:numFmt w:val="decimal"/>
      <w:start w:val="2"/>
    </w:lvl>
  </w:abstractNum>
  <w:abstractNum w:abstractNumId="2">
    <w:nsid w:val="6A3DD3E8"/>
    <w:multiLevelType w:val="hybridMultilevel"/>
    <w:lvl w:ilvl="0">
      <w:lvlJc w:val="left"/>
      <w:lvlText w:val="%1."/>
      <w:numFmt w:val="decimal"/>
      <w:start w:val="3"/>
    </w:lvl>
  </w:abstractNum>
  <w:abstractNum w:abstractNumId="3">
    <w:nsid w:val="71C91298"/>
    <w:multiLevelType w:val="hybridMultilevel"/>
    <w:lvl w:ilvl="0">
      <w:lvlJc w:val="left"/>
      <w:lvlText w:val="%1."/>
      <w:numFmt w:val="decimal"/>
      <w:start w:val="5"/>
    </w:lvl>
  </w:abstractNum>
  <w:abstractNum w:abstractNumId="4">
    <w:nsid w:val="9DAF632"/>
    <w:multiLevelType w:val="hybridMultilevel"/>
    <w:lvl w:ilvl="0">
      <w:lvlJc w:val="left"/>
      <w:lvlText w:val="%1."/>
      <w:numFmt w:val="decimal"/>
      <w:start w:val="6"/>
    </w:lvl>
  </w:abstractNum>
  <w:abstractNum w:abstractNumId="5">
    <w:nsid w:val="53299938"/>
    <w:multiLevelType w:val="hybridMultilevel"/>
    <w:lvl w:ilvl="0">
      <w:lvlJc w:val="left"/>
      <w:lvlText w:val="(%1)"/>
      <w:numFmt w:val="lowerLetter"/>
      <w:start w:val="1"/>
    </w:lvl>
  </w:abstractNum>
  <w:abstractNum w:abstractNumId="6">
    <w:nsid w:val="1FBFE8E0"/>
    <w:multiLevelType w:val="hybridMultilevel"/>
    <w:lvl w:ilvl="0">
      <w:lvlJc w:val="left"/>
      <w:lvlText w:val="(%1)"/>
      <w:numFmt w:val="lowerLetter"/>
      <w:start w:val="1"/>
    </w:lvl>
  </w:abstractNum>
  <w:abstractNum w:abstractNumId="7">
    <w:nsid w:val="5092CA79"/>
    <w:multiLevelType w:val="hybridMultilevel"/>
    <w:lvl w:ilvl="0">
      <w:lvlJc w:val="left"/>
      <w:lvlText w:val="*"/>
      <w:numFmt w:val="bullet"/>
      <w:start w:val="1"/>
    </w:lvl>
  </w:abstractNum>
  <w:abstractNum w:abstractNumId="8">
    <w:nsid w:val="1D545C4D"/>
    <w:multiLevelType w:val="hybridMultilevel"/>
    <w:lvl w:ilvl="0">
      <w:lvlJc w:val="left"/>
      <w:lvlText w:val="(%1)"/>
      <w:numFmt w:val="lowerLetter"/>
      <w:start w:val="1"/>
    </w:lvl>
  </w:abstractNum>
  <w:abstractNum w:abstractNumId="9">
    <w:nsid w:val="59ADEA3D"/>
    <w:multiLevelType w:val="hybridMultilevel"/>
    <w:lvl w:ilvl="0">
      <w:lvlJc w:val="left"/>
      <w:lvlText w:val="(%1)"/>
      <w:numFmt w:val="lowerLetter"/>
      <w:start w:val="1"/>
    </w:lvl>
  </w:abstractNum>
  <w:abstractNum w:abstractNumId="10">
    <w:nsid w:val="288F1A34"/>
    <w:multiLevelType w:val="hybridMultilevel"/>
    <w:lvl w:ilvl="0">
      <w:lvlJc w:val="left"/>
      <w:lvlText w:val="-"/>
      <w:numFmt w:val="bullet"/>
      <w:start w:val="1"/>
    </w:lvl>
  </w:abstractNum>
  <w:abstractNum w:abstractNumId="11">
    <w:nsid w:val="2A155DBC"/>
    <w:multiLevelType w:val="hybridMultilevel"/>
    <w:lvl w:ilvl="0">
      <w:lvlJc w:val="left"/>
      <w:lvlText w:val="-"/>
      <w:numFmt w:val="bullet"/>
      <w:start w:val="1"/>
    </w:lvl>
  </w:abstractNum>
  <w:abstractNum w:abstractNumId="12">
    <w:nsid w:val="1D9F6E5F"/>
    <w:multiLevelType w:val="hybridMultilevel"/>
    <w:lvl w:ilvl="0">
      <w:lvlJc w:val="left"/>
      <w:lvlText w:val="-"/>
      <w:numFmt w:val="bullet"/>
      <w:start w:val="1"/>
    </w:lvl>
  </w:abstractNum>
  <w:abstractNum w:abstractNumId="13">
    <w:nsid w:val="97E1B4E"/>
    <w:multiLevelType w:val="hybridMultilevel"/>
    <w:lvl w:ilvl="0">
      <w:lvlJc w:val="left"/>
      <w:lvlText w:val="-"/>
      <w:numFmt w:val="bullet"/>
      <w:start w:val="1"/>
    </w:lvl>
  </w:abstractNum>
  <w:abstractNum w:abstractNumId="14">
    <w:nsid w:val="51088277"/>
    <w:multiLevelType w:val="hybridMultilevel"/>
    <w:lvl w:ilvl="0">
      <w:lvlJc w:val="left"/>
      <w:lvlText w:val="-"/>
      <w:numFmt w:val="bullet"/>
      <w:start w:val="1"/>
    </w:lvl>
  </w:abstractNum>
  <w:abstractNum w:abstractNumId="15">
    <w:nsid w:val="1CA0C5FA"/>
    <w:multiLevelType w:val="hybridMultilevel"/>
    <w:lvl w:ilvl="0">
      <w:lvlJc w:val="left"/>
      <w:lvlText w:val="(%1)"/>
      <w:numFmt w:val="lowerLetter"/>
      <w:start w:val="1"/>
    </w:lvl>
  </w:abstractNum>
  <w:abstractNum w:abstractNumId="16">
    <w:nsid w:val="53584BCB"/>
    <w:multiLevelType w:val="hybridMultilevel"/>
    <w:lvl w:ilvl="0">
      <w:lvlJc w:val="left"/>
      <w:lvlText w:val="-"/>
      <w:numFmt w:val="bullet"/>
      <w:start w:val="1"/>
    </w:lvl>
  </w:abstractNum>
  <w:abstractNum w:abstractNumId="17">
    <w:nsid w:val="415E286C"/>
    <w:multiLevelType w:val="hybridMultilevel"/>
    <w:lvl w:ilvl="0">
      <w:lvlJc w:val="left"/>
      <w:lvlText w:val="-"/>
      <w:numFmt w:val="bullet"/>
      <w:start w:val="1"/>
    </w:lvl>
  </w:abstractNum>
  <w:abstractNum w:abstractNumId="18">
    <w:nsid w:val="7C58FD05"/>
    <w:multiLevelType w:val="hybridMultilevel"/>
    <w:lvl w:ilvl="0">
      <w:lvlJc w:val="left"/>
      <w:lvlText w:val="-"/>
      <w:numFmt w:val="bullet"/>
      <w:start w:val="1"/>
    </w:lvl>
  </w:abstractNum>
  <w:abstractNum w:abstractNumId="19">
    <w:nsid w:val="23D86AAC"/>
    <w:multiLevelType w:val="hybridMultilevel"/>
    <w:lvl w:ilvl="0">
      <w:lvlJc w:val="left"/>
      <w:lvlText w:val="-"/>
      <w:numFmt w:val="bullet"/>
      <w:start w:val="1"/>
    </w:lvl>
    <w:lvl w:ilvl="1">
      <w:lvlJc w:val="left"/>
      <w:lvlText w:val="-"/>
      <w:numFmt w:val="bullet"/>
      <w:start w:val="1"/>
    </w:lvl>
  </w:abstractNum>
  <w:abstractNum w:abstractNumId="20">
    <w:nsid w:val="45E6D486"/>
    <w:multiLevelType w:val="hybridMultilevel"/>
    <w:lvl w:ilvl="0">
      <w:lvlJc w:val="left"/>
      <w:lvlText w:val="-"/>
      <w:numFmt w:val="bullet"/>
      <w:start w:val="1"/>
    </w:lvl>
  </w:abstractNum>
  <w:abstractNum w:abstractNumId="21">
    <w:nsid w:val="5C10FE21"/>
    <w:multiLevelType w:val="hybridMultilevel"/>
    <w:lvl w:ilvl="0">
      <w:lvlJc w:val="left"/>
      <w:lvlText w:val="-"/>
      <w:numFmt w:val="bullet"/>
      <w:start w:val="1"/>
    </w:lvl>
  </w:abstractNum>
  <w:abstractNum w:abstractNumId="22">
    <w:nsid w:val="E7FFA2B"/>
    <w:multiLevelType w:val="hybridMultilevel"/>
    <w:lvl w:ilvl="0">
      <w:lvlJc w:val="left"/>
      <w:lvlText w:val="(%1)"/>
      <w:numFmt w:val="lowerLetter"/>
      <w:start w:val="1"/>
    </w:lvl>
  </w:abstractNum>
  <w:abstractNum w:abstractNumId="23">
    <w:nsid w:val="3C5991AA"/>
    <w:multiLevelType w:val="hybridMultilevel"/>
    <w:lvl w:ilvl="0">
      <w:lvlJc w:val="left"/>
      <w:lvlText w:val="-"/>
      <w:numFmt w:val="bullet"/>
      <w:start w:val="1"/>
    </w:lvl>
  </w:abstractNum>
  <w:abstractNum w:abstractNumId="24">
    <w:nsid w:val="4BD8591A"/>
    <w:multiLevelType w:val="hybridMultilevel"/>
    <w:lvl w:ilvl="0">
      <w:lvlJc w:val="left"/>
      <w:lvlText w:val="-"/>
      <w:numFmt w:val="bullet"/>
      <w:start w:val="1"/>
    </w:lvl>
  </w:abstractNum>
  <w:abstractNum w:abstractNumId="25">
    <w:nsid w:val="78DF6A55"/>
    <w:multiLevelType w:val="hybridMultilevel"/>
    <w:lvl w:ilvl="0">
      <w:lvlJc w:val="left"/>
      <w:lvlText w:val="-"/>
      <w:numFmt w:val="bullet"/>
      <w:start w:val="1"/>
    </w:lvl>
  </w:abstractNum>
  <w:abstractNum w:abstractNumId="26">
    <w:nsid w:val="39B7AAA2"/>
    <w:multiLevelType w:val="hybridMultilevel"/>
    <w:lvl w:ilvl="0">
      <w:lvlJc w:val="left"/>
      <w:lvlText w:val="-"/>
      <w:numFmt w:val="bullet"/>
      <w:start w:val="1"/>
    </w:lvl>
  </w:abstractNum>
  <w:abstractNum w:abstractNumId="27">
    <w:nsid w:val="2B0D8DBE"/>
    <w:multiLevelType w:val="hybridMultilevel"/>
    <w:lvl w:ilvl="0">
      <w:lvlJc w:val="left"/>
      <w:lvlText w:val="-"/>
      <w:numFmt w:val="bullet"/>
      <w:start w:val="1"/>
    </w:lvl>
  </w:abstractNum>
  <w:abstractNum w:abstractNumId="28">
    <w:nsid w:val="6C80EC70"/>
    <w:multiLevelType w:val="hybridMultilevel"/>
    <w:lvl w:ilvl="0">
      <w:lvlJc w:val="left"/>
      <w:lvlText w:val="(%1)"/>
      <w:numFmt w:val="lowerLetter"/>
      <w:start w:val="1"/>
    </w:lvl>
  </w:abstractNum>
  <w:abstractNum w:abstractNumId="29">
    <w:nsid w:val="379E21B5"/>
    <w:multiLevelType w:val="hybridMultilevel"/>
    <w:lvl w:ilvl="0">
      <w:lvlJc w:val="left"/>
      <w:lvlText w:val="-"/>
      <w:numFmt w:val="bullet"/>
      <w:start w:val="1"/>
    </w:lvl>
  </w:abstractNum>
  <w:abstractNum w:abstractNumId="30">
    <w:nsid w:val="69E373"/>
    <w:multiLevelType w:val="hybridMultilevel"/>
    <w:lvl w:ilvl="0">
      <w:lvlJc w:val="left"/>
      <w:lvlText w:val="-"/>
      <w:numFmt w:val="bullet"/>
      <w:start w:val="1"/>
    </w:lvl>
  </w:abstractNum>
  <w:abstractNum w:abstractNumId="31">
    <w:nsid w:val="2C27173B"/>
    <w:multiLevelType w:val="hybridMultilevel"/>
    <w:lvl w:ilvl="0">
      <w:lvlJc w:val="left"/>
      <w:lvlText w:val="-"/>
      <w:numFmt w:val="bullet"/>
      <w:start w:val="1"/>
    </w:lvl>
  </w:abstractNum>
  <w:abstractNum w:abstractNumId="32">
    <w:nsid w:val="4C9B0904"/>
    <w:multiLevelType w:val="hybridMultilevel"/>
    <w:lvl w:ilvl="0">
      <w:lvlJc w:val="left"/>
      <w:lvlText w:val="-"/>
      <w:numFmt w:val="bullet"/>
      <w:start w:val="1"/>
    </w:lvl>
  </w:abstractNum>
  <w:abstractNum w:abstractNumId="33">
    <w:nsid w:val="6AA7B75C"/>
    <w:multiLevelType w:val="hybridMultilevel"/>
    <w:lvl w:ilvl="0">
      <w:lvlJc w:val="left"/>
      <w:lvlText w:val="-"/>
      <w:numFmt w:val="bullet"/>
      <w:start w:val="1"/>
    </w:lvl>
  </w:abstractNum>
  <w:abstractNum w:abstractNumId="34">
    <w:nsid w:val="1DF029D3"/>
    <w:multiLevelType w:val="hybridMultilevel"/>
    <w:lvl w:ilvl="0">
      <w:lvlJc w:val="left"/>
      <w:lvlText w:val="-"/>
      <w:numFmt w:val="bullet"/>
      <w:start w:val="1"/>
    </w:lvl>
  </w:abstractNum>
  <w:abstractNum w:abstractNumId="35">
    <w:nsid w:val="5675FF36"/>
    <w:multiLevelType w:val="hybridMultilevel"/>
    <w:lvl w:ilvl="0">
      <w:lvlJc w:val="left"/>
      <w:lvlText w:val="-"/>
      <w:numFmt w:val="bullet"/>
      <w:start w:val="1"/>
    </w:lvl>
  </w:abstractNum>
  <w:abstractNum w:abstractNumId="36">
    <w:nsid w:val="3DD15094"/>
    <w:multiLevelType w:val="hybridMultilevel"/>
    <w:lvl w:ilvl="0">
      <w:lvlJc w:val="left"/>
      <w:lvlText w:val="-"/>
      <w:numFmt w:val="bullet"/>
      <w:start w:val="1"/>
    </w:lvl>
  </w:abstractNum>
  <w:abstractNum w:abstractNumId="37">
    <w:nsid w:val="3DB012B3"/>
    <w:multiLevelType w:val="hybridMultilevel"/>
    <w:lvl w:ilvl="0">
      <w:lvlJc w:val="left"/>
      <w:lvlText w:val="(%1)"/>
      <w:numFmt w:val="lowerLetter"/>
      <w:start w:val="1"/>
    </w:lvl>
  </w:abstractNum>
  <w:abstractNum w:abstractNumId="38">
    <w:nsid w:val="2708C9AF"/>
    <w:multiLevelType w:val="hybridMultilevel"/>
    <w:lvl w:ilvl="0">
      <w:lvlJc w:val="left"/>
      <w:lvlText w:val="-"/>
      <w:numFmt w:val="bullet"/>
      <w:start w:val="1"/>
    </w:lvl>
  </w:abstractNum>
  <w:abstractNum w:abstractNumId="39">
    <w:nsid w:val="5B25ACE2"/>
    <w:multiLevelType w:val="hybridMultilevel"/>
    <w:lvl w:ilvl="0">
      <w:lvlJc w:val="left"/>
      <w:lvlText w:val="(%1)"/>
      <w:numFmt w:val="lowerLetter"/>
      <w:start w:val="1"/>
    </w:lvl>
  </w:abstractNum>
  <w:abstractNum w:abstractNumId="40">
    <w:nsid w:val="175DFCF0"/>
    <w:multiLevelType w:val="hybridMultilevel"/>
    <w:lvl w:ilvl="0">
      <w:lvlJc w:val="left"/>
      <w:lvlText w:val="-"/>
      <w:numFmt w:val="bullet"/>
      <w:start w:val="1"/>
    </w:lvl>
  </w:abstractNum>
  <w:abstractNum w:abstractNumId="41">
    <w:nsid w:val="4F97E3E4"/>
    <w:multiLevelType w:val="hybridMultilevel"/>
    <w:lvl w:ilvl="0">
      <w:lvlJc w:val="left"/>
      <w:lvlText w:val="-"/>
      <w:numFmt w:val="bullet"/>
      <w:start w:val="1"/>
    </w:lvl>
  </w:abstractNum>
  <w:abstractNum w:abstractNumId="42">
    <w:nsid w:val="53B0A9E"/>
    <w:multiLevelType w:val="hybridMultilevel"/>
    <w:lvl w:ilvl="0">
      <w:lvlJc w:val="left"/>
      <w:lvlText w:val="-"/>
      <w:numFmt w:val="bullet"/>
      <w:start w:val="1"/>
    </w:lvl>
  </w:abstractNum>
  <w:abstractNum w:abstractNumId="43">
    <w:nsid w:val="34FD6B4F"/>
    <w:multiLevelType w:val="hybridMultilevel"/>
    <w:lvl w:ilvl="0">
      <w:lvlJc w:val="left"/>
      <w:lvlText w:val="-"/>
      <w:numFmt w:val="bullet"/>
      <w:start w:val="1"/>
    </w:lvl>
  </w:abstractNum>
  <w:abstractNum w:abstractNumId="44">
    <w:nsid w:val="5915FF32"/>
    <w:multiLevelType w:val="hybridMultilevel"/>
    <w:lvl w:ilvl="0">
      <w:lvlJc w:val="left"/>
      <w:lvlText w:val="(%1)"/>
      <w:numFmt w:val="lowerLetter"/>
      <w:start w:val="1"/>
    </w:lvl>
  </w:abstractNum>
  <w:abstractNum w:abstractNumId="45">
    <w:nsid w:val="56438D15"/>
    <w:multiLevelType w:val="hybridMultilevel"/>
    <w:lvl w:ilvl="0">
      <w:lvlJc w:val="left"/>
      <w:lvlText w:val="-"/>
      <w:numFmt w:val="bullet"/>
      <w:start w:val="1"/>
    </w:lvl>
  </w:abstractNum>
  <w:abstractNum w:abstractNumId="46">
    <w:nsid w:val="519E3149"/>
    <w:multiLevelType w:val="hybridMultilevel"/>
    <w:lvl w:ilvl="0">
      <w:lvlJc w:val="left"/>
      <w:lvlText w:val="(%1)"/>
      <w:numFmt w:val="lowerLetter"/>
      <w:start w:val="1"/>
    </w:lvl>
  </w:abstractNum>
  <w:abstractNum w:abstractNumId="47">
    <w:nsid w:val="2C6E4AFD"/>
    <w:multiLevelType w:val="hybridMultilevel"/>
    <w:lvl w:ilvl="0">
      <w:lvlJc w:val="left"/>
      <w:lvlText w:val="(%1)"/>
      <w:numFmt w:val="lowerLetter"/>
      <w:start w:val="1"/>
    </w:lvl>
  </w:abstractNum>
  <w:abstractNum w:abstractNumId="48">
    <w:nsid w:val="17A1B582"/>
    <w:multiLevelType w:val="hybridMultilevel"/>
    <w:lvl w:ilvl="0">
      <w:lvlJc w:val="left"/>
      <w:lvlText w:val="(%1)"/>
      <w:numFmt w:val="lowerLetter"/>
      <w:start w:val="1"/>
    </w:lvl>
  </w:abstractNum>
  <w:abstractNum w:abstractNumId="49">
    <w:nsid w:val="4DF72E4E"/>
    <w:multiLevelType w:val="hybridMultilevel"/>
    <w:lvl w:ilvl="0">
      <w:lvlJc w:val="left"/>
      <w:lvlText w:val="-"/>
      <w:numFmt w:val="bullet"/>
      <w:start w:val="1"/>
    </w:lvl>
  </w:abstractNum>
  <w:abstractNum w:abstractNumId="50">
    <w:nsid w:val="5046B5A9"/>
    <w:multiLevelType w:val="hybridMultilevel"/>
    <w:lvl w:ilvl="0">
      <w:lvlJc w:val="left"/>
      <w:lvlText w:val="(%1)"/>
      <w:numFmt w:val="lowerLetter"/>
      <w:start w:val="1"/>
    </w:lvl>
  </w:abstractNum>
  <w:abstractNum w:abstractNumId="51">
    <w:nsid w:val="5D888A08"/>
    <w:multiLevelType w:val="hybridMultilevel"/>
    <w:lvl w:ilvl="0">
      <w:lvlJc w:val="left"/>
      <w:lvlText w:val="(%1)"/>
      <w:numFmt w:val="lowerLetter"/>
      <w:start w:val="3"/>
    </w:lvl>
  </w:abstractNum>
  <w:abstractNum w:abstractNumId="52">
    <w:nsid w:val="2A082C70"/>
    <w:multiLevelType w:val="hybridMultilevel"/>
    <w:lvl w:ilvl="0">
      <w:lvlJc w:val="left"/>
      <w:lvlText w:val="(%1)"/>
      <w:numFmt w:val="lowerLetter"/>
      <w:start w:val="1"/>
    </w:lvl>
  </w:abstractNum>
  <w:abstractNum w:abstractNumId="53">
    <w:nsid w:val="5EC6AFD4"/>
    <w:multiLevelType w:val="hybridMultilevel"/>
    <w:lvl w:ilvl="0">
      <w:lvlJc w:val="left"/>
      <w:lvlText w:val="(%1)"/>
      <w:numFmt w:val="lowerLetter"/>
      <w:start w:val="1"/>
    </w:lvl>
  </w:abstractNum>
  <w:abstractNum w:abstractNumId="54">
    <w:nsid w:val="19E21BB2"/>
    <w:multiLevelType w:val="hybridMultilevel"/>
    <w:lvl w:ilvl="0">
      <w:lvlJc w:val="left"/>
      <w:lvlText w:val="(%1)"/>
      <w:numFmt w:val="lowerLetter"/>
      <w:start w:val="1"/>
    </w:lvl>
  </w:abstractNum>
  <w:abstractNum w:abstractNumId="55">
    <w:nsid w:val="75E0858A"/>
    <w:multiLevelType w:val="hybridMultilevel"/>
    <w:lvl w:ilvl="0">
      <w:lvlJc w:val="left"/>
      <w:lvlText w:val="-"/>
      <w:numFmt w:val="bullet"/>
      <w:start w:val="1"/>
    </w:lvl>
  </w:abstractNum>
  <w:abstractNum w:abstractNumId="56">
    <w:nsid w:val="57A61A29"/>
    <w:multiLevelType w:val="hybridMultilevel"/>
    <w:lvl w:ilvl="0">
      <w:lvlJc w:val="left"/>
      <w:lvlText w:val="-"/>
      <w:numFmt w:val="bullet"/>
      <w:start w:val="1"/>
    </w:lvl>
  </w:abstractNum>
  <w:abstractNum w:abstractNumId="57">
    <w:nsid w:val="5399C654"/>
    <w:multiLevelType w:val="hybridMultilevel"/>
    <w:lvl w:ilvl="0">
      <w:lvlJc w:val="left"/>
      <w:lvlText w:val="-"/>
      <w:numFmt w:val="bullet"/>
      <w:start w:val="1"/>
    </w:lvl>
  </w:abstractNum>
  <w:abstractNum w:abstractNumId="58">
    <w:nsid w:val="20EE1348"/>
    <w:multiLevelType w:val="hybridMultilevel"/>
    <w:lvl w:ilvl="0">
      <w:lvlJc w:val="left"/>
      <w:lvlText w:val="-"/>
      <w:numFmt w:val="bullet"/>
      <w:start w:val="1"/>
    </w:lvl>
  </w:abstractNum>
  <w:abstractNum w:abstractNumId="59">
    <w:nsid w:val="4427069A"/>
    <w:multiLevelType w:val="hybridMultilevel"/>
    <w:lvl w:ilvl="0">
      <w:lvlJc w:val="left"/>
      <w:lvlText w:val="(%1)"/>
      <w:numFmt w:val="lowerLetter"/>
      <w:start w:val="1"/>
    </w:lvl>
  </w:abstractNum>
  <w:abstractNum w:abstractNumId="60">
    <w:nsid w:val="B37E80A"/>
    <w:multiLevelType w:val="hybridMultilevel"/>
    <w:lvl w:ilvl="0">
      <w:lvlJc w:val="left"/>
      <w:lvlText w:val="(%1)"/>
      <w:numFmt w:val="lowerLetter"/>
      <w:start w:val="1"/>
    </w:lvl>
  </w:abstractNum>
  <w:abstractNum w:abstractNumId="61">
    <w:nsid w:val="2157F6BC"/>
    <w:multiLevelType w:val="hybridMultilevel"/>
    <w:lvl w:ilvl="0">
      <w:lvlJc w:val="left"/>
      <w:lvlText w:val="(%1)"/>
      <w:numFmt w:val="lowerLetter"/>
      <w:start w:val="1"/>
    </w:lvl>
  </w:abstractNum>
  <w:abstractNum w:abstractNumId="62">
    <w:nsid w:val="704E1DD5"/>
    <w:multiLevelType w:val="hybridMultilevel"/>
    <w:lvl w:ilvl="0">
      <w:lvlJc w:val="left"/>
      <w:lvlText w:val="(%1)"/>
      <w:numFmt w:val="lowerLetter"/>
      <w:start w:val="1"/>
    </w:lvl>
  </w:abstractNum>
  <w:abstractNum w:abstractNumId="63">
    <w:nsid w:val="57D2F10E"/>
    <w:multiLevelType w:val="hybridMultilevel"/>
    <w:lvl w:ilvl="0">
      <w:lvlJc w:val="left"/>
      <w:lvlText w:val="-"/>
      <w:numFmt w:val="bullet"/>
      <w:start w:val="1"/>
    </w:lvl>
  </w:abstractNum>
  <w:abstractNum w:abstractNumId="64">
    <w:nsid w:val="BFFAE18"/>
    <w:multiLevelType w:val="hybridMultilevel"/>
    <w:lvl w:ilvl="0">
      <w:lvlJc w:val="left"/>
      <w:lvlText w:val="-"/>
      <w:numFmt w:val="bullet"/>
      <w:start w:val="1"/>
    </w:lvl>
  </w:abstractNum>
  <w:abstractNum w:abstractNumId="65">
    <w:nsid w:val="E3E47A8"/>
    <w:multiLevelType w:val="hybridMultilevel"/>
    <w:lvl w:ilvl="0">
      <w:lvlJc w:val="left"/>
      <w:lvlText w:val="-"/>
      <w:numFmt w:val="bullet"/>
      <w:start w:val="1"/>
    </w:lvl>
  </w:abstractNum>
  <w:abstractNum w:abstractNumId="66">
    <w:nsid w:val="2E48F044"/>
    <w:multiLevelType w:val="hybridMultilevel"/>
    <w:lvl w:ilvl="0">
      <w:lvlJc w:val="left"/>
      <w:lvlText w:val="(%1)"/>
      <w:numFmt w:val="lowerLetter"/>
      <w:start w:val="2"/>
    </w:lvl>
  </w:abstractNum>
  <w:abstractNum w:abstractNumId="67">
    <w:nsid w:val="49D0FEAC"/>
    <w:multiLevelType w:val="hybridMultilevel"/>
    <w:lvl w:ilvl="0">
      <w:lvlJc w:val="left"/>
      <w:lvlText w:val="-"/>
      <w:numFmt w:val="bullet"/>
      <w:start w:val="1"/>
    </w:lvl>
  </w:abstractNum>
  <w:abstractNum w:abstractNumId="68">
    <w:nsid w:val="4BEE5A5B"/>
    <w:multiLevelType w:val="hybridMultilevel"/>
    <w:lvl w:ilvl="0">
      <w:lvlJc w:val="left"/>
      <w:lvlText w:val="(%1)"/>
      <w:numFmt w:val="lowerLetter"/>
      <w:start w:val="1"/>
    </w:lvl>
  </w:abstractNum>
  <w:abstractNum w:abstractNumId="69">
    <w:nsid w:val="5551B9F3"/>
    <w:multiLevelType w:val="hybridMultilevel"/>
    <w:lvl w:ilvl="0">
      <w:lvlJc w:val="left"/>
      <w:lvlText w:val="-"/>
      <w:numFmt w:val="bullet"/>
      <w:start w:val="1"/>
    </w:lvl>
  </w:abstractNum>
  <w:abstractNum w:abstractNumId="70">
    <w:nsid w:val="24F6AB8E"/>
    <w:multiLevelType w:val="hybridMultilevel"/>
    <w:lvl w:ilvl="0">
      <w:lvlJc w:val="left"/>
      <w:lvlText w:val="(%1)"/>
      <w:numFmt w:val="lowerLetter"/>
      <w:start w:val="1"/>
    </w:lvl>
  </w:abstractNum>
  <w:abstractNum w:abstractNumId="71">
    <w:nsid w:val="634C574C"/>
    <w:multiLevelType w:val="hybridMultilevel"/>
    <w:lvl w:ilvl="0">
      <w:lvlJc w:val="left"/>
      <w:lvlText w:val="-"/>
      <w:numFmt w:val="bullet"/>
      <w:start w:val="1"/>
    </w:lvl>
  </w:abstractNum>
  <w:abstractNum w:abstractNumId="72">
    <w:nsid w:val="24E99DD7"/>
    <w:multiLevelType w:val="hybridMultilevel"/>
    <w:lvl w:ilvl="0">
      <w:lvlJc w:val="left"/>
      <w:lvlText w:val="-"/>
      <w:numFmt w:val="bullet"/>
      <w:start w:val="1"/>
    </w:lvl>
  </w:abstractNum>
  <w:abstractNum w:abstractNumId="73">
    <w:nsid w:val="2A31B62D"/>
    <w:multiLevelType w:val="hybridMultilevel"/>
    <w:lvl w:ilvl="0">
      <w:lvlJc w:val="left"/>
      <w:lvlText w:val="-"/>
      <w:numFmt w:val="bullet"/>
      <w:start w:val="1"/>
    </w:lvl>
  </w:abstractNum>
  <w:abstractNum w:abstractNumId="74">
    <w:nsid w:val="1849C29B"/>
    <w:multiLevelType w:val="hybridMultilevel"/>
    <w:lvl w:ilvl="0">
      <w:lvlJc w:val="left"/>
      <w:lvlText w:val="-"/>
      <w:numFmt w:val="bullet"/>
      <w:start w:val="1"/>
    </w:lvl>
  </w:abstractNum>
  <w:abstractNum w:abstractNumId="75">
    <w:nsid w:val="7DFF9D09"/>
    <w:multiLevelType w:val="hybridMultilevel"/>
    <w:lvl w:ilvl="0">
      <w:lvlJc w:val="left"/>
      <w:lvlText w:val="-"/>
      <w:numFmt w:val="bullet"/>
      <w:start w:val="1"/>
    </w:lvl>
  </w:abstractNum>
  <w:abstractNum w:abstractNumId="76">
    <w:nsid w:val="754342"/>
    <w:multiLevelType w:val="hybridMultilevel"/>
    <w:lvl w:ilvl="0">
      <w:lvlJc w:val="left"/>
      <w:lvlText w:val="-"/>
      <w:numFmt w:val="bullet"/>
      <w:start w:val="1"/>
    </w:lvl>
  </w:abstractNum>
  <w:abstractNum w:abstractNumId="77">
    <w:nsid w:val="69E7F3E5"/>
    <w:multiLevelType w:val="hybridMultilevel"/>
    <w:lvl w:ilvl="0">
      <w:lvlJc w:val="left"/>
      <w:lvlText w:val="-"/>
      <w:numFmt w:val="bullet"/>
      <w:start w:val="1"/>
    </w:lvl>
  </w:abstractNum>
  <w:abstractNum w:abstractNumId="78">
    <w:nsid w:val="2A6DE806"/>
    <w:multiLevelType w:val="hybridMultilevel"/>
    <w:lvl w:ilvl="0">
      <w:lvlJc w:val="left"/>
      <w:lvlText w:val="-"/>
      <w:numFmt w:val="bullet"/>
      <w:start w:val="1"/>
    </w:lvl>
  </w:abstractNum>
  <w:abstractNum w:abstractNumId="79">
    <w:nsid w:val="1816F8C4"/>
    <w:multiLevelType w:val="hybridMultilevel"/>
    <w:lvl w:ilvl="0">
      <w:lvlJc w:val="left"/>
      <w:lvlText w:val="-"/>
      <w:numFmt w:val="bullet"/>
      <w:start w:val="1"/>
    </w:lvl>
  </w:abstractNum>
  <w:abstractNum w:abstractNumId="80">
    <w:nsid w:val="37DF2233"/>
    <w:multiLevelType w:val="hybridMultilevel"/>
    <w:lvl w:ilvl="0">
      <w:lvlJc w:val="left"/>
      <w:lvlText w:val="-"/>
      <w:numFmt w:val="bullet"/>
      <w:start w:val="1"/>
    </w:lvl>
  </w:abstractNum>
  <w:abstractNum w:abstractNumId="81">
    <w:nsid w:val="7AB49DAF"/>
    <w:multiLevelType w:val="hybridMultilevel"/>
    <w:lvl w:ilvl="0">
      <w:lvlJc w:val="left"/>
      <w:lvlText w:val="-"/>
      <w:numFmt w:val="bullet"/>
      <w:start w:val="1"/>
    </w:lvl>
  </w:abstractNum>
  <w:abstractNum w:abstractNumId="82">
    <w:nsid w:val="759F82CD"/>
    <w:multiLevelType w:val="hybridMultilevel"/>
    <w:lvl w:ilvl="0">
      <w:lvlJc w:val="left"/>
      <w:lvlText w:val="-"/>
      <w:numFmt w:val="bullet"/>
      <w:start w:val="1"/>
    </w:lvl>
  </w:abstractNum>
  <w:abstractNum w:abstractNumId="83">
    <w:nsid w:val="61E74EA3"/>
    <w:multiLevelType w:val="hybridMultilevel"/>
    <w:lvl w:ilvl="0">
      <w:lvlJc w:val="left"/>
      <w:lvlText w:val="-"/>
      <w:numFmt w:val="bullet"/>
      <w:start w:val="1"/>
    </w:lvl>
  </w:abstractNum>
  <w:abstractNum w:abstractNumId="84">
    <w:nsid w:val="597B4D84"/>
    <w:multiLevelType w:val="hybridMultilevel"/>
    <w:lvl w:ilvl="0">
      <w:lvlJc w:val="left"/>
      <w:lvlText w:val="-"/>
      <w:numFmt w:val="bullet"/>
      <w:start w:val="1"/>
    </w:lvl>
  </w:abstractNum>
  <w:abstractNum w:abstractNumId="85">
    <w:nsid w:val="F819E7F"/>
    <w:multiLevelType w:val="hybridMultilevel"/>
    <w:lvl w:ilvl="0">
      <w:lvlJc w:val="left"/>
      <w:lvlText w:val="-"/>
      <w:numFmt w:val="bullet"/>
      <w:start w:val="1"/>
    </w:lvl>
  </w:abstractNum>
  <w:abstractNum w:abstractNumId="86">
    <w:nsid w:val="57C7D42D"/>
    <w:multiLevelType w:val="hybridMultilevel"/>
    <w:lvl w:ilvl="0">
      <w:lvlJc w:val="left"/>
      <w:lvlText w:val="(%1)"/>
      <w:numFmt w:val="lowerLetter"/>
      <w:start w:val="1"/>
    </w:lvl>
  </w:abstractNum>
  <w:abstractNum w:abstractNumId="87">
    <w:nsid w:val="312167AD"/>
    <w:multiLevelType w:val="hybridMultilevel"/>
    <w:lvl w:ilvl="0">
      <w:lvlJc w:val="left"/>
      <w:lvlText w:val="-"/>
      <w:numFmt w:val="bullet"/>
      <w:start w:val="1"/>
    </w:lvl>
  </w:abstractNum>
  <w:abstractNum w:abstractNumId="88">
    <w:nsid w:val="631B64D4"/>
    <w:multiLevelType w:val="hybridMultilevel"/>
    <w:lvl w:ilvl="0">
      <w:lvlJc w:val="left"/>
      <w:lvlText w:val="-"/>
      <w:numFmt w:val="bullet"/>
      <w:start w:val="1"/>
    </w:lvl>
  </w:abstractNum>
  <w:abstractNum w:abstractNumId="89">
    <w:nsid w:val="78B5E776"/>
    <w:multiLevelType w:val="hybridMultilevel"/>
    <w:lvl w:ilvl="0">
      <w:lvlJc w:val="left"/>
      <w:lvlText w:val="-"/>
      <w:numFmt w:val="bullet"/>
      <w:start w:val="1"/>
    </w:lvl>
  </w:abstractNum>
  <w:abstractNum w:abstractNumId="90">
    <w:nsid w:val="75486E47"/>
    <w:multiLevelType w:val="hybridMultilevel"/>
    <w:lvl w:ilvl="0">
      <w:lvlJc w:val="left"/>
      <w:lvlText w:val="(%1)"/>
      <w:numFmt w:val="lowerLetter"/>
      <w:start w:val="1"/>
    </w:lvl>
  </w:abstractNum>
  <w:abstractNum w:abstractNumId="91">
    <w:nsid w:val="6E534CDE"/>
    <w:multiLevelType w:val="hybridMultilevel"/>
    <w:lvl w:ilvl="0">
      <w:lvlJc w:val="left"/>
      <w:lvlText w:val="-"/>
      <w:numFmt w:val="bullet"/>
      <w:start w:val="1"/>
    </w:lvl>
  </w:abstractNum>
  <w:abstractNum w:abstractNumId="92">
    <w:nsid w:val="1A0DDE32"/>
    <w:multiLevelType w:val="hybridMultilevel"/>
    <w:lvl w:ilvl="0">
      <w:lvlJc w:val="left"/>
      <w:lvlText w:val="-"/>
      <w:numFmt w:val="bullet"/>
      <w:start w:val="1"/>
    </w:lvl>
  </w:abstractNum>
  <w:abstractNum w:abstractNumId="93">
    <w:nsid w:val="65968C1C"/>
    <w:multiLevelType w:val="hybridMultilevel"/>
    <w:lvl w:ilvl="0">
      <w:lvlJc w:val="left"/>
      <w:lvlText w:val="(%1)"/>
      <w:numFmt w:val="lowerLetter"/>
      <w:start w:val="1"/>
    </w:lvl>
  </w:abstractNum>
  <w:abstractNum w:abstractNumId="94">
    <w:nsid w:val="46263DEC"/>
    <w:multiLevelType w:val="hybridMultilevel"/>
    <w:lvl w:ilvl="0">
      <w:lvlJc w:val="left"/>
      <w:lvlText w:val="-"/>
      <w:numFmt w:val="bullet"/>
      <w:start w:val="1"/>
    </w:lvl>
  </w:abstractNum>
  <w:abstractNum w:abstractNumId="95">
    <w:nsid w:val="260D8C4A"/>
    <w:multiLevelType w:val="hybridMultilevel"/>
    <w:lvl w:ilvl="0">
      <w:lvlJc w:val="left"/>
      <w:lvlText w:val="(%1)"/>
      <w:numFmt w:val="lowerLetter"/>
      <w:start w:val="1"/>
    </w:lvl>
  </w:abstractNum>
  <w:abstractNum w:abstractNumId="96">
    <w:nsid w:val="73D4D3C4"/>
    <w:multiLevelType w:val="hybridMultilevel"/>
    <w:lvl w:ilvl="0">
      <w:lvlJc w:val="left"/>
      <w:lvlText w:val="-"/>
      <w:numFmt w:val="bullet"/>
      <w:start w:val="1"/>
    </w:lvl>
  </w:abstractNum>
  <w:abstractNum w:abstractNumId="97">
    <w:nsid w:val="746F2E30"/>
    <w:multiLevelType w:val="hybridMultilevel"/>
    <w:lvl w:ilvl="0">
      <w:lvlJc w:val="left"/>
      <w:lvlText w:val="-"/>
      <w:numFmt w:val="bullet"/>
      <w:start w:val="1"/>
    </w:lvl>
  </w:abstractNum>
  <w:abstractNum w:abstractNumId="98">
    <w:nsid w:val="6FDE8AF6"/>
    <w:multiLevelType w:val="hybridMultilevel"/>
    <w:lvl w:ilvl="0">
      <w:lvlJc w:val="left"/>
      <w:lvlText w:val="-"/>
      <w:numFmt w:val="bullet"/>
      <w:start w:val="1"/>
    </w:lvl>
  </w:abstractNum>
  <w:abstractNum w:abstractNumId="99">
    <w:nsid w:val="3FC32E20"/>
    <w:multiLevelType w:val="hybridMultilevel"/>
    <w:lvl w:ilvl="0">
      <w:lvlJc w:val="left"/>
      <w:lvlText w:val="-"/>
      <w:numFmt w:val="bullet"/>
      <w:start w:val="1"/>
    </w:lvl>
  </w:abstractNum>
  <w:abstractNum w:abstractNumId="100">
    <w:nsid w:val="49C0E823"/>
    <w:multiLevelType w:val="hybridMultilevel"/>
    <w:lvl w:ilvl="0">
      <w:lvlJc w:val="left"/>
      <w:lvlText w:val="-"/>
      <w:numFmt w:val="bullet"/>
      <w:start w:val="1"/>
    </w:lvl>
  </w:abstractNum>
  <w:abstractNum w:abstractNumId="101">
    <w:nsid w:val="14D53685"/>
    <w:multiLevelType w:val="hybridMultilevel"/>
    <w:lvl w:ilvl="0">
      <w:lvlJc w:val="left"/>
      <w:lvlText w:val="(%1)"/>
      <w:numFmt w:val="lowerLetter"/>
      <w:start w:val="1"/>
    </w:lvl>
  </w:abstractNum>
  <w:abstractNum w:abstractNumId="102">
    <w:nsid w:val="230F856C"/>
    <w:multiLevelType w:val="hybridMultilevel"/>
    <w:lvl w:ilvl="0">
      <w:lvlJc w:val="left"/>
      <w:lvlText w:val="-"/>
      <w:numFmt w:val="bullet"/>
      <w:start w:val="1"/>
    </w:lvl>
  </w:abstractNum>
  <w:abstractNum w:abstractNumId="103">
    <w:nsid w:val="6EAA85FB"/>
    <w:multiLevelType w:val="hybridMultilevel"/>
    <w:lvl w:ilvl="0">
      <w:lvlJc w:val="left"/>
      <w:lvlText w:val="-"/>
      <w:numFmt w:val="bullet"/>
      <w:start w:val="1"/>
    </w:lvl>
  </w:abstractNum>
  <w:abstractNum w:abstractNumId="104">
    <w:nsid w:val="3F06ECB2"/>
    <w:multiLevelType w:val="hybridMultilevel"/>
    <w:lvl w:ilvl="0">
      <w:lvlJc w:val="left"/>
      <w:lvlText w:val="(%1)"/>
      <w:numFmt w:val="lowerLetter"/>
      <w:start w:val="1"/>
    </w:lvl>
  </w:abstractNum>
  <w:abstractNum w:abstractNumId="105">
    <w:nsid w:val="3B594807"/>
    <w:multiLevelType w:val="hybridMultilevel"/>
    <w:lvl w:ilvl="0">
      <w:lvlJc w:val="left"/>
      <w:lvlText w:val="(%1)"/>
      <w:numFmt w:val="lowerLetter"/>
      <w:start w:val="1"/>
    </w:lvl>
  </w:abstractNum>
  <w:abstractNum w:abstractNumId="106">
    <w:nsid w:val="6CAA2304"/>
    <w:multiLevelType w:val="hybridMultilevel"/>
    <w:lvl w:ilvl="0">
      <w:lvlJc w:val="left"/>
      <w:lvlText w:val="(%1)"/>
      <w:numFmt w:val="lowerLetter"/>
      <w:start w:val="1"/>
    </w:lvl>
  </w:abstractNum>
  <w:abstractNum w:abstractNumId="107">
    <w:nsid w:val="3F7C2FF4"/>
    <w:multiLevelType w:val="hybridMultilevel"/>
    <w:lvl w:ilvl="0">
      <w:lvlJc w:val="left"/>
      <w:lvlText w:val="-"/>
      <w:numFmt w:val="bullet"/>
      <w:start w:val="1"/>
    </w:lvl>
  </w:abstractNum>
  <w:abstractNum w:abstractNumId="108">
    <w:nsid w:val="25413BEC"/>
    <w:multiLevelType w:val="hybridMultilevel"/>
    <w:lvl w:ilvl="0">
      <w:lvlJc w:val="left"/>
      <w:lvlText w:val="-"/>
      <w:numFmt w:val="bullet"/>
      <w:start w:val="1"/>
    </w:lvl>
  </w:abstractNum>
  <w:abstractNum w:abstractNumId="109">
    <w:nsid w:val="17180B0B"/>
    <w:multiLevelType w:val="hybridMultilevel"/>
    <w:lvl w:ilvl="0">
      <w:lvlJc w:val="left"/>
      <w:lvlText w:val="-"/>
      <w:numFmt w:val="bullet"/>
      <w:start w:val="1"/>
    </w:lvl>
  </w:abstractNum>
  <w:abstractNum w:abstractNumId="110">
    <w:nsid w:val="579328B9"/>
    <w:multiLevelType w:val="hybridMultilevel"/>
    <w:lvl w:ilvl="0">
      <w:lvlJc w:val="left"/>
      <w:lvlText w:val="(%1)"/>
      <w:numFmt w:val="lowerLetter"/>
      <w:start w:val="1"/>
    </w:lvl>
  </w:abstractNum>
  <w:abstractNum w:abstractNumId="111">
    <w:nsid w:val="5D205E20"/>
    <w:multiLevelType w:val="hybridMultilevel"/>
    <w:lvl w:ilvl="0">
      <w:lvlJc w:val="left"/>
      <w:lvlText w:val="-"/>
      <w:numFmt w:val="bullet"/>
      <w:start w:val="1"/>
    </w:lvl>
  </w:abstractNum>
  <w:abstractNum w:abstractNumId="112">
    <w:nsid w:val="11CCA8BA"/>
    <w:multiLevelType w:val="hybridMultilevel"/>
    <w:lvl w:ilvl="0">
      <w:lvlJc w:val="left"/>
      <w:lvlText w:val="-"/>
      <w:numFmt w:val="bullet"/>
      <w:start w:val="1"/>
    </w:lvl>
  </w:abstractNum>
  <w:abstractNum w:abstractNumId="113">
    <w:nsid w:val="4D32AB86"/>
    <w:multiLevelType w:val="hybridMultilevel"/>
    <w:lvl w:ilvl="0">
      <w:lvlJc w:val="left"/>
      <w:lvlText w:val="(%1)"/>
      <w:numFmt w:val="lowerLetter"/>
      <w:start w:val="1"/>
    </w:lvl>
  </w:abstractNum>
  <w:abstractNum w:abstractNumId="114">
    <w:nsid w:val="3F07ACC3"/>
    <w:multiLevelType w:val="hybridMultilevel"/>
    <w:lvl w:ilvl="0">
      <w:lvlJc w:val="left"/>
      <w:lvlText w:val="%1."/>
      <w:numFmt w:val="decimal"/>
      <w:start w:val="9"/>
    </w:lvl>
  </w:abstractNum>
  <w:abstractNum w:abstractNumId="115">
    <w:nsid w:val="6B47F63E"/>
    <w:multiLevelType w:val="hybridMultilevel"/>
    <w:lvl w:ilvl="0">
      <w:lvlJc w:val="left"/>
      <w:lvlText w:val="-"/>
      <w:numFmt w:val="bullet"/>
      <w:start w:val="1"/>
    </w:lvl>
  </w:abstractNum>
  <w:abstractNum w:abstractNumId="116">
    <w:nsid w:val="5CB44A05"/>
    <w:multiLevelType w:val="hybridMultilevel"/>
    <w:lvl w:ilvl="0">
      <w:lvlJc w:val="left"/>
      <w:lvlText w:val="(%1)"/>
      <w:numFmt w:val="lowerLetter"/>
      <w:start w:val="1"/>
    </w:lvl>
  </w:abstractNum>
  <w:abstractNum w:abstractNumId="117">
    <w:nsid w:val="16CF80F1"/>
    <w:multiLevelType w:val="hybridMultilevel"/>
    <w:lvl w:ilvl="0">
      <w:lvlJc w:val="left"/>
      <w:lvlText w:val="-"/>
      <w:numFmt w:val="bullet"/>
      <w:start w:val="1"/>
    </w:lvl>
  </w:abstractNum>
  <w:abstractNum w:abstractNumId="118">
    <w:nsid w:val="1C695DEC"/>
    <w:multiLevelType w:val="hybridMultilevel"/>
    <w:lvl w:ilvl="0">
      <w:lvlJc w:val="left"/>
      <w:lvlText w:val="(%1)"/>
      <w:numFmt w:val="lowerLetter"/>
      <w:start w:val="1"/>
    </w:lvl>
  </w:abstractNum>
  <w:abstractNum w:abstractNumId="119">
    <w:nsid w:val="3FCFAED9"/>
    <w:multiLevelType w:val="hybridMultilevel"/>
    <w:lvl w:ilvl="0">
      <w:lvlJc w:val="left"/>
      <w:lvlText w:val="(%1)"/>
      <w:numFmt w:val="lowerLetter"/>
      <w:start w:val="1"/>
    </w:lvl>
  </w:abstractNum>
  <w:abstractNum w:abstractNumId="120">
    <w:nsid w:val="F856867"/>
    <w:multiLevelType w:val="hybridMultilevel"/>
    <w:lvl w:ilvl="0">
      <w:lvlJc w:val="left"/>
      <w:lvlText w:val="-"/>
      <w:numFmt w:val="bullet"/>
      <w:start w:val="1"/>
    </w:lvl>
  </w:abstractNum>
  <w:abstractNum w:abstractNumId="121">
    <w:nsid w:val="11B1CC33"/>
    <w:multiLevelType w:val="hybridMultilevel"/>
    <w:lvl w:ilvl="0">
      <w:lvlJc w:val="left"/>
      <w:lvlText w:val="-"/>
      <w:numFmt w:val="bullet"/>
      <w:start w:val="1"/>
    </w:lvl>
  </w:abstractNum>
  <w:abstractNum w:abstractNumId="122">
    <w:nsid w:val="2E22FBB7"/>
    <w:multiLevelType w:val="hybridMultilevel"/>
    <w:lvl w:ilvl="0">
      <w:lvlJc w:val="left"/>
      <w:lvlText w:val="(%1)"/>
      <w:numFmt w:val="lowerLetter"/>
      <w:start w:val="1"/>
    </w:lvl>
  </w:abstractNum>
  <w:abstractNum w:abstractNumId="123">
    <w:nsid w:val="29934699"/>
    <w:multiLevelType w:val="hybridMultilevel"/>
    <w:lvl w:ilvl="0">
      <w:lvlJc w:val="left"/>
      <w:lvlText w:val="-"/>
      <w:numFmt w:val="bullet"/>
      <w:start w:val="1"/>
    </w:lvl>
  </w:abstractNum>
  <w:abstractNum w:abstractNumId="124">
    <w:nsid w:val="77485850"/>
    <w:multiLevelType w:val="hybridMultilevel"/>
    <w:lvl w:ilvl="0">
      <w:lvlJc w:val="left"/>
      <w:lvlText w:val="-"/>
      <w:numFmt w:val="bullet"/>
      <w:start w:val="1"/>
    </w:lvl>
  </w:abstractNum>
  <w:abstractNum w:abstractNumId="125">
    <w:nsid w:val="744939A3"/>
    <w:multiLevelType w:val="hybridMultilevel"/>
    <w:lvl w:ilvl="0">
      <w:lvlJc w:val="left"/>
      <w:lvlText w:val="-"/>
      <w:numFmt w:val="bullet"/>
      <w:start w:val="1"/>
    </w:lvl>
  </w:abstractNum>
  <w:abstractNum w:abstractNumId="126">
    <w:nsid w:val="4FA0D2E3"/>
    <w:multiLevelType w:val="hybridMultilevel"/>
    <w:lvl w:ilvl="0">
      <w:lvlJc w:val="left"/>
      <w:lvlText w:val="(%1)"/>
      <w:numFmt w:val="lowerLetter"/>
      <w:start w:val="1"/>
    </w:lvl>
  </w:abstractNum>
  <w:abstractNum w:abstractNumId="127">
    <w:nsid w:val="6B1D2C14"/>
    <w:multiLevelType w:val="hybridMultilevel"/>
    <w:lvl w:ilvl="0">
      <w:lvlJc w:val="left"/>
      <w:lvlText w:val="-"/>
      <w:numFmt w:val="bullet"/>
      <w:start w:val="1"/>
    </w:lvl>
  </w:abstractNum>
  <w:abstractNum w:abstractNumId="128">
    <w:nsid w:val="68B867D3"/>
    <w:multiLevelType w:val="hybridMultilevel"/>
    <w:lvl w:ilvl="0">
      <w:lvlJc w:val="left"/>
      <w:lvlText w:val="-"/>
      <w:numFmt w:val="bullet"/>
      <w:start w:val="1"/>
    </w:lvl>
  </w:abstractNum>
  <w:abstractNum w:abstractNumId="129">
    <w:nsid w:val="3F7F5DD9"/>
    <w:multiLevelType w:val="hybridMultilevel"/>
    <w:lvl w:ilvl="0">
      <w:lvlJc w:val="left"/>
      <w:lvlText w:val="-"/>
      <w:numFmt w:val="bullet"/>
      <w:start w:val="1"/>
    </w:lvl>
  </w:abstractNum>
  <w:abstractNum w:abstractNumId="130">
    <w:nsid w:val="2AE05A34"/>
    <w:multiLevelType w:val="hybridMultilevel"/>
    <w:lvl w:ilvl="0">
      <w:lvlJc w:val="left"/>
      <w:lvlText w:val="(%1)"/>
      <w:numFmt w:val="lowerLetter"/>
      <w:start w:val="1"/>
    </w:lvl>
  </w:abstractNum>
  <w:abstractNum w:abstractNumId="131">
    <w:nsid w:val="32794FF7"/>
    <w:multiLevelType w:val="hybridMultilevel"/>
    <w:lvl w:ilvl="0">
      <w:lvlJc w:val="left"/>
      <w:lvlText w:val="-"/>
      <w:numFmt w:val="bullet"/>
      <w:start w:val="1"/>
    </w:lvl>
  </w:abstractNum>
  <w:abstractNum w:abstractNumId="132">
    <w:nsid w:val="5454945E"/>
    <w:multiLevelType w:val="hybridMultilevel"/>
    <w:lvl w:ilvl="0">
      <w:lvlJc w:val="left"/>
      <w:lvlText w:val="-"/>
      <w:numFmt w:val="bullet"/>
      <w:start w:val="1"/>
    </w:lvl>
  </w:abstractNum>
  <w:abstractNum w:abstractNumId="133">
    <w:nsid w:val="4DEFDFA0"/>
    <w:multiLevelType w:val="hybridMultilevel"/>
    <w:lvl w:ilvl="0">
      <w:lvlJc w:val="left"/>
      <w:lvlText w:val="-"/>
      <w:numFmt w:val="bullet"/>
      <w:start w:val="1"/>
    </w:lvl>
  </w:abstractNum>
  <w:abstractNum w:abstractNumId="134">
    <w:nsid w:val="2123D5F2"/>
    <w:multiLevelType w:val="hybridMultilevel"/>
    <w:lvl w:ilvl="0">
      <w:lvlJc w:val="left"/>
      <w:lvlText w:val="-"/>
      <w:numFmt w:val="bullet"/>
      <w:start w:val="1"/>
    </w:lvl>
  </w:abstractNum>
  <w:abstractNum w:abstractNumId="135">
    <w:nsid w:val="135B8110"/>
    <w:multiLevelType w:val="hybridMultilevel"/>
    <w:lvl w:ilvl="0">
      <w:lvlJc w:val="left"/>
      <w:lvlText w:val="-"/>
      <w:numFmt w:val="bullet"/>
      <w:start w:val="1"/>
    </w:lvl>
  </w:abstractNum>
  <w:abstractNum w:abstractNumId="136">
    <w:nsid w:val="94927A8"/>
    <w:multiLevelType w:val="hybridMultilevel"/>
    <w:lvl w:ilvl="0">
      <w:lvlJc w:val="left"/>
      <w:lvlText w:val="-"/>
      <w:numFmt w:val="bullet"/>
      <w:start w:val="1"/>
    </w:lvl>
  </w:abstractNum>
  <w:abstractNum w:abstractNumId="137">
    <w:nsid w:val="DCDF8F6"/>
    <w:multiLevelType w:val="hybridMultilevel"/>
    <w:lvl w:ilvl="0">
      <w:lvlJc w:val="left"/>
      <w:lvlText w:val="-"/>
      <w:numFmt w:val="bullet"/>
      <w:start w:val="1"/>
    </w:lvl>
  </w:abstractNum>
  <w:abstractNum w:abstractNumId="138">
    <w:nsid w:val="52D7B105"/>
    <w:multiLevelType w:val="hybridMultilevel"/>
    <w:lvl w:ilvl="0">
      <w:lvlJc w:val="left"/>
      <w:lvlText w:val="-"/>
      <w:numFmt w:val="bullet"/>
      <w:start w:val="1"/>
    </w:lvl>
  </w:abstractNum>
  <w:abstractNum w:abstractNumId="139">
    <w:nsid w:val="2E8A6394"/>
    <w:multiLevelType w:val="hybridMultilevel"/>
    <w:lvl w:ilvl="0">
      <w:lvlJc w:val="left"/>
      <w:lvlText w:val="(%1)"/>
      <w:numFmt w:val="lowerLetter"/>
      <w:start w:val="1"/>
    </w:lvl>
  </w:abstractNum>
  <w:abstractNum w:abstractNumId="140">
    <w:nsid w:val="24E60401"/>
    <w:multiLevelType w:val="hybridMultilevel"/>
    <w:lvl w:ilvl="0">
      <w:lvlJc w:val="left"/>
      <w:lvlText w:val="-"/>
      <w:numFmt w:val="bullet"/>
      <w:start w:val="1"/>
    </w:lvl>
  </w:abstractNum>
  <w:abstractNum w:abstractNumId="141">
    <w:nsid w:val="2A6AD9BE"/>
    <w:multiLevelType w:val="hybridMultilevel"/>
    <w:lvl w:ilvl="0">
      <w:lvlJc w:val="left"/>
      <w:lvlText w:val="-"/>
      <w:numFmt w:val="bullet"/>
      <w:start w:val="1"/>
    </w:lvl>
  </w:abstractNum>
  <w:abstractNum w:abstractNumId="142">
    <w:nsid w:val="BAAC1B4"/>
    <w:multiLevelType w:val="hybridMultilevel"/>
    <w:lvl w:ilvl="0">
      <w:lvlJc w:val="left"/>
      <w:lvlText w:val="-"/>
      <w:numFmt w:val="bullet"/>
      <w:start w:val="1"/>
    </w:lvl>
  </w:abstractNum>
  <w:abstractNum w:abstractNumId="143">
    <w:nsid w:val="36B2ACBC"/>
    <w:multiLevelType w:val="hybridMultilevel"/>
    <w:lvl w:ilvl="0">
      <w:lvlJc w:val="left"/>
      <w:lvlText w:val="-"/>
      <w:numFmt w:val="bullet"/>
      <w:start w:val="1"/>
    </w:lvl>
  </w:abstractNum>
  <w:abstractNum w:abstractNumId="144">
    <w:nsid w:val="779D8544"/>
    <w:multiLevelType w:val="hybridMultilevel"/>
    <w:lvl w:ilvl="0">
      <w:lvlJc w:val="left"/>
      <w:lvlText w:val="(%1)"/>
      <w:numFmt w:val="lowerLetter"/>
      <w:start w:val="1"/>
    </w:lvl>
  </w:abstractNum>
  <w:abstractNum w:abstractNumId="145">
    <w:nsid w:val="4AB26E78"/>
    <w:multiLevelType w:val="hybridMultilevel"/>
    <w:lvl w:ilvl="0">
      <w:lvlJc w:val="left"/>
      <w:lvlText w:val="-"/>
      <w:numFmt w:val="bullet"/>
      <w:start w:val="1"/>
    </w:lvl>
  </w:abstractNum>
  <w:abstractNum w:abstractNumId="146">
    <w:nsid w:val="21FAA2FA"/>
    <w:multiLevelType w:val="hybridMultilevel"/>
    <w:lvl w:ilvl="0">
      <w:lvlJc w:val="left"/>
      <w:lvlText w:val="-"/>
      <w:numFmt w:val="bullet"/>
      <w:start w:val="1"/>
    </w:lvl>
  </w:abstractNum>
  <w:abstractNum w:abstractNumId="147">
    <w:nsid w:val="5451CF49"/>
    <w:multiLevelType w:val="hybridMultilevel"/>
    <w:lvl w:ilvl="0">
      <w:lvlJc w:val="left"/>
      <w:lvlText w:val="(%1)"/>
      <w:numFmt w:val="lowerLetter"/>
      <w:start w:val="1"/>
    </w:lvl>
  </w:abstractNum>
  <w:abstractNum w:abstractNumId="148">
    <w:nsid w:val="6181EF69"/>
    <w:multiLevelType w:val="hybridMultilevel"/>
    <w:lvl w:ilvl="0">
      <w:lvlJc w:val="left"/>
      <w:lvlText w:val="-"/>
      <w:numFmt w:val="bullet"/>
      <w:start w:val="1"/>
    </w:lvl>
  </w:abstractNum>
  <w:abstractNum w:abstractNumId="149">
    <w:nsid w:val="3E6400E6"/>
    <w:multiLevelType w:val="hybridMultilevel"/>
    <w:lvl w:ilvl="0">
      <w:lvlJc w:val="left"/>
      <w:lvlText w:val="-"/>
      <w:numFmt w:val="bullet"/>
      <w:start w:val="1"/>
    </w:lvl>
  </w:abstractNum>
  <w:abstractNum w:abstractNumId="150">
    <w:nsid w:val="14217E23"/>
    <w:multiLevelType w:val="hybridMultilevel"/>
    <w:lvl w:ilvl="0">
      <w:lvlJc w:val="left"/>
      <w:lvlText w:val="-"/>
      <w:numFmt w:val="bullet"/>
      <w:start w:val="1"/>
    </w:lvl>
  </w:abstractNum>
  <w:abstractNum w:abstractNumId="151">
    <w:nsid w:val="710757D0"/>
    <w:multiLevelType w:val="hybridMultilevel"/>
    <w:lvl w:ilvl="0">
      <w:lvlJc w:val="left"/>
      <w:lvlText w:val="-"/>
      <w:numFmt w:val="bullet"/>
      <w:start w:val="1"/>
    </w:lvl>
  </w:abstractNum>
  <w:abstractNum w:abstractNumId="152">
    <w:nsid w:val="5015CD1A"/>
    <w:multiLevelType w:val="hybridMultilevel"/>
    <w:lvl w:ilvl="0">
      <w:lvlJc w:val="left"/>
      <w:lvlText w:val="-"/>
      <w:numFmt w:val="bullet"/>
      <w:start w:val="1"/>
    </w:lvl>
  </w:abstractNum>
  <w:abstractNum w:abstractNumId="153">
    <w:nsid w:val="424479DA"/>
    <w:multiLevelType w:val="hybridMultilevel"/>
    <w:lvl w:ilvl="0">
      <w:lvlJc w:val="left"/>
      <w:lvlText w:val="-"/>
      <w:numFmt w:val="bullet"/>
      <w:start w:val="1"/>
    </w:lvl>
  </w:abstractNum>
  <w:abstractNum w:abstractNumId="154">
    <w:nsid w:val="1A9A9E69"/>
    <w:multiLevelType w:val="hybridMultilevel"/>
    <w:lvl w:ilvl="0">
      <w:lvlJc w:val="left"/>
      <w:lvlText w:val="-"/>
      <w:numFmt w:val="bullet"/>
      <w:start w:val="1"/>
    </w:lvl>
  </w:abstractNum>
  <w:abstractNum w:abstractNumId="155">
    <w:nsid w:val="475E256A"/>
    <w:multiLevelType w:val="hybridMultilevel"/>
    <w:lvl w:ilvl="0">
      <w:lvlJc w:val="left"/>
      <w:lvlText w:val="-"/>
      <w:numFmt w:val="bullet"/>
      <w:start w:val="1"/>
    </w:lvl>
  </w:abstractNum>
  <w:abstractNum w:abstractNumId="156">
    <w:nsid w:val="368DB37E"/>
    <w:multiLevelType w:val="hybridMultilevel"/>
    <w:lvl w:ilvl="0">
      <w:lvlJc w:val="left"/>
      <w:lvlText w:val="-"/>
      <w:numFmt w:val="bullet"/>
      <w:start w:val="1"/>
    </w:lvl>
  </w:abstractNum>
  <w:abstractNum w:abstractNumId="157">
    <w:nsid w:val="6A3B714C"/>
    <w:multiLevelType w:val="hybridMultilevel"/>
    <w:lvl w:ilvl="0">
      <w:lvlJc w:val="left"/>
      <w:lvlText w:val="-"/>
      <w:numFmt w:val="bullet"/>
      <w:start w:val="1"/>
    </w:lvl>
  </w:abstractNum>
  <w:abstractNum w:abstractNumId="158">
    <w:nsid w:val="327B517E"/>
    <w:multiLevelType w:val="hybridMultilevel"/>
    <w:lvl w:ilvl="0">
      <w:lvlJc w:val="left"/>
      <w:lvlText w:val="(%1)"/>
      <w:numFmt w:val="lowerLetter"/>
      <w:start w:val="1"/>
    </w:lvl>
  </w:abstractNum>
  <w:abstractNum w:abstractNumId="159">
    <w:nsid w:val="1F461B51"/>
    <w:multiLevelType w:val="hybridMultilevel"/>
    <w:lvl w:ilvl="0">
      <w:lvlJc w:val="left"/>
      <w:lvlText w:val="-"/>
      <w:numFmt w:val="bullet"/>
      <w:start w:val="1"/>
    </w:lvl>
  </w:abstractNum>
  <w:abstractNum w:abstractNumId="160">
    <w:nsid w:val="29BACF25"/>
    <w:multiLevelType w:val="hybridMultilevel"/>
    <w:lvl w:ilvl="0">
      <w:lvlJc w:val="left"/>
      <w:lvlText w:val="(%1)"/>
      <w:numFmt w:val="lowerLetter"/>
      <w:start w:val="1"/>
    </w:lvl>
  </w:abstractNum>
  <w:abstractNum w:abstractNumId="161">
    <w:nsid w:val="5D5BABB3"/>
    <w:multiLevelType w:val="hybridMultilevel"/>
    <w:lvl w:ilvl="0">
      <w:lvlJc w:val="left"/>
      <w:lvlText w:val="-"/>
      <w:numFmt w:val="bullet"/>
      <w:start w:val="1"/>
    </w:lvl>
  </w:abstractNum>
  <w:abstractNum w:abstractNumId="162">
    <w:nsid w:val="51BF6B48"/>
    <w:multiLevelType w:val="hybridMultilevel"/>
    <w:lvl w:ilvl="0">
      <w:lvlJc w:val="left"/>
      <w:lvlText w:val="-"/>
      <w:numFmt w:val="bullet"/>
      <w:start w:val="1"/>
    </w:lvl>
  </w:abstractNum>
  <w:abstractNum w:abstractNumId="163">
    <w:nsid w:val="7E0F6384"/>
    <w:multiLevelType w:val="hybridMultilevel"/>
    <w:lvl w:ilvl="0">
      <w:lvlJc w:val="left"/>
      <w:lvlText w:val="-"/>
      <w:numFmt w:val="bullet"/>
      <w:start w:val="1"/>
    </w:lvl>
  </w:abstractNum>
  <w:abstractNum w:abstractNumId="164">
    <w:nsid w:val="2B4B8B53"/>
    <w:multiLevelType w:val="hybridMultilevel"/>
    <w:lvl w:ilvl="0">
      <w:lvlJc w:val="left"/>
      <w:lvlText w:val="-"/>
      <w:numFmt w:val="bullet"/>
      <w:start w:val="1"/>
    </w:lvl>
  </w:abstractNum>
  <w:abstractNum w:abstractNumId="165">
    <w:nsid w:val="72E3413A"/>
    <w:multiLevelType w:val="hybridMultilevel"/>
    <w:lvl w:ilvl="0">
      <w:lvlJc w:val="left"/>
      <w:lvlText w:val="-"/>
      <w:numFmt w:val="bullet"/>
      <w:start w:val="1"/>
    </w:lvl>
  </w:abstractNum>
  <w:abstractNum w:abstractNumId="166">
    <w:nsid w:val="116AE494"/>
    <w:multiLevelType w:val="hybridMultilevel"/>
    <w:lvl w:ilvl="0">
      <w:lvlJc w:val="left"/>
      <w:lvlText w:val="(%1)"/>
      <w:numFmt w:val="lowerLetter"/>
      <w:start w:val="1"/>
    </w:lvl>
  </w:abstractNum>
  <w:abstractNum w:abstractNumId="167">
    <w:nsid w:val="3494B2FB"/>
    <w:multiLevelType w:val="hybridMultilevel"/>
    <w:lvl w:ilvl="0">
      <w:lvlJc w:val="left"/>
      <w:lvlText w:val="-"/>
      <w:numFmt w:val="bullet"/>
      <w:start w:val="1"/>
    </w:lvl>
  </w:abstractNum>
  <w:abstractNum w:abstractNumId="168">
    <w:nsid w:val="B13A31"/>
    <w:multiLevelType w:val="hybridMultilevel"/>
    <w:lvl w:ilvl="0">
      <w:lvlJc w:val="left"/>
      <w:lvlText w:val="-"/>
      <w:numFmt w:val="bullet"/>
      <w:start w:val="1"/>
    </w:lvl>
  </w:abstractNum>
  <w:abstractNum w:abstractNumId="169">
    <w:nsid w:val="64429599"/>
    <w:multiLevelType w:val="hybridMultilevel"/>
    <w:lvl w:ilvl="0">
      <w:lvlJc w:val="left"/>
      <w:lvlText w:val="-"/>
      <w:numFmt w:val="bullet"/>
      <w:start w:val="1"/>
    </w:lvl>
  </w:abstractNum>
  <w:abstractNum w:abstractNumId="170">
    <w:nsid w:val="631F1690"/>
    <w:multiLevelType w:val="hybridMultilevel"/>
    <w:lvl w:ilvl="0">
      <w:lvlJc w:val="left"/>
      <w:lvlText w:val="-"/>
      <w:numFmt w:val="bullet"/>
      <w:start w:val="1"/>
    </w:lvl>
  </w:abstractNum>
  <w:abstractNum w:abstractNumId="171">
    <w:nsid w:val="25973E32"/>
    <w:multiLevelType w:val="hybridMultilevel"/>
    <w:lvl w:ilvl="0">
      <w:lvlJc w:val="left"/>
      <w:lvlText w:val="-"/>
      <w:numFmt w:val="bullet"/>
      <w:start w:val="1"/>
    </w:lvl>
  </w:abstractNum>
  <w:abstractNum w:abstractNumId="172">
    <w:nsid w:val="EAD6F57"/>
    <w:multiLevelType w:val="hybridMultilevel"/>
    <w:lvl w:ilvl="0">
      <w:lvlJc w:val="left"/>
      <w:lvlText w:val="-"/>
      <w:numFmt w:val="bullet"/>
      <w:start w:val="1"/>
    </w:lvl>
  </w:abstractNum>
  <w:abstractNum w:abstractNumId="173">
    <w:nsid w:val="6EC9D844"/>
    <w:multiLevelType w:val="hybridMultilevel"/>
    <w:lvl w:ilvl="0">
      <w:lvlJc w:val="left"/>
      <w:lvlText w:val="-"/>
      <w:numFmt w:val="bullet"/>
      <w:start w:val="1"/>
    </w:lvl>
  </w:abstractNum>
  <w:abstractNum w:abstractNumId="174">
    <w:nsid w:val="5C49EAEE"/>
    <w:multiLevelType w:val="hybridMultilevel"/>
    <w:lvl w:ilvl="0">
      <w:lvlJc w:val="left"/>
      <w:lvlText w:val="-"/>
      <w:numFmt w:val="bullet"/>
      <w:start w:val="1"/>
    </w:lvl>
  </w:abstractNum>
  <w:abstractNum w:abstractNumId="175">
    <w:nsid w:val="64AF49B"/>
    <w:multiLevelType w:val="hybridMultilevel"/>
    <w:lvl w:ilvl="0">
      <w:lvlJc w:val="left"/>
      <w:lvlText w:val="-"/>
      <w:numFmt w:val="bullet"/>
      <w:start w:val="1"/>
    </w:lvl>
  </w:abstractNum>
  <w:abstractNum w:abstractNumId="176">
    <w:nsid w:val="397C46BC"/>
    <w:multiLevelType w:val="hybridMultilevel"/>
    <w:lvl w:ilvl="0">
      <w:lvlJc w:val="left"/>
      <w:lvlText w:val="-"/>
      <w:numFmt w:val="bullet"/>
      <w:start w:val="1"/>
    </w:lvl>
  </w:abstractNum>
  <w:abstractNum w:abstractNumId="177">
    <w:nsid w:val="7E448DE9"/>
    <w:multiLevelType w:val="hybridMultilevel"/>
    <w:lvl w:ilvl="0">
      <w:lvlJc w:val="left"/>
      <w:lvlText w:val="-"/>
      <w:numFmt w:val="bullet"/>
      <w:start w:val="1"/>
    </w:lvl>
  </w:abstractNum>
  <w:abstractNum w:abstractNumId="178">
    <w:nsid w:val="5A9CC3E5"/>
    <w:multiLevelType w:val="hybridMultilevel"/>
    <w:lvl w:ilvl="0">
      <w:lvlJc w:val="left"/>
      <w:lvlText w:val="-"/>
      <w:numFmt w:val="bullet"/>
      <w:start w:val="1"/>
    </w:lvl>
  </w:abstractNum>
  <w:abstractNum w:abstractNumId="179">
    <w:nsid w:val="1AFE3625"/>
    <w:multiLevelType w:val="hybridMultilevel"/>
    <w:lvl w:ilvl="0">
      <w:lvlJc w:val="left"/>
      <w:lvlText w:val="-"/>
      <w:numFmt w:val="bullet"/>
      <w:start w:val="1"/>
    </w:lvl>
  </w:abstractNum>
  <w:abstractNum w:abstractNumId="180">
    <w:nsid w:val="3CA88ECF"/>
    <w:multiLevelType w:val="hybridMultilevel"/>
    <w:lvl w:ilvl="0">
      <w:lvlJc w:val="left"/>
      <w:lvlText w:val="-"/>
      <w:numFmt w:val="bullet"/>
      <w:start w:val="1"/>
    </w:lvl>
  </w:abstractNum>
  <w:abstractNum w:abstractNumId="181">
    <w:nsid w:val="6EBE4208"/>
    <w:multiLevelType w:val="hybridMultilevel"/>
    <w:lvl w:ilvl="0">
      <w:lvlJc w:val="left"/>
      <w:lvlText w:val="-"/>
      <w:numFmt w:val="bullet"/>
      <w:start w:val="1"/>
    </w:lvl>
  </w:abstractNum>
  <w:abstractNum w:abstractNumId="182">
    <w:nsid w:val="C058DF5"/>
    <w:multiLevelType w:val="hybridMultilevel"/>
    <w:lvl w:ilvl="0">
      <w:lvlJc w:val="left"/>
      <w:lvlText w:val="-"/>
      <w:numFmt w:val="bullet"/>
      <w:start w:val="1"/>
    </w:lvl>
  </w:abstractNum>
  <w:abstractNum w:abstractNumId="183">
    <w:nsid w:val="CBE5BE9"/>
    <w:multiLevelType w:val="hybridMultilevel"/>
    <w:lvl w:ilvl="0">
      <w:lvlJc w:val="left"/>
      <w:lvlText w:val="(%1)"/>
      <w:numFmt w:val="lowerLetter"/>
      <w:start w:val="1"/>
    </w:lvl>
  </w:abstractNum>
  <w:abstractNum w:abstractNumId="184">
    <w:nsid w:val="3102BBE2"/>
    <w:multiLevelType w:val="hybridMultilevel"/>
    <w:lvl w:ilvl="0">
      <w:lvlJc w:val="left"/>
      <w:lvlText w:val="-"/>
      <w:numFmt w:val="bullet"/>
      <w:start w:val="1"/>
    </w:lvl>
  </w:abstractNum>
  <w:abstractNum w:abstractNumId="185">
    <w:nsid w:val="26A02C5E"/>
    <w:multiLevelType w:val="hybridMultilevel"/>
    <w:lvl w:ilvl="0">
      <w:lvlJc w:val="left"/>
      <w:lvlText w:val="-"/>
      <w:numFmt w:val="bullet"/>
      <w:start w:val="1"/>
    </w:lvl>
  </w:abstractNum>
  <w:abstractNum w:abstractNumId="186">
    <w:nsid w:val="541C8153"/>
    <w:multiLevelType w:val="hybridMultilevel"/>
    <w:lvl w:ilvl="0">
      <w:lvlJc w:val="left"/>
      <w:lvlText w:val="-"/>
      <w:numFmt w:val="bullet"/>
      <w:start w:val="1"/>
    </w:lvl>
  </w:abstractNum>
  <w:abstractNum w:abstractNumId="187">
    <w:nsid w:val="67906F60"/>
    <w:multiLevelType w:val="hybridMultilevel"/>
    <w:lvl w:ilvl="0">
      <w:lvlJc w:val="left"/>
      <w:lvlText w:val="-"/>
      <w:numFmt w:val="bullet"/>
      <w:start w:val="1"/>
    </w:lvl>
  </w:abstractNum>
  <w:abstractNum w:abstractNumId="188">
    <w:nsid w:val="10DB9DAA"/>
    <w:multiLevelType w:val="hybridMultilevel"/>
    <w:lvl w:ilvl="0">
      <w:lvlJc w:val="left"/>
      <w:lvlText w:val="(%1)"/>
      <w:numFmt w:val="lowerLetter"/>
      <w:start w:val="1"/>
    </w:lvl>
  </w:abstractNum>
  <w:abstractNum w:abstractNumId="189">
    <w:nsid w:val="697D2D2"/>
    <w:multiLevelType w:val="hybridMultilevel"/>
    <w:lvl w:ilvl="0">
      <w:lvlJc w:val="left"/>
      <w:lvlText w:val="-"/>
      <w:numFmt w:val="bullet"/>
      <w:start w:val="1"/>
    </w:lvl>
  </w:abstractNum>
  <w:abstractNum w:abstractNumId="190">
    <w:nsid w:val="6D68AB2"/>
    <w:multiLevelType w:val="hybridMultilevel"/>
    <w:lvl w:ilvl="0">
      <w:lvlJc w:val="left"/>
      <w:lvlText w:val="-"/>
      <w:numFmt w:val="bullet"/>
      <w:start w:val="1"/>
    </w:lvl>
  </w:abstractNum>
  <w:abstractNum w:abstractNumId="191">
    <w:nsid w:val="3A966CD0"/>
    <w:multiLevelType w:val="hybridMultilevel"/>
    <w:lvl w:ilvl="0">
      <w:lvlJc w:val="left"/>
      <w:lvlText w:val="(%1)"/>
      <w:numFmt w:val="lowerLetter"/>
      <w:start w:val="1"/>
    </w:lvl>
  </w:abstractNum>
  <w:abstractNum w:abstractNumId="192">
    <w:nsid w:val="63F37E85"/>
    <w:multiLevelType w:val="hybridMultilevel"/>
    <w:lvl w:ilvl="0">
      <w:lvlJc w:val="left"/>
      <w:lvlText w:val="1"/>
      <w:numFmt w:val="bullet"/>
      <w:start w:val="1"/>
    </w:lvl>
  </w:abstractNum>
  <w:abstractNum w:abstractNumId="193">
    <w:nsid w:val="5895F5FA"/>
    <w:multiLevelType w:val="hybridMultilevel"/>
    <w:lvl w:ilvl="0">
      <w:lvlJc w:val="left"/>
      <w:lvlText w:val="2"/>
      <w:numFmt w:val="bullet"/>
      <w:start w:val="1"/>
    </w:lvl>
  </w:abstractNum>
  <w:abstractNum w:abstractNumId="194">
    <w:nsid w:val="38A5D054"/>
    <w:multiLevelType w:val="hybridMultilevel"/>
    <w:lvl w:ilvl="0">
      <w:lvlJc w:val="left"/>
      <w:lvlText w:val="3"/>
      <w:numFmt w:val="bullet"/>
      <w:start w:val="1"/>
    </w:lvl>
  </w:abstractNum>
  <w:abstractNum w:abstractNumId="195">
    <w:nsid w:val="F3F09D8"/>
    <w:multiLevelType w:val="hybridMultilevel"/>
    <w:lvl w:ilvl="0">
      <w:lvlJc w:val="left"/>
      <w:lvlText w:val="4"/>
      <w:numFmt w:val="bullet"/>
      <w:start w:val="1"/>
    </w:lvl>
  </w:abstractNum>
  <w:abstractNum w:abstractNumId="196">
    <w:nsid w:val="4B793735"/>
    <w:multiLevelType w:val="hybridMultilevel"/>
    <w:lvl w:ilvl="0">
      <w:lvlJc w:val="left"/>
      <w:lvlText w:val="5"/>
      <w:numFmt w:val="bullet"/>
      <w:start w:val="1"/>
    </w:lvl>
  </w:abstractNum>
  <w:abstractNum w:abstractNumId="197">
    <w:nsid w:val="4A10B4E8"/>
    <w:multiLevelType w:val="hybridMultilevel"/>
    <w:lvl w:ilvl="0">
      <w:lvlJc w:val="left"/>
      <w:lvlText w:val="6"/>
      <w:numFmt w:val="bullet"/>
      <w:start w:val="1"/>
    </w:lvl>
  </w:abstractNum>
  <w:abstractNum w:abstractNumId="198">
    <w:nsid w:val="43D3BCD4"/>
    <w:multiLevelType w:val="hybridMultilevel"/>
    <w:lvl w:ilvl="0">
      <w:lvlJc w:val="left"/>
      <w:lvlText w:val="7"/>
      <w:numFmt w:val="bullet"/>
      <w:start w:val="1"/>
    </w:lvl>
  </w:abstractNum>
  <w:abstractNum w:abstractNumId="199">
    <w:nsid w:val="4C2A7166"/>
    <w:multiLevelType w:val="hybridMultilevel"/>
    <w:lvl w:ilvl="0">
      <w:lvlJc w:val="left"/>
      <w:lvlText w:val="8"/>
      <w:numFmt w:val="bullet"/>
      <w:start w:val="1"/>
    </w:lvl>
  </w:abstractNum>
  <w:abstractNum w:abstractNumId="200">
    <w:nsid w:val="2E534A82"/>
    <w:multiLevelType w:val="hybridMultilevel"/>
    <w:lvl w:ilvl="0">
      <w:lvlJc w:val="left"/>
      <w:lvlText w:val="9"/>
      <w:numFmt w:val="bullet"/>
      <w:start w:val="1"/>
    </w:lvl>
  </w:abstractNum>
  <w:abstractNum w:abstractNumId="201">
    <w:nsid w:val="26F2D364"/>
    <w:multiLevelType w:val="hybridMultilevel"/>
    <w:lvl w:ilvl="0">
      <w:lvlJc w:val="left"/>
      <w:lvlText w:val="%1"/>
      <w:numFmt w:val="decimal"/>
      <w:start w:val="13"/>
    </w:lvl>
  </w:abstractNum>
  <w:abstractNum w:abstractNumId="202">
    <w:nsid w:val="71C1AF98"/>
    <w:multiLevelType w:val="hybridMultilevel"/>
    <w:lvl w:ilvl="0">
      <w:lvlJc w:val="left"/>
      <w:lvlText w:val="%1"/>
      <w:numFmt w:val="decimal"/>
      <w:start w:val="14"/>
    </w:lvl>
  </w:abstractNum>
  <w:abstractNum w:abstractNumId="203">
    <w:nsid w:val="3D00B9D9"/>
    <w:multiLevelType w:val="hybridMultilevel"/>
    <w:lvl w:ilvl="0">
      <w:lvlJc w:val="left"/>
      <w:lvlText w:val="%1"/>
      <w:numFmt w:val="decimal"/>
      <w:start w:val="15"/>
    </w:lvl>
  </w:abstractNum>
  <w:abstractNum w:abstractNumId="204">
    <w:nsid w:val="15BCABA8"/>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2019-12-12T22:55:09Z</dcterms:created>
  <dcterms:modified xsi:type="dcterms:W3CDTF">2019-12-12T22:55:09Z</dcterms:modified>
</cp:coreProperties>
</file>