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403-01_fwp.htm"/>
      <w:bookmarkStart w:id="1" w:name="ksea030340301_fwp"/>
      <w:bookmarkStart w:id="2" w:name="ea0303403-01_fwp.htm"/>
      <w:bookmarkStart w:id="3" w:name="ksea030340301_fwp"/>
      <w:bookmarkEnd w:id="2"/>
      <w:bookmarkEnd w:id="3"/>
    </w:p>
    <w:tbl>
      <w:tblPr>
        <w:tblW w:w="10205" w:type="dxa"/>
        <w:jc w:val="left"/>
        <w:tblInd w:w="0" w:type="dxa"/>
        <w:tblLayout w:type="fixed"/>
        <w:tblCellMar>
          <w:top w:w="0" w:type="dxa"/>
          <w:left w:w="0" w:type="dxa"/>
          <w:bottom w:w="0" w:type="dxa"/>
          <w:right w:w="0" w:type="dxa"/>
        </w:tblCellMar>
      </w:tblPr>
      <w:tblGrid>
        <w:gridCol w:w="6087"/>
        <w:gridCol w:w="4118"/>
      </w:tblGrid>
      <w:tr>
        <w:trPr/>
        <w:tc>
          <w:tcPr>
            <w:tcW w:w="6087"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left"/>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11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087" w:type="dxa"/>
            <w:vMerge w:val="continue"/>
            <w:tcBorders/>
            <w:vAlign w:val="center"/>
          </w:tcPr>
          <w:p>
            <w:pPr>
              <w:pStyle w:val="Normal"/>
              <w:bidi w:val="0"/>
              <w:jc w:val="left"/>
              <w:rPr/>
            </w:pPr>
            <w:r>
              <w:rPr/>
            </w:r>
          </w:p>
        </w:tc>
        <w:tc>
          <w:tcPr>
            <w:tcW w:w="4118"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7145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3714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Auto-Callable with Leveraged Upside Participation, Contingent Absolute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Lowest Performing of the Class A Common Stock of Alphabet Inc., the Common Stock of Amazon.com, Inc. and the Class A Common Stock of Meta Platforms, Inc. due September 6,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August 25, 2026 to Preliminary Pricing Supplement dated August 25,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Alphabet Inc. (Bloomberg ticker: GOOGL), the common stock of Amazon.com, Inc. (Bloomberg ticker: AMZN) and the Class A common stock of Meta Platforms, Inc. (Bloomberg ticker: META)</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31,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31,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6,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starting price,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36.75%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w:t>
                                  </w:r>
                                </w:p>
                                <w:p>
                                  <w:pPr>
                                    <w:pStyle w:val="TableContents"/>
                                    <w:bidi w:val="0"/>
                                    <w:jc w:val="left"/>
                                    <w:rPr>
                                      <w:rFonts w:ascii="Georgia;Times;Serif" w:hAnsi="Georgia;Times;Serif"/>
                                      <w:b w:val="false"/>
                                      <w:i w:val="false"/>
                                      <w:caps w:val="false"/>
                                      <w:smallCaps w:val="false"/>
                                      <w:sz w:val="15"/>
                                      <w:shd w:fill="FFFFFF" w:val="clear"/>
                                    </w:rPr>
                                  </w:pPr>
                                  <w:r>
                                    <w:rPr>
                                      <w:rFonts w:ascii="Georgia;Times;Serif" w:hAnsi="Georgia;Times;Serif"/>
                                      <w:b w:val="false"/>
                                      <w:i w:val="false"/>
                                      <w:caps w:val="false"/>
                                      <w:smallCaps w:val="false"/>
                                      <w:sz w:val="15"/>
                                      <w:shd w:fill="FFFFFF" w:val="clear"/>
                                    </w:rPr>
                                    <w:t>$1,000 + ($1,000 × absolute stock return of the lowest performing Underlying Stock on the final calculation day);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300%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Absolute 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the absolute value of its stock return</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60%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46661MGV0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429"/>
                        <w:gridCol w:w="8776"/>
                      </w:tblGrid>
                      <w:tr>
                        <w:trPr/>
                        <w:tc>
                          <w:tcPr>
                            <w:tcW w:w="14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87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Co.</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Alphabet Inc. (Bloomberg ticker: GOOGL), the common stock of Amazon.com, Inc. (Bloomberg ticker: AMZN) and the Class A common stock of Meta Platforms, Inc. (Bloomberg ticker: META)</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31,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 2026</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Final Calculation Day</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31,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6, 2029</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Automatic Call:</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lowest performing Underlying Stock on the call date is greater than or equal to its starting price, the securities will be automatically called, and on the call settlement date, investors will receive the principal amount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the call premium.</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Premium:</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36.75% of the principal amount (the actual call premium will be provided in the pricing supplement)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3, 2027</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call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 on the call date, the “</w:t>
                            </w:r>
                            <w:r>
                              <w:rPr>
                                <w:rFonts w:ascii="Georgia;Times;Serif" w:hAnsi="Georgia;Times;Serif"/>
                                <w:b w:val="false"/>
                                <w:i w:val="false"/>
                                <w:caps w:val="false"/>
                                <w:smallCaps w:val="false"/>
                                <w:sz w:val="15"/>
                                <w:u w:val="single"/>
                              </w:rPr>
                              <w:t>maturity payment amount</w:t>
                            </w:r>
                            <w:r>
                              <w:rPr>
                                <w:rFonts w:ascii="Georgia;Times;Serif" w:hAnsi="Georgia;Times;Serif"/>
                                <w:b w:val="false"/>
                                <w:i w:val="false"/>
                                <w:caps w:val="false"/>
                                <w:smallCaps w:val="false"/>
                                <w:sz w:val="15"/>
                              </w:rPr>
                              <w:t>” per security will equal:</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greater than its starting price: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 × upside participation rate);</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or equal to its starting price, but greater than or equal to its threshold price:</w:t>
                            </w:r>
                          </w:p>
                          <w:p>
                            <w:pPr>
                              <w:pStyle w:val="TableContents"/>
                              <w:bidi w:val="0"/>
                              <w:jc w:val="left"/>
                              <w:rPr>
                                <w:rFonts w:ascii="Georgia;Times;Serif" w:hAnsi="Georgia;Times;Serif"/>
                                <w:b w:val="false"/>
                                <w:i w:val="false"/>
                                <w:caps w:val="false"/>
                                <w:smallCaps w:val="false"/>
                                <w:sz w:val="15"/>
                                <w:shd w:fill="FFFFFF" w:val="clear"/>
                              </w:rPr>
                            </w:pPr>
                            <w:r>
                              <w:rPr>
                                <w:rFonts w:ascii="Georgia;Times;Serif" w:hAnsi="Georgia;Times;Serif"/>
                                <w:b w:val="false"/>
                                <w:i w:val="false"/>
                                <w:caps w:val="false"/>
                                <w:smallCaps w:val="false"/>
                                <w:sz w:val="15"/>
                                <w:shd w:fill="FFFFFF" w:val="clear"/>
                              </w:rPr>
                              <w:t>$1,000 + ($1,000 × absolute stock return of the lowest performing Underlying Stock on the final calculation day); or</w:t>
                            </w:r>
                          </w:p>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ending price of the lowest performing Underlying Stock on the final calculation day is less than its threshold price: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 of the lowest performing Underlying Stock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Lowest Performing Underlying Stock:</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On the call date or the final calculation day, the Underlying Stock with the lowest stock return on that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pricing date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its stock closing price on the final calculation day</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Upside Participation Rate: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300%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Absolute 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each Underlying Stock, the absolute value of its stock return</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For each Underlying Stock, 60% of its starting price </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For the call date or the final calculation day and for each Underlying Stock: (stock closing price on that day – starting price) / starting price</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46661MGV0</w:t>
                            </w:r>
                          </w:p>
                        </w:tc>
                      </w:tr>
                      <w:tr>
                        <w:trPr/>
                        <w:tc>
                          <w:tcPr>
                            <w:tcW w:w="14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87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2.575%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8025130"/>
                <wp:effectExtent l="0" t="0" r="0" b="0"/>
                <wp:wrapSquare wrapText="left"/>
                <wp:docPr id="3" name="Frame2"/>
                <a:graphic xmlns:a="http://schemas.openxmlformats.org/drawingml/2006/main">
                  <a:graphicData uri="http://schemas.microsoft.com/office/word/2010/wordprocessingShape">
                    <wps:wsp>
                      <wps:cNvSpPr txBox="1"/>
                      <wps:spPr>
                        <a:xfrm>
                          <a:off x="0" y="0"/>
                          <a:ext cx="3175000" cy="8025130"/>
                        </a:xfrm>
                        <a:prstGeom prst="rect"/>
                        <a:solidFill>
                          <a:srgbClr val="FFFFFF"/>
                        </a:solidFill>
                      </wps:spPr>
                      <wps:txbx>
                        <w:txbxContent>
                          <w:p>
                            <w:pPr>
                              <w:pStyle w:val="TextBody"/>
                              <w:bidi w:val="0"/>
                              <w:ind w:left="90" w:right="0" w:hanging="0"/>
                              <w:jc w:val="left"/>
                              <w:rPr>
                                <w:caps w:val="false"/>
                                <w:smallCaps w:val="false"/>
                                <w:color w:val="8F8F8F"/>
                              </w:rPr>
                            </w:pPr>
                            <w:r>
                              <w:rPr>
                                <w:caps w:val="false"/>
                                <w:smallCaps w:val="false"/>
                                <w:color w:val="8F8F8F"/>
                              </w:rPr>
                              <w:t> </w:t>
                            </w:r>
                          </w:p>
                          <w:tbl>
                            <w:tblPr>
                              <w:tblW w:w="4045" w:type="dxa"/>
                              <w:jc w:val="left"/>
                              <w:tblInd w:w="-10" w:type="dxa"/>
                              <w:tblLayout w:type="fixed"/>
                              <w:tblCellMar>
                                <w:top w:w="28" w:type="dxa"/>
                                <w:left w:w="108" w:type="dxa"/>
                                <w:bottom w:w="28" w:type="dxa"/>
                                <w:right w:w="108" w:type="dxa"/>
                              </w:tblCellMar>
                            </w:tblPr>
                            <w:tblGrid>
                              <w:gridCol w:w="1325"/>
                              <w:gridCol w:w="2720"/>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404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color w:val="8F8F8F"/>
                              </w:rPr>
                            </w:pPr>
                            <w:r>
                              <w:rPr>
                                <w:caps w:val="false"/>
                                <w:smallCaps w:val="false"/>
                                <w:color w:val="8F8F8F"/>
                              </w:rPr>
                              <w:drawing>
                                <wp:inline distT="0" distB="0" distL="0" distR="0">
                                  <wp:extent cx="3362325" cy="21336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62325" cy="21336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 or earn any positive return from any depreciation of the lowest performing Underlying Stock on the final calculation day due to the absolute stock return feature.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40%,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$943.50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5"/>
                              </w:rPr>
                              <w:t xml:space="preserve">Preliminary Pricing Supplement: </w:t>
                            </w:r>
                            <w:hyperlink r:id="rId4">
                              <w:r>
                                <w:rPr>
                                  <w:rStyle w:val="InternetLink"/>
                                  <w:rFonts w:ascii="Georgia;Times;Serif" w:hAnsi="Georgia;Times;Serif"/>
                                  <w:b w:val="false"/>
                                  <w:i w:val="false"/>
                                  <w:caps w:val="false"/>
                                  <w:smallCaps w:val="false"/>
                                  <w:sz w:val="15"/>
                                </w:rPr>
                                <w:t>http://www.sec.gov/Archives/edgar/data/19617/000121390026093533/</w:t>
                                <w:br/>
                                <w:t>ea0303371-01_424b2.htm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1.9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caps w:val="false"/>
                          <w:smallCaps w:val="false"/>
                          <w:color w:val="8F8F8F"/>
                        </w:rPr>
                      </w:pPr>
                      <w:r>
                        <w:rPr>
                          <w:caps w:val="false"/>
                          <w:smallCaps w:val="false"/>
                          <w:color w:val="8F8F8F"/>
                        </w:rPr>
                        <w:t> </w:t>
                      </w:r>
                    </w:p>
                    <w:tbl>
                      <w:tblPr>
                        <w:tblW w:w="4045" w:type="dxa"/>
                        <w:jc w:val="left"/>
                        <w:tblInd w:w="-10" w:type="dxa"/>
                        <w:tblLayout w:type="fixed"/>
                        <w:tblCellMar>
                          <w:top w:w="28" w:type="dxa"/>
                          <w:left w:w="108" w:type="dxa"/>
                          <w:bottom w:w="28" w:type="dxa"/>
                          <w:right w:w="108" w:type="dxa"/>
                        </w:tblCellMar>
                      </w:tblPr>
                      <w:tblGrid>
                        <w:gridCol w:w="1325"/>
                        <w:gridCol w:w="2720"/>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2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404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left"/>
                        <w:rPr>
                          <w:caps w:val="false"/>
                          <w:smallCaps w:val="false"/>
                          <w:color w:val="8F8F8F"/>
                        </w:rPr>
                      </w:pPr>
                      <w:r>
                        <w:rPr>
                          <w:caps w:val="false"/>
                          <w:smallCaps w:val="false"/>
                          <w:color w:val="8F8F8F"/>
                        </w:rPr>
                        <w:drawing>
                          <wp:inline distT="0" distB="0" distL="0" distR="0">
                            <wp:extent cx="3362325" cy="21336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62325" cy="21336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*Assumes a call premium equal to the lowest possible call premium that may be determined on the pricing date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automatically called, the positive return on the securities will be limited to the call premium, even if the stock closing price of the lowest performing Underlying Stock on the call date significantly exceeds its starting price. If the securities are automatically called, you will not have the opportunity to participate in any appreciation of the lowest performing Underlying Stock on the final calculation day at the upside participation rate or earn any positive return from any depreciation of the lowest performing Underlying Stock on the final calculation day due to the absolute stock return feature.</w:t>
                      </w:r>
                    </w:p>
                    <w:p>
                      <w:pPr>
                        <w:pStyle w:val="TextBody"/>
                        <w:bidi w:val="0"/>
                        <w:spacing w:before="0" w:after="6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If the securities are not automatically called and the ending price of the lowest performing Underlying Stock on the final calculation day is less than its threshold price, you will have full downside exposure to the decrease in the price of that Underlying Stock from its starting price and you will lose more than 40%,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5"/>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priced on the date of the accompanying preliminary pricing supplement, the estimated value of the securities would be approximately $943.50 per security. The estimated value of the securities, when the terms of the securities are set, will be provided in the pricing supplement and will not be less than $910.00 per security. See “The Estimated Value of the Securities” in the preliminary pricing supplement for additional information.</w:t>
                      </w:r>
                    </w:p>
                    <w:p>
                      <w:pPr>
                        <w:pStyle w:val="TextBody"/>
                        <w:bidi w:val="0"/>
                        <w:spacing w:before="0" w:after="283"/>
                        <w:jc w:val="left"/>
                        <w:rPr/>
                      </w:pPr>
                      <w:r>
                        <w:rPr>
                          <w:rFonts w:ascii="Georgia;Times;Serif" w:hAnsi="Georgia;Times;Serif"/>
                          <w:b w:val="false"/>
                          <w:i w:val="false"/>
                          <w:caps w:val="false"/>
                          <w:smallCaps w:val="false"/>
                          <w:sz w:val="15"/>
                        </w:rPr>
                        <w:t xml:space="preserve">Preliminary Pricing Supplement: </w:t>
                      </w:r>
                      <w:hyperlink r:id="rId6">
                        <w:r>
                          <w:rPr>
                            <w:rStyle w:val="InternetLink"/>
                            <w:rFonts w:ascii="Georgia;Times;Serif" w:hAnsi="Georgia;Times;Serif"/>
                            <w:b w:val="false"/>
                            <w:i w:val="false"/>
                            <w:caps w:val="false"/>
                            <w:smallCaps w:val="false"/>
                            <w:sz w:val="15"/>
                          </w:rPr>
                          <w:t>http://www.sec.gov/Archives/edgar/data/19617/000121390026093533/</w:t>
                          <w:br/>
                          <w:t>ea0303371-01_424b2.htm</w:t>
                        </w:r>
                      </w:hyperlink>
                    </w:p>
                  </w:txbxContent>
                </v:textbox>
                <w10:wrap type="square" side="left"/>
              </v:rect>
            </w:pict>
          </mc:Fallback>
        </mc:AlternateContent>
      </w:r>
    </w:p>
    <w:p>
      <w:pPr>
        <w:pStyle w:val="TextBody"/>
        <w:bidi w:val="0"/>
        <w:jc w:val="left"/>
        <w:rPr>
          <w:rFonts w:ascii="Georgia;Times;Serif" w:hAnsi="Georgia;Times;Serif"/>
          <w:b/>
          <w:i w:val="false"/>
          <w:caps w:val="false"/>
          <w:smallCaps w:val="false"/>
          <w:sz w:val="15"/>
        </w:rPr>
      </w:pPr>
      <w:r>
        <w:rPr>
          <w:rFonts w:ascii="Georgia;Times;Serif" w:hAnsi="Georgia;Times;Serif"/>
          <w:b/>
          <w:i w:val="false"/>
          <w:caps w:val="false"/>
          <w:smallCaps w:val="false"/>
          <w:sz w:val="15"/>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5"/>
        </w:rPr>
      </w:pPr>
      <w:r>
        <w:rPr>
          <w:rFonts w:ascii="Georgia;Times;Serif" w:hAnsi="Georgia;Times;Serif"/>
          <w:b w:val="false"/>
          <w:i/>
          <w:caps w:val="false"/>
          <w:smallCaps w:val="false"/>
          <w:sz w:val="15"/>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5"/>
        </w:rPr>
      </w:pPr>
      <w:r>
        <w:rPr>
          <w:rFonts w:ascii="Georgia;Times;Serif" w:hAnsi="Georgia;Times;Serif"/>
          <w:b/>
          <w:i w:val="false"/>
          <w:caps w:val="false"/>
          <w:smallCaps w:val="false"/>
          <w:color w:val="C00000"/>
          <w:sz w:val="15"/>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5"/>
        </w:rPr>
        <w:t>This fact sheet should be read in conjunction with the accompanying preliminary pricing supplement, prospectus, prospectus supplement and product supplement.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6"/>
        <w:gridCol w:w="5179"/>
      </w:tblGrid>
      <w:tr>
        <w:trPr/>
        <w:tc>
          <w:tcPr>
            <w:tcW w:w="502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40%,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Your Potential for a Positive Return from Depreciation of the Lowest Performing Underlying Stock on the Final Calculation Day Is Limited.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Payment at Maturity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tc>
        <w:tc>
          <w:tcPr>
            <w:tcW w:w="517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 xml:space="preserve">The Anti-Dilution Protection Is Limited and May Be Discretionary. </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3533/ea0303371-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3533/ea0303371-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1759</Words>
  <Characters>9449</Characters>
  <CharactersWithSpaces>11234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