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8589-01_fwp.htm"/>
      <w:bookmarkStart w:id="1" w:name="ksea030858901_fwp"/>
      <w:bookmarkStart w:id="2" w:name="ea0308589-01_fwp.htm"/>
      <w:bookmarkStart w:id="3" w:name="ksea030858901_fwp"/>
      <w:bookmarkEnd w:id="2"/>
      <w:bookmarkEnd w:id="3"/>
    </w:p>
    <w:tbl>
      <w:tblPr>
        <w:tblW w:w="10205" w:type="dxa"/>
        <w:jc w:val="left"/>
        <w:tblInd w:w="0" w:type="dxa"/>
        <w:tblLayout w:type="fixed"/>
        <w:tblCellMar>
          <w:top w:w="0" w:type="dxa"/>
          <w:left w:w="0" w:type="dxa"/>
          <w:bottom w:w="0" w:type="dxa"/>
          <w:right w:w="0" w:type="dxa"/>
        </w:tblCellMar>
      </w:tblPr>
      <w:tblGrid>
        <w:gridCol w:w="7035"/>
        <w:gridCol w:w="3170"/>
      </w:tblGrid>
      <w:tr>
        <w:trPr/>
        <w:tc>
          <w:tcPr>
            <w:tcW w:w="7035"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7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5" w:type="dxa"/>
            <w:vMerge w:val="continue"/>
            <w:tcBorders/>
            <w:vAlign w:val="center"/>
          </w:tcPr>
          <w:p>
            <w:pPr>
              <w:pStyle w:val="Normal"/>
              <w:bidi w:val="0"/>
              <w:jc w:val="left"/>
              <w:rPr/>
            </w:pPr>
            <w:r>
              <w:rPr/>
            </w:r>
          </w:p>
        </w:tc>
        <w:tc>
          <w:tcPr>
            <w:tcW w:w="3170" w:type="dxa"/>
            <w:tcBorders/>
            <w:vAlign w:val="center"/>
          </w:tcPr>
          <w:p>
            <w:pPr>
              <w:pStyle w:val="TableContents"/>
              <w:bidi w:val="0"/>
              <w:spacing w:before="0" w:after="0"/>
              <w:ind w:left="0" w:right="288" w:hanging="0"/>
              <w:jc w:val="right"/>
              <w:rPr>
                <w:caps w:val="false"/>
                <w:smallCaps w:val="false"/>
              </w:rPr>
            </w:pPr>
            <w:r>
              <w:rPr>
                <w:caps w:val="false"/>
                <w:smallCaps w:val="false"/>
              </w:rPr>
              <w:drawing>
                <wp:inline distT="0" distB="0" distL="0" distR="0">
                  <wp:extent cx="17145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476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Class C Common Stock of Dell Technologies Inc.</w:t>
              <w:br/>
              <w:t>and the Class A Common Stock of Meta Platforms, Inc. due October 19, 2028</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October 14, 2026 to Preliminary Pricing Supplement dated October 13,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C common stock of Dell Technologies Inc. (Bloomberg ticker: DELL) and the Class A common stock of Meta Platforms, Inc. (Bloomberg ticker: META)</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2028</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24.05%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September 2028,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payments.</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2028.  We refer to October 16, 2028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caps w:val="false"/>
                                      <w:smallCaps w:val="false"/>
                                    </w:rPr>
                                  </w:pPr>
                                  <w:r>
                                    <w:rPr>
                                      <w:caps w:val="false"/>
                                      <w:smallCaps w:val="false"/>
                                    </w:rPr>
                                    <w:t> </w:t>
                                  </w: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“l</w:t>
                                  </w:r>
                                  <w:r>
                                    <w:rPr>
                                      <w:rFonts w:ascii="Georgia;Times;Serif" w:hAnsi="Georgia;Times;Serif"/>
                                      <w:b w:val="false"/>
                                      <w:i w:val="false"/>
                                      <w:caps w:val="false"/>
                                      <w:smallCaps w:val="false"/>
                                      <w:sz w:val="16"/>
                                      <w:u w:val="single"/>
                                    </w:rPr>
                                    <w:t>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C common stock of Dell Technologies Inc. (Bloomberg ticker: DELL) and the Class A common stock of Meta Platforms, Inc. (Bloomberg ticker: META)</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21,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October 19, 2028</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24.05%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January 2027 to September 2028,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payments.</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November 2026 and ending October 2028.  We refer to October 16, 2028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caps w:val="false"/>
                                <w:smallCaps w:val="false"/>
                              </w:rPr>
                            </w:pPr>
                            <w:r>
                              <w:rPr>
                                <w:caps w:val="false"/>
                                <w:smallCaps w:val="false"/>
                              </w:rPr>
                              <w:t> </w:t>
                            </w: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p>
                            <w:pPr>
                              <w:pStyle w:val="TableContents"/>
                              <w:bidi w:val="0"/>
                              <w:spacing w:before="0" w:after="283"/>
                              <w:jc w:val="left"/>
                              <w:rPr>
                                <w:caps w:val="false"/>
                                <w:smallCaps w:val="false"/>
                              </w:rPr>
                            </w:pPr>
                            <w:r>
                              <w:rPr>
                                <w:caps w:val="false"/>
                                <w:smallCaps w:val="false"/>
                              </w:rPr>
                              <w:t>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“l</w:t>
                            </w:r>
                            <w:r>
                              <w:rPr>
                                <w:rFonts w:ascii="Georgia;Times;Serif" w:hAnsi="Georgia;Times;Serif"/>
                                <w:b w:val="false"/>
                                <w:i w:val="false"/>
                                <w:caps w:val="false"/>
                                <w:smallCaps w:val="false"/>
                                <w:sz w:val="16"/>
                                <w:u w:val="single"/>
                              </w:rPr>
                              <w:t>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60%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46661PQW0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bl>
                          <w:tbl>
                            <w:tblPr>
                              <w:tblW w:w="1775" w:type="dxa"/>
                              <w:jc w:val="left"/>
                              <w:tblInd w:w="-10" w:type="dxa"/>
                              <w:tblLayout w:type="fixed"/>
                              <w:tblCellMar>
                                <w:top w:w="0" w:type="dxa"/>
                                <w:left w:w="108" w:type="dxa"/>
                                <w:bottom w:w="28" w:type="dxa"/>
                                <w:right w:w="108" w:type="dxa"/>
                              </w:tblCellMar>
                            </w:tblPr>
                            <w:tblGrid>
                              <w:gridCol w:w="1775"/>
                            </w:tblGrid>
                            <w:tr>
                              <w:trPr/>
                              <w:tc>
                                <w:tcPr>
                                  <w:tcW w:w="1775" w:type="dxa"/>
                                  <w:tcBorders>
                                    <w:left w:val="single" w:sz="8" w:space="0" w:color="000000"/>
                                    <w:bottom w:val="single" w:sz="8" w:space="0" w:color="000000"/>
                                    <w:right w:val="single" w:sz="8" w:space="0" w:color="000000"/>
                                  </w:tcBorders>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2981325" cy="18002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981325" cy="1800225"/>
                                          </a:xfrm>
                                          <a:prstGeom prst="rect">
                                            <a:avLst/>
                                          </a:prstGeom>
                                        </pic:spPr>
                                      </pic:pic>
                                    </a:graphicData>
                                  </a:graphic>
                                </wp:inline>
                              </w:drawing>
                            </w:r>
                          </w:p>
                          <w:p>
                            <w:pPr>
                              <w:pStyle w:val="TextBody"/>
                              <w:bidi w:val="0"/>
                              <w:spacing w:before="20" w:after="20"/>
                              <w:ind w:left="0" w:right="2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pStyle w:val="TextBody"/>
                              <w:bidi w:val="0"/>
                              <w:spacing w:before="20" w:after="20"/>
                              <w:ind w:left="0" w:right="2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either Underlying Stock, but you will have full downside exposure to the lowest performing Underlying Stock on the final calculation day if its ending price is less than its threshold price.</w:t>
                            </w:r>
                          </w:p>
                          <w:p>
                            <w:pPr>
                              <w:pStyle w:val="TextBody"/>
                              <w:bidi w:val="0"/>
                              <w:spacing w:before="20" w:after="20"/>
                              <w:ind w:left="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20" w:after="20"/>
                              <w:ind w:left="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$961.20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40" w:after="40"/>
                              <w:ind w:left="40" w:right="40" w:hanging="0"/>
                              <w:jc w:val="left"/>
                              <w:rPr/>
                            </w:pPr>
                            <w:hyperlink r:id="rId4">
                              <w:r>
                                <w:rPr>
                                  <w:rStyle w:val="InternetLink"/>
                                  <w:rFonts w:ascii="Georgia;Times;Serif" w:hAnsi="Georgia;Times;Serif"/>
                                  <w:b w:val="false"/>
                                  <w:i w:val="false"/>
                                  <w:caps w:val="false"/>
                                  <w:smallCaps w:val="false"/>
                                  <w:sz w:val="16"/>
                                </w:rPr>
                                <w:t>http://www.sec.gov/Archives/edgar/data/</w:t>
                                <w:br/>
                                <w:t>19617/000121390026109250/ea0308539-01_424b2.htm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60%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46661PQW0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bl>
                    <w:tbl>
                      <w:tblPr>
                        <w:tblW w:w="1775" w:type="dxa"/>
                        <w:jc w:val="left"/>
                        <w:tblInd w:w="-10" w:type="dxa"/>
                        <w:tblLayout w:type="fixed"/>
                        <w:tblCellMar>
                          <w:top w:w="0" w:type="dxa"/>
                          <w:left w:w="108" w:type="dxa"/>
                          <w:bottom w:w="28" w:type="dxa"/>
                          <w:right w:w="108" w:type="dxa"/>
                        </w:tblCellMar>
                      </w:tblPr>
                      <w:tblGrid>
                        <w:gridCol w:w="1775"/>
                      </w:tblGrid>
                      <w:tr>
                        <w:trPr/>
                        <w:tc>
                          <w:tcPr>
                            <w:tcW w:w="1775" w:type="dxa"/>
                            <w:tcBorders>
                              <w:left w:val="single" w:sz="8" w:space="0" w:color="000000"/>
                              <w:bottom w:val="single" w:sz="8" w:space="0" w:color="000000"/>
                              <w:right w:val="single" w:sz="8" w:space="0" w:color="000000"/>
                            </w:tcBorders>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2981325" cy="18002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2981325" cy="1800225"/>
                                    </a:xfrm>
                                    <a:prstGeom prst="rect">
                                      <a:avLst/>
                                    </a:prstGeom>
                                  </pic:spPr>
                                </pic:pic>
                              </a:graphicData>
                            </a:graphic>
                          </wp:inline>
                        </w:drawing>
                      </w:r>
                    </w:p>
                    <w:p>
                      <w:pPr>
                        <w:pStyle w:val="TextBody"/>
                        <w:bidi w:val="0"/>
                        <w:spacing w:before="20" w:after="20"/>
                        <w:ind w:left="0" w:right="2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40%, and possibly all, of the principal amount of your securities at maturity.</w:t>
                      </w:r>
                    </w:p>
                    <w:p>
                      <w:pPr>
                        <w:pStyle w:val="TextBody"/>
                        <w:bidi w:val="0"/>
                        <w:spacing w:before="20" w:after="20"/>
                        <w:ind w:left="0" w:right="2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either Underlying Stock, but you will have full downside exposure to the lowest performing Underlying Stock on the final calculation day if its ending price is less than its threshold price.</w:t>
                      </w:r>
                    </w:p>
                    <w:p>
                      <w:pPr>
                        <w:pStyle w:val="TextBody"/>
                        <w:bidi w:val="0"/>
                        <w:spacing w:before="20" w:after="20"/>
                        <w:ind w:left="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20" w:after="20"/>
                        <w:ind w:left="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$961.20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40" w:after="40"/>
                        <w:ind w:left="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Preliminary Pricing Supplement:</w:t>
                      </w:r>
                    </w:p>
                    <w:p>
                      <w:pPr>
                        <w:pStyle w:val="TextBody"/>
                        <w:bidi w:val="0"/>
                        <w:spacing w:before="40" w:after="40"/>
                        <w:ind w:left="40" w:right="40" w:hanging="0"/>
                        <w:jc w:val="left"/>
                        <w:rPr/>
                      </w:pPr>
                      <w:hyperlink r:id="rId6">
                        <w:r>
                          <w:rPr>
                            <w:rStyle w:val="InternetLink"/>
                            <w:rFonts w:ascii="Georgia;Times;Serif" w:hAnsi="Georgia;Times;Serif"/>
                            <w:b w:val="false"/>
                            <w:i w:val="false"/>
                            <w:caps w:val="false"/>
                            <w:smallCaps w:val="false"/>
                            <w:sz w:val="16"/>
                          </w:rPr>
                          <w:t>http://www.sec.gov/Archives/edgar/data/</w:t>
                          <w:br/>
                          <w:t>19617/000121390026109250/ea0308539-01_424b2.htm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6"/>
        <w:gridCol w:w="5179"/>
      </w:tblGrid>
      <w:tr>
        <w:trPr/>
        <w:tc>
          <w:tcPr>
            <w:tcW w:w="5026"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40%,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Either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Risks Resulting from the Relationship Between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79"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Either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Chase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9250/ea030853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9250/ea030853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1828</Words>
  <Characters>9857</Characters>
  <CharactersWithSpaces>11775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