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2565400</wp:posOffset>
            </wp:positionH>
            <wp:positionV relativeFrom="page">
              <wp:posOffset>157480</wp:posOffset>
            </wp:positionV>
            <wp:extent cx="2417445" cy="257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17445" cy="257175"/>
                    </a:xfrm>
                    <a:prstGeom prst="rect">
                      <a:avLst/>
                    </a:prstGeom>
                    <a:noFill/>
                  </pic:spPr>
                </pic:pic>
              </a:graphicData>
            </a:graphic>
          </wp:anchor>
        </w:drawing>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333-230098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September 15, 2021</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This term sheet supplements the information set forth under “Description of the Notes” in the Prospectus Supplement, subject to completion, dated September 15, 2021 to the Prospectus dated April 11, 2019 (the “Preliminary Prospectus Supplement”).</w:t>
      </w:r>
    </w:p>
    <w:p>
      <w:pPr>
        <w:sectPr>
          <w:pgSz w:w="11900" w:h="16838" w:orient="portrait"/>
          <w:cols w:equalWidth="0" w:num="1">
            <w:col w:w="11020"/>
          </w:cols>
          <w:pgMar w:left="440" w:top="854" w:right="439" w:bottom="1440" w:gutter="0" w:footer="0" w:header="0"/>
        </w:sectPr>
      </w:pPr>
    </w:p>
    <w:p>
      <w:pPr>
        <w:spacing w:after="0" w:line="197" w:lineRule="exact"/>
        <w:rPr>
          <w:sz w:val="24"/>
          <w:szCs w:val="24"/>
          <w:color w:val="auto"/>
        </w:rPr>
      </w:pPr>
    </w:p>
    <w:p>
      <w:pPr>
        <w:ind w:left="540"/>
        <w:spacing w:after="0"/>
        <w:rPr>
          <w:sz w:val="20"/>
          <w:szCs w:val="20"/>
          <w:color w:val="auto"/>
        </w:rPr>
      </w:pPr>
      <w:r>
        <w:rPr>
          <w:rFonts w:ascii="Arial" w:cs="Arial" w:eastAsia="Arial" w:hAnsi="Arial"/>
          <w:sz w:val="15"/>
          <w:szCs w:val="15"/>
          <w:color w:val="auto"/>
        </w:rPr>
        <w:t>Issuer: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JPMorgan Chase &amp; Co.</w:t>
      </w:r>
    </w:p>
    <w:p>
      <w:pPr>
        <w:spacing w:after="0" w:line="167"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Security Type: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SEC Registered Senior Notes</w:t>
      </w:r>
    </w:p>
    <w:p>
      <w:pPr>
        <w:spacing w:after="0" w:line="167"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Fixed-to-Floating Rate Notes due 2027</w:t>
      </w:r>
    </w:p>
    <w:p>
      <w:pPr>
        <w:spacing w:after="0" w:line="167"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Currency:</w:t>
      </w:r>
    </w:p>
    <w:p>
      <w:pPr>
        <w:spacing w:after="0" w:line="20" w:lineRule="exact"/>
        <w:rPr>
          <w:sz w:val="24"/>
          <w:szCs w:val="24"/>
          <w:color w:val="auto"/>
        </w:rPr>
      </w:pPr>
      <w:r>
        <w:rPr>
          <w:sz w:val="24"/>
          <w:szCs w:val="24"/>
          <w:color w:val="auto"/>
        </w:rPr>
        <w:br w:type="column"/>
      </w:r>
    </w:p>
    <w:p>
      <w:pPr>
        <w:jc w:val="center"/>
        <w:ind w:right="4720"/>
        <w:spacing w:after="0"/>
        <w:rPr>
          <w:sz w:val="20"/>
          <w:szCs w:val="20"/>
          <w:color w:val="auto"/>
        </w:rPr>
      </w:pPr>
      <w:r>
        <w:rPr>
          <w:rFonts w:ascii="Arial" w:cs="Arial" w:eastAsia="Arial" w:hAnsi="Arial"/>
          <w:sz w:val="17"/>
          <w:szCs w:val="17"/>
          <w:color w:val="auto"/>
        </w:rPr>
        <w:t>USD</w:t>
      </w:r>
    </w:p>
    <w:p>
      <w:pPr>
        <w:spacing w:after="0" w:line="156"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Size: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$2,750,000,000</w:t>
      </w:r>
    </w:p>
    <w:p>
      <w:pPr>
        <w:spacing w:after="0" w:line="167"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September 22, 2027</w:t>
      </w:r>
    </w:p>
    <w:p>
      <w:pPr>
        <w:spacing w:after="0" w:line="178"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Fixed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From and including September 22, 2021 to but excluding</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September 22, 2026</w:t>
      </w:r>
    </w:p>
    <w:p>
      <w:pPr>
        <w:spacing w:after="0" w:line="116"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Floating Rate Period: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From and including September 22, 2026 to but excluding Maturity</w:t>
      </w:r>
    </w:p>
    <w:p>
      <w:pPr>
        <w:spacing w:after="0" w:line="167"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Payment Frequency:</w:t>
      </w:r>
    </w:p>
    <w:p>
      <w:pPr>
        <w:spacing w:after="0" w:line="20" w:lineRule="exact"/>
        <w:rPr>
          <w:sz w:val="24"/>
          <w:szCs w:val="24"/>
          <w:color w:val="auto"/>
        </w:rPr>
      </w:pPr>
      <w:r>
        <w:rPr>
          <w:sz w:val="24"/>
          <w:szCs w:val="24"/>
          <w:color w:val="auto"/>
        </w:rPr>
        <w:br w:type="column"/>
      </w:r>
    </w:p>
    <w:p>
      <w:pPr>
        <w:ind w:right="280"/>
        <w:spacing w:after="0" w:line="277" w:lineRule="auto"/>
        <w:rPr>
          <w:sz w:val="20"/>
          <w:szCs w:val="20"/>
          <w:color w:val="auto"/>
        </w:rPr>
      </w:pPr>
      <w:r>
        <w:rPr>
          <w:rFonts w:ascii="Arial" w:cs="Arial" w:eastAsia="Arial" w:hAnsi="Arial"/>
          <w:sz w:val="18"/>
          <w:szCs w:val="18"/>
          <w:color w:val="auto"/>
        </w:rPr>
        <w:t>Semi-annual during the Fixed Rate Period and quarterly during the Floating Rate Period</w:t>
      </w:r>
    </w:p>
    <w:p>
      <w:pPr>
        <w:spacing w:after="0" w:line="76"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Day Count Fraction:</w:t>
      </w:r>
    </w:p>
    <w:p>
      <w:pPr>
        <w:spacing w:after="0" w:line="20" w:lineRule="exact"/>
        <w:rPr>
          <w:sz w:val="24"/>
          <w:szCs w:val="24"/>
          <w:color w:val="auto"/>
        </w:rPr>
      </w:pPr>
      <w:r>
        <w:rPr>
          <w:sz w:val="24"/>
          <w:szCs w:val="24"/>
          <w:color w:val="auto"/>
        </w:rPr>
        <w:br w:type="column"/>
      </w:r>
    </w:p>
    <w:p>
      <w:pPr>
        <w:ind w:right="140"/>
        <w:spacing w:after="0" w:line="277" w:lineRule="auto"/>
        <w:rPr>
          <w:sz w:val="20"/>
          <w:szCs w:val="20"/>
          <w:color w:val="auto"/>
        </w:rPr>
      </w:pPr>
      <w:r>
        <w:rPr>
          <w:rFonts w:ascii="Arial" w:cs="Arial" w:eastAsia="Arial" w:hAnsi="Arial"/>
          <w:sz w:val="18"/>
          <w:szCs w:val="18"/>
          <w:color w:val="auto"/>
        </w:rPr>
        <w:t>30/360 during the Fixed Rate Period, Actual/360 during the Floating Rate Period</w:t>
      </w:r>
    </w:p>
    <w:p>
      <w:pPr>
        <w:spacing w:after="0" w:line="76"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0.750% due August 31, 2026</w:t>
      </w:r>
    </w:p>
    <w:p>
      <w:pPr>
        <w:spacing w:after="0" w:line="167"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Benchmark Treasury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0.800%</w:t>
      </w:r>
    </w:p>
    <w:p>
      <w:pPr>
        <w:spacing w:after="0" w:line="167"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+67 basis points</w:t>
      </w:r>
    </w:p>
    <w:p>
      <w:pPr>
        <w:spacing w:after="0" w:line="178"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Reoffer Yield:</w:t>
      </w:r>
    </w:p>
    <w:p>
      <w:pPr>
        <w:spacing w:after="0" w:line="20" w:lineRule="exact"/>
        <w:rPr>
          <w:sz w:val="24"/>
          <w:szCs w:val="24"/>
          <w:color w:val="auto"/>
        </w:rPr>
      </w:pPr>
      <w:r>
        <w:rPr>
          <w:sz w:val="24"/>
          <w:szCs w:val="24"/>
          <w:color w:val="auto"/>
        </w:rPr>
        <w:br w:type="column"/>
      </w:r>
    </w:p>
    <w:p>
      <w:pPr>
        <w:jc w:val="center"/>
        <w:ind w:right="4520"/>
        <w:spacing w:after="0"/>
        <w:rPr>
          <w:sz w:val="20"/>
          <w:szCs w:val="20"/>
          <w:color w:val="auto"/>
        </w:rPr>
      </w:pPr>
      <w:r>
        <w:rPr>
          <w:rFonts w:ascii="Arial" w:cs="Arial" w:eastAsia="Arial" w:hAnsi="Arial"/>
          <w:sz w:val="16"/>
          <w:szCs w:val="16"/>
          <w:color w:val="auto"/>
        </w:rPr>
        <w:t>1.470%</w:t>
      </w:r>
    </w:p>
    <w:p>
      <w:pPr>
        <w:spacing w:after="0" w:line="167"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Fixed Rate Coupon:</w:t>
      </w:r>
    </w:p>
    <w:p>
      <w:pPr>
        <w:spacing w:after="0" w:line="20" w:lineRule="exact"/>
        <w:rPr>
          <w:sz w:val="24"/>
          <w:szCs w:val="24"/>
          <w:color w:val="auto"/>
        </w:rPr>
      </w:pPr>
      <w:r>
        <w:rPr>
          <w:sz w:val="24"/>
          <w:szCs w:val="24"/>
          <w:color w:val="auto"/>
        </w:rPr>
        <w:br w:type="column"/>
      </w:r>
    </w:p>
    <w:p>
      <w:pPr>
        <w:ind w:right="540"/>
        <w:spacing w:after="0" w:line="277" w:lineRule="auto"/>
        <w:rPr>
          <w:sz w:val="20"/>
          <w:szCs w:val="20"/>
          <w:color w:val="auto"/>
        </w:rPr>
      </w:pPr>
      <w:r>
        <w:rPr>
          <w:rFonts w:ascii="Arial" w:cs="Arial" w:eastAsia="Arial" w:hAnsi="Arial"/>
          <w:sz w:val="18"/>
          <w:szCs w:val="18"/>
          <w:color w:val="auto"/>
        </w:rPr>
        <w:t>1.470%, payable semiannually in arrears during the Fixed Rate Period.</w:t>
      </w:r>
    </w:p>
    <w:p>
      <w:pPr>
        <w:spacing w:after="0" w:line="76" w:lineRule="exact"/>
        <w:rPr>
          <w:sz w:val="24"/>
          <w:szCs w:val="24"/>
          <w:color w:val="auto"/>
        </w:rPr>
      </w:pPr>
    </w:p>
    <w:p>
      <w:pPr>
        <w:sectPr>
          <w:pgSz w:w="11900" w:h="16838" w:orient="portrait"/>
          <w:cols w:equalWidth="0" w:num="2">
            <w:col w:w="5220" w:space="720"/>
            <w:col w:w="5080"/>
          </w:cols>
          <w:pgMar w:left="440" w:top="854" w:right="43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Floating Rate Coupon:</w:t>
      </w:r>
    </w:p>
    <w:p>
      <w:pPr>
        <w:spacing w:after="0" w:line="20" w:lineRule="exact"/>
        <w:rPr>
          <w:sz w:val="24"/>
          <w:szCs w:val="24"/>
          <w:color w:val="auto"/>
        </w:rPr>
      </w:pPr>
      <w:r>
        <w:rPr>
          <w:sz w:val="24"/>
          <w:szCs w:val="24"/>
          <w:color w:val="auto"/>
        </w:rPr>
        <w:br w:type="column"/>
      </w:r>
    </w:p>
    <w:p>
      <w:pPr>
        <w:ind w:right="80"/>
        <w:spacing w:after="0" w:line="277" w:lineRule="auto"/>
        <w:rPr>
          <w:sz w:val="20"/>
          <w:szCs w:val="20"/>
          <w:color w:val="auto"/>
        </w:rPr>
      </w:pPr>
      <w:r>
        <w:rPr>
          <w:rFonts w:ascii="Arial" w:cs="Arial" w:eastAsia="Arial" w:hAnsi="Arial"/>
          <w:sz w:val="18"/>
          <w:szCs w:val="18"/>
          <w:color w:val="auto"/>
        </w:rPr>
        <w:t>An annual floating rate equal to the Floating Rate Index plus a spread of 0.765% per annum, payable</w:t>
      </w:r>
    </w:p>
    <w:p>
      <w:pPr>
        <w:sectPr>
          <w:pgSz w:w="11900" w:h="16838" w:orient="portrait"/>
          <w:cols w:equalWidth="0" w:num="2">
            <w:col w:w="5220" w:space="720"/>
            <w:col w:w="5080"/>
          </w:cols>
          <w:pgMar w:left="440" w:top="854" w:right="439" w:bottom="1440" w:gutter="0" w:footer="0" w:header="0"/>
          <w:type w:val="continuous"/>
        </w:sectPr>
      </w:pPr>
    </w:p>
    <w:bookmarkStart w:id="1" w:name="page2"/>
    <w:bookmarkEnd w:id="1"/>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Floating Rate Index: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Floating Rate Reset Frequency: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Proceeds (Before Expenses) to Issuer: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Business Day: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Business Day Convention: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Arial" w:cs="Arial" w:eastAsia="Arial" w:hAnsi="Arial"/>
          <w:sz w:val="18"/>
          <w:szCs w:val="18"/>
          <w:color w:val="auto"/>
        </w:rPr>
        <w:t>quarterly in arrears during the Floating Rate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-215900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4"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Benchmark rate (expected to be Compounded SOFR as described under “Description of the Notes—Interest on the notes” in the Preliminary Prospectus Supplement.)</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color w:val="auto"/>
        </w:rPr>
        <w:t>Quarterly during the Floating Rate Period</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color w:val="auto"/>
        </w:rPr>
        <w:t>100% of face amount</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color w:val="auto"/>
        </w:rPr>
        <w:t>$2,740,375,000</w:t>
      </w:r>
    </w:p>
    <w:p>
      <w:pPr>
        <w:spacing w:after="0" w:line="144" w:lineRule="exact"/>
        <w:rPr>
          <w:sz w:val="20"/>
          <w:szCs w:val="20"/>
          <w:color w:val="auto"/>
        </w:rPr>
      </w:pPr>
    </w:p>
    <w:p>
      <w:pPr>
        <w:ind w:left="4" w:right="240"/>
        <w:spacing w:after="0" w:line="301" w:lineRule="auto"/>
        <w:rPr>
          <w:sz w:val="20"/>
          <w:szCs w:val="20"/>
          <w:color w:val="auto"/>
        </w:rPr>
      </w:pPr>
      <w:r>
        <w:rPr>
          <w:rFonts w:ascii="Arial" w:cs="Arial" w:eastAsia="Arial" w:hAnsi="Arial"/>
          <w:sz w:val="16"/>
          <w:szCs w:val="16"/>
          <w:color w:val="auto"/>
        </w:rPr>
        <w:t>During the Fixed Rate Period, each March 22 and September 22, beginning March 22, 2022 and including September 22, 2026, and during the Floating Rate Period, each of December 22, 2026, March 22, 2027, June 22, 2027 and September 22, 2027.</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w:t>
      </w:r>
    </w:p>
    <w:p>
      <w:pPr>
        <w:spacing w:after="0" w:line="144" w:lineRule="exact"/>
        <w:rPr>
          <w:sz w:val="20"/>
          <w:szCs w:val="20"/>
          <w:color w:val="auto"/>
        </w:rPr>
      </w:pPr>
    </w:p>
    <w:p>
      <w:pPr>
        <w:ind w:left="4" w:right="300"/>
        <w:spacing w:after="0" w:line="308" w:lineRule="auto"/>
        <w:rPr>
          <w:sz w:val="20"/>
          <w:szCs w:val="20"/>
          <w:color w:val="auto"/>
        </w:rPr>
      </w:pPr>
      <w:r>
        <w:rPr>
          <w:rFonts w:ascii="Arial" w:cs="Arial" w:eastAsia="Arial" w:hAnsi="Arial"/>
          <w:sz w:val="17"/>
          <w:szCs w:val="17"/>
          <w:color w:val="auto"/>
        </w:rPr>
        <w:t>During the Fixed Rate Period, following business day. During the Floating Rate Period, modified following business day.</w:t>
      </w:r>
    </w:p>
    <w:p>
      <w:pPr>
        <w:spacing w:after="0" w:line="52"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color w:val="auto"/>
        </w:rPr>
        <w:t>We may redeem the notes, at our option, in whole at any time or in part from time to time, on or after March 22, 2022 and prior to September 22, 2026 upon at least 5 days’ but no more than 60 days’ notice to holders of the notes, at a redemption price equal to the sum of: (i) 100% of the principal amount of the notes being redeemed;</w:t>
      </w:r>
    </w:p>
    <w:p>
      <w:pPr>
        <w:spacing w:after="0" w:line="2" w:lineRule="exact"/>
        <w:rPr>
          <w:sz w:val="20"/>
          <w:szCs w:val="20"/>
          <w:color w:val="auto"/>
        </w:rPr>
      </w:pPr>
    </w:p>
    <w:p>
      <w:pPr>
        <w:ind w:left="4" w:right="220" w:hanging="4"/>
        <w:spacing w:after="0" w:line="281" w:lineRule="auto"/>
        <w:tabs>
          <w:tab w:leader="none" w:pos="26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“Make-Whole Amount” discounted at the “Treasury Yield” plus 10 basis points, if any, with respect to such notes; and</w:t>
      </w:r>
    </w:p>
    <w:p>
      <w:pPr>
        <w:spacing w:after="0" w:line="1" w:lineRule="exact"/>
        <w:rPr>
          <w:rFonts w:ascii="Arial" w:cs="Arial" w:eastAsia="Arial" w:hAnsi="Arial"/>
          <w:sz w:val="16"/>
          <w:szCs w:val="16"/>
          <w:color w:val="auto"/>
        </w:rPr>
      </w:pPr>
    </w:p>
    <w:p>
      <w:pPr>
        <w:ind w:left="4" w:right="140" w:hanging="4"/>
        <w:spacing w:after="0" w:line="260" w:lineRule="auto"/>
        <w:tabs>
          <w:tab w:leader="none" w:pos="319" w:val="left"/>
        </w:tabs>
        <w:numPr>
          <w:ilvl w:val="0"/>
          <w:numId w:val="1"/>
        </w:numPr>
        <w:rPr>
          <w:rFonts w:ascii="Arial" w:cs="Arial" w:eastAsia="Arial" w:hAnsi="Arial"/>
          <w:sz w:val="18"/>
          <w:szCs w:val="18"/>
          <w:color w:val="auto"/>
        </w:rPr>
      </w:pPr>
      <w:r>
        <w:rPr>
          <w:rFonts w:ascii="Arial" w:cs="Arial" w:eastAsia="Arial" w:hAnsi="Arial"/>
          <w:sz w:val="18"/>
          <w:szCs w:val="18"/>
          <w:color w:val="auto"/>
        </w:rPr>
        <w:t>accrued and unpaid interest on such notes to, but excluding, the date of redemption.</w:t>
      </w:r>
    </w:p>
    <w:p>
      <w:pPr>
        <w:spacing w:after="0" w:line="91"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In addition, we may redeem the notes, at our option, in whole, but not in part, on September 22, 2026 upon at least 5 days’ but no more than 60 days’ notice to holders of the notes, at a redemption price equal to 100% of the principal amount of the notes being redeemed plus accrued</w:t>
      </w:r>
    </w:p>
    <w:p>
      <w:pPr>
        <w:sectPr>
          <w:pgSz w:w="11900" w:h="16838" w:orient="portrait"/>
          <w:cols w:equalWidth="0" w:num="2">
            <w:col w:w="4676" w:space="720"/>
            <w:col w:w="5024"/>
          </w:cols>
          <w:pgMar w:left="980" w:top="274" w:right="499" w:bottom="1440" w:gutter="0" w:footer="0" w:header="0"/>
        </w:sectPr>
      </w:pPr>
    </w:p>
    <w:bookmarkStart w:id="2" w:name="page3"/>
    <w:bookmarkEnd w:id="2"/>
    <w:p>
      <w:pPr>
        <w:ind w:left="5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unpaid interest thereon to, but excluding, the date of redemption.</w:t>
      </w:r>
    </w:p>
    <w:p>
      <w:pPr>
        <w:spacing w:after="0" w:line="167"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In addition, we may redeem the notes, at our option, in whole at any</w:t>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time or in part from time to time, on or after August 22, 2027, upon at</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least 5 days’ but no more than 60 days’ notice to holders of the notes,</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7"/>
          <w:szCs w:val="17"/>
          <w:color w:val="auto"/>
        </w:rPr>
        <w:t>at a redemption price equal to 100% of the principal amount of the</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notes being redeemed plus accrued and unpaid interest thereon to, but</w:t>
      </w:r>
    </w:p>
    <w:p>
      <w:pPr>
        <w:spacing w:after="0" w:line="32"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excluding, the date of redemption.</w:t>
      </w:r>
    </w:p>
    <w:p>
      <w:pPr>
        <w:spacing w:after="0" w:line="116"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The foregoing supplements and supersedes the information set forth</w:t>
      </w:r>
    </w:p>
    <w:p>
      <w:pPr>
        <w:spacing w:after="0" w:line="4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under “Description of the Notes” in the Preliminary Prospectus</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Supplement.</w:t>
      </w:r>
    </w:p>
    <w:p>
      <w:pPr>
        <w:sectPr>
          <w:pgSz w:w="11900" w:h="16838" w:orient="portrait"/>
          <w:cols w:equalWidth="0" w:num="1">
            <w:col w:w="10440"/>
          </w:cols>
          <w:pgMar w:left="980" w:top="274" w:right="47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46647PCP9 / US46647PCP99</w:t>
      </w:r>
    </w:p>
    <w:p>
      <w:pPr>
        <w:spacing w:after="0" w:line="167" w:lineRule="exact"/>
        <w:rPr>
          <w:sz w:val="20"/>
          <w:szCs w:val="20"/>
          <w:color w:val="auto"/>
        </w:rPr>
      </w:pPr>
    </w:p>
    <w:p>
      <w:pPr>
        <w:sectPr>
          <w:pgSz w:w="11900" w:h="16838" w:orient="portrait"/>
          <w:cols w:equalWidth="0" w:num="2">
            <w:col w:w="4680" w:space="720"/>
            <w:col w:w="5040"/>
          </w:cols>
          <w:pgMar w:left="9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September 15, 2021</w:t>
      </w:r>
    </w:p>
    <w:p>
      <w:pPr>
        <w:spacing w:after="0" w:line="178" w:lineRule="exact"/>
        <w:rPr>
          <w:sz w:val="20"/>
          <w:szCs w:val="20"/>
          <w:color w:val="auto"/>
        </w:rPr>
      </w:pPr>
    </w:p>
    <w:p>
      <w:pPr>
        <w:sectPr>
          <w:pgSz w:w="11900" w:h="16838" w:orient="portrait"/>
          <w:cols w:equalWidth="0" w:num="2">
            <w:col w:w="4680" w:space="720"/>
            <w:col w:w="5040"/>
          </w:cols>
          <w:pgMar w:left="9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September 22, 2021 (T+5)</w:t>
      </w:r>
    </w:p>
    <w:p>
      <w:pPr>
        <w:spacing w:after="0" w:line="167" w:lineRule="exact"/>
        <w:rPr>
          <w:sz w:val="20"/>
          <w:szCs w:val="20"/>
          <w:color w:val="auto"/>
        </w:rPr>
      </w:pPr>
    </w:p>
    <w:p>
      <w:pPr>
        <w:sectPr>
          <w:pgSz w:w="11900" w:h="16838" w:orient="portrait"/>
          <w:cols w:equalWidth="0" w:num="2">
            <w:col w:w="4680" w:space="720"/>
            <w:col w:w="5040"/>
          </w:cols>
          <w:pgMar w:left="9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jc w:val="center"/>
        <w:ind w:right="3880"/>
        <w:spacing w:after="0"/>
        <w:rPr>
          <w:sz w:val="20"/>
          <w:szCs w:val="20"/>
          <w:color w:val="auto"/>
        </w:rPr>
      </w:pPr>
      <w:r>
        <w:rPr>
          <w:rFonts w:ascii="Arial" w:cs="Arial" w:eastAsia="Arial" w:hAnsi="Arial"/>
          <w:sz w:val="16"/>
          <w:szCs w:val="16"/>
          <w:color w:val="auto"/>
        </w:rPr>
        <w:t>$2,000 x $1,000</w:t>
      </w:r>
    </w:p>
    <w:p>
      <w:pPr>
        <w:spacing w:after="0" w:line="167" w:lineRule="exact"/>
        <w:rPr>
          <w:sz w:val="20"/>
          <w:szCs w:val="20"/>
          <w:color w:val="auto"/>
        </w:rPr>
      </w:pPr>
    </w:p>
    <w:p>
      <w:pPr>
        <w:sectPr>
          <w:pgSz w:w="11900" w:h="16838" w:orient="portrait"/>
          <w:cols w:equalWidth="0" w:num="2">
            <w:col w:w="4680" w:space="720"/>
            <w:col w:w="5040"/>
          </w:cols>
          <w:pgMar w:left="980" w:top="274" w:right="479" w:bottom="1440" w:gutter="0" w:footer="0" w:header="0"/>
          <w:type w:val="continuous"/>
        </w:sectPr>
      </w:pPr>
    </w:p>
    <w:p>
      <w:pPr>
        <w:spacing w:after="0"/>
        <w:rPr>
          <w:sz w:val="20"/>
          <w:szCs w:val="20"/>
          <w:color w:val="auto"/>
        </w:rPr>
      </w:pPr>
      <w:r>
        <w:rPr>
          <w:rFonts w:ascii="Arial" w:cs="Arial" w:eastAsia="Arial" w:hAnsi="Arial"/>
          <w:sz w:val="15"/>
          <w:szCs w:val="15"/>
          <w:color w:val="auto"/>
        </w:rPr>
        <w:t>Concurrent Issuance:</w:t>
      </w:r>
    </w:p>
    <w:p>
      <w:pPr>
        <w:spacing w:after="0" w:line="20" w:lineRule="exact"/>
        <w:rPr>
          <w:sz w:val="20"/>
          <w:szCs w:val="20"/>
          <w:color w:val="auto"/>
        </w:rPr>
      </w:pPr>
      <w:r>
        <w:rPr>
          <w:sz w:val="20"/>
          <w:szCs w:val="20"/>
          <w:color w:val="auto"/>
        </w:rPr>
        <w:br w:type="column"/>
      </w:r>
    </w:p>
    <w:p>
      <w:pPr>
        <w:ind w:right="180"/>
        <w:spacing w:after="0" w:line="279" w:lineRule="auto"/>
        <w:rPr>
          <w:sz w:val="20"/>
          <w:szCs w:val="20"/>
          <w:color w:val="auto"/>
        </w:rPr>
      </w:pPr>
      <w:r>
        <w:rPr>
          <w:rFonts w:ascii="Arial" w:cs="Arial" w:eastAsia="Arial" w:hAnsi="Arial"/>
          <w:sz w:val="17"/>
          <w:szCs w:val="17"/>
          <w:color w:val="auto"/>
        </w:rPr>
        <w:t>In addition to the notes described in this term sheet, JPMorgan Chase &amp; Co. is concurrently offering $500,000,000 of floating rate notes due 2027. The consummation of each of these offerings is not contingent on any other offering.</w:t>
      </w:r>
    </w:p>
    <w:p>
      <w:pPr>
        <w:spacing w:after="0" w:line="77" w:lineRule="exact"/>
        <w:rPr>
          <w:sz w:val="20"/>
          <w:szCs w:val="20"/>
          <w:color w:val="auto"/>
        </w:rPr>
      </w:pPr>
    </w:p>
    <w:p>
      <w:pPr>
        <w:sectPr>
          <w:pgSz w:w="11900" w:h="16838" w:orient="portrait"/>
          <w:cols w:equalWidth="0" w:num="2">
            <w:col w:w="4680" w:space="720"/>
            <w:col w:w="5040"/>
          </w:cols>
          <w:pgMar w:left="9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Sole Bookrunner: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 Morgan Securities LLC</w:t>
      </w:r>
    </w:p>
    <w:p>
      <w:pPr>
        <w:spacing w:after="0" w:line="167" w:lineRule="exact"/>
        <w:rPr>
          <w:sz w:val="20"/>
          <w:szCs w:val="20"/>
          <w:color w:val="auto"/>
        </w:rPr>
      </w:pPr>
    </w:p>
    <w:p>
      <w:pPr>
        <w:sectPr>
          <w:pgSz w:w="11900" w:h="16838" w:orient="portrait"/>
          <w:cols w:equalWidth="0" w:num="2">
            <w:col w:w="4680" w:space="720"/>
            <w:col w:w="5040"/>
          </w:cols>
          <w:pgMar w:left="980" w:top="274" w:right="47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ABN AMRO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Commonwealth Bank of 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DZ Financial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ING Financial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Intesa Sanpaolo S.p.A.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nabSecurities,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Natixis Securities Americas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Nordea Bank Abp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Santander Investment Securities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Westpac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Apto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Cabrera Capital Markets LLC</w:t>
      </w:r>
    </w:p>
    <w:p>
      <w:pPr>
        <w:sectPr>
          <w:pgSz w:w="11900" w:h="16838" w:orient="portrait"/>
          <w:cols w:equalWidth="0" w:num="2">
            <w:col w:w="4680" w:space="720"/>
            <w:col w:w="5040"/>
          </w:cols>
          <w:pgMar w:left="980" w:top="274" w:right="479" w:bottom="1440" w:gutter="0" w:footer="0" w:header="0"/>
          <w:type w:val="continuous"/>
        </w:sectPr>
      </w:pPr>
    </w:p>
    <w:bookmarkStart w:id="3" w:name="page4"/>
    <w:bookmarkEnd w:id="3"/>
    <w:p>
      <w:pPr>
        <w:ind w:left="5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Great Pacific Securities</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Certain of the underwriters are not U.S. registered broker-dealers, and will not effect any offers or sales of any notes in the United States unless it is through one or more U.S. registered broker-dealers as permitted by the regulations of the Financial Industry Regulatory Authority, Inc.</w:t>
      </w:r>
    </w:p>
    <w:p>
      <w:pPr>
        <w:spacing w:after="0" w:line="12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Settlement Period: The closing will occur on September 22, 2021 which will be more than two U.S. business days after the date of this pricing term sheet. Rule 15c6-1 under the Securities Exchange Act of 1934 generally requires that securities trades in the secondary market settle in two business days, unless the parties to a trade expressly agree otherwise.</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JPMorgan Chase &amp; Co. has filed a registration statement (including a prospectus, as supplemented by a prospectus supplement) with the Securities and Exchange Commission, or SEC, for the offering to which this term sheet relates. Before you invest, you should read the prospectus in that registration statement, the prospectus supplement and any other documents relating to this offering that JPMorgan Chase &amp; Co. has filed with the SEC for more complete information about JPMorgan Chase &amp; Co. and this offering. You may get these documents without cost by visiting EDGAR on the SEC Web site at www.sec.gov. Alternatively, the issuer, any underwriter or any dealer participating in the offering will arrange to send you the prospectus if you request it by calling collect 1-212-834-4533.</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2021-09-16T08:21:17Z</dcterms:created>
  <dcterms:modified xsi:type="dcterms:W3CDTF">2021-09-16T08:21:17Z</dcterms:modified>
</cp:coreProperties>
</file>