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251-01_fwp.htm"/>
      <w:bookmarkStart w:id="1" w:name="ksea030325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Generac Holdings Inc. Pricing Date: September 1, 2026 Final Review Date: September 1, 2028 Maturity Date: September 7, 2028 Review Dates: Quarterly Contingent Interest Rate: At least 15.00%* per annum, payable quarterly at a rate of at least 3.75%*, if applicable Interest Barrier/ Trigger Value: An amount that represents 50.00% of the Initial Value CUSIP: 46661MHE7 Preliminary Pricing Supplement: http://sp.jpmorgan.com/document/cusip/46661MHE7/doctype/Product_Termsheet/document.pdf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5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GNRC Auto Callable Contingent Interest Notes North America Structured Investments Payment at Maturity (assuming 15.00% per annum Contingent Interest Rate) Stock Return $1,037.50 60.00% $1,037.50 40.00% $1,037.50 20.00% $1,037.50 5.00% $1,037.50 0.00% $1,037.50 - 5.00% $1,037.50 - 10.00% $1,037.50 - 20.00% $1,037.50 - 30.00% $1,037.50 - 40.00% $1,037.50 - 50.00% $499.90 - 50.01%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$37.50 (equivalent to a Contingent Interest Rate of at least 15.00% per annum, payable at a rate of at least 3.75%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GNRC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8013</Characters>
  <CharactersWithSpaces>9587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