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80"/>
        <w:spacing w:after="0"/>
        <w:rPr>
          <w:sz w:val="20"/>
          <w:szCs w:val="20"/>
          <w:color w:val="auto"/>
        </w:rPr>
      </w:pPr>
      <w:r>
        <w:rPr>
          <w:rFonts w:ascii="Courier New" w:cs="Courier New" w:eastAsia="Courier New" w:hAnsi="Courier New"/>
          <w:sz w:val="16"/>
          <w:szCs w:val="16"/>
          <w:color w:val="auto"/>
        </w:rPr>
        <w:t>1</w:t>
      </w:r>
    </w:p>
    <w:p>
      <w:pPr>
        <w:spacing w:after="0" w:line="373" w:lineRule="exact"/>
        <w:rPr>
          <w:sz w:val="24"/>
          <w:szCs w:val="24"/>
          <w:color w:val="auto"/>
        </w:rPr>
      </w:pPr>
    </w:p>
    <w:p>
      <w:pPr>
        <w:jc w:val="center"/>
        <w:ind w:right="2539"/>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4" w:lineRule="exact"/>
        <w:rPr>
          <w:sz w:val="24"/>
          <w:szCs w:val="24"/>
          <w:color w:val="auto"/>
        </w:rPr>
      </w:pPr>
    </w:p>
    <w:p>
      <w:pPr>
        <w:jc w:val="center"/>
        <w:ind w:right="2539"/>
        <w:spacing w:after="0"/>
        <w:rPr>
          <w:sz w:val="20"/>
          <w:szCs w:val="20"/>
          <w:color w:val="auto"/>
        </w:rPr>
      </w:pPr>
      <w:r>
        <w:rPr>
          <w:rFonts w:ascii="Courier New" w:cs="Courier New" w:eastAsia="Courier New" w:hAnsi="Courier New"/>
          <w:sz w:val="16"/>
          <w:szCs w:val="16"/>
          <w:color w:val="auto"/>
        </w:rPr>
        <w:t>WASHINGTON, D.C. 20549</w:t>
      </w:r>
    </w:p>
    <w:p>
      <w:pPr>
        <w:spacing w:after="0" w:line="200" w:lineRule="exact"/>
        <w:rPr>
          <w:sz w:val="24"/>
          <w:szCs w:val="24"/>
          <w:color w:val="auto"/>
        </w:rPr>
      </w:pPr>
    </w:p>
    <w:p>
      <w:pPr>
        <w:spacing w:after="0" w:line="358" w:lineRule="exact"/>
        <w:rPr>
          <w:sz w:val="24"/>
          <w:szCs w:val="24"/>
          <w:color w:val="auto"/>
        </w:rPr>
      </w:pPr>
    </w:p>
    <w:tbl>
      <w:tblPr>
        <w:tblLayout w:type="fixed"/>
        <w:tblInd w:w="2020" w:type="dxa"/>
        <w:tblCellMar>
          <w:top w:w="0" w:type="dxa"/>
          <w:left w:w="0" w:type="dxa"/>
          <w:bottom w:w="0" w:type="dxa"/>
          <w:right w:w="0" w:type="dxa"/>
        </w:tblCellMar>
      </w:tblPr>
      <w:tr>
        <w:trPr>
          <w:trHeight w:val="181"/>
        </w:trPr>
        <w:tc>
          <w:tcPr>
            <w:tcW w:w="1860" w:type="dxa"/>
            <w:vAlign w:val="bottom"/>
          </w:tcPr>
          <w:p>
            <w:pPr>
              <w:jc w:val="right"/>
              <w:spacing w:after="0"/>
              <w:rPr>
                <w:sz w:val="20"/>
                <w:szCs w:val="20"/>
                <w:color w:val="auto"/>
              </w:rPr>
            </w:pPr>
            <w:r>
              <w:rPr>
                <w:rFonts w:ascii="Courier New" w:cs="Courier New" w:eastAsia="Courier New" w:hAnsi="Courier New"/>
                <w:sz w:val="16"/>
                <w:szCs w:val="16"/>
                <w:color w:val="auto"/>
              </w:rPr>
              <w:t>FORM</w:t>
            </w:r>
          </w:p>
        </w:tc>
        <w:tc>
          <w:tcPr>
            <w:tcW w:w="1780" w:type="dxa"/>
            <w:vAlign w:val="bottom"/>
          </w:tcPr>
          <w:p>
            <w:pPr>
              <w:ind w:left="60"/>
              <w:spacing w:after="0"/>
              <w:rPr>
                <w:sz w:val="20"/>
                <w:szCs w:val="20"/>
                <w:color w:val="auto"/>
              </w:rPr>
            </w:pPr>
            <w:r>
              <w:rPr>
                <w:rFonts w:ascii="Courier New" w:cs="Courier New" w:eastAsia="Courier New" w:hAnsi="Courier New"/>
                <w:sz w:val="16"/>
                <w:szCs w:val="16"/>
                <w:color w:val="auto"/>
              </w:rPr>
              <w:t>8-K</w:t>
            </w:r>
          </w:p>
        </w:tc>
      </w:tr>
      <w:tr>
        <w:trPr>
          <w:trHeight w:val="370"/>
        </w:trPr>
        <w:tc>
          <w:tcPr>
            <w:tcW w:w="1860" w:type="dxa"/>
            <w:vAlign w:val="bottom"/>
          </w:tcPr>
          <w:p>
            <w:pPr>
              <w:jc w:val="right"/>
              <w:spacing w:after="0"/>
              <w:rPr>
                <w:sz w:val="20"/>
                <w:szCs w:val="20"/>
                <w:color w:val="auto"/>
              </w:rPr>
            </w:pPr>
            <w:r>
              <w:rPr>
                <w:rFonts w:ascii="Courier New" w:cs="Courier New" w:eastAsia="Courier New" w:hAnsi="Courier New"/>
                <w:sz w:val="16"/>
                <w:szCs w:val="16"/>
                <w:color w:val="auto"/>
              </w:rPr>
              <w:t>CURRENT</w:t>
            </w:r>
          </w:p>
        </w:tc>
        <w:tc>
          <w:tcPr>
            <w:tcW w:w="1780" w:type="dxa"/>
            <w:vAlign w:val="bottom"/>
          </w:tcPr>
          <w:p>
            <w:pPr>
              <w:ind w:left="60"/>
              <w:spacing w:after="0"/>
              <w:rPr>
                <w:sz w:val="20"/>
                <w:szCs w:val="20"/>
                <w:color w:val="auto"/>
              </w:rPr>
            </w:pPr>
            <w:r>
              <w:rPr>
                <w:rFonts w:ascii="Courier New" w:cs="Courier New" w:eastAsia="Courier New" w:hAnsi="Courier New"/>
                <w:sz w:val="16"/>
                <w:szCs w:val="16"/>
                <w:color w:val="auto"/>
              </w:rPr>
              <w:t>REPORT</w:t>
            </w:r>
          </w:p>
        </w:tc>
      </w:tr>
      <w:tr>
        <w:trPr>
          <w:trHeight w:val="185"/>
        </w:trPr>
        <w:tc>
          <w:tcPr>
            <w:tcW w:w="1860" w:type="dxa"/>
            <w:vAlign w:val="bottom"/>
          </w:tcPr>
          <w:p>
            <w:pPr>
              <w:jc w:val="right"/>
              <w:spacing w:after="0"/>
              <w:rPr>
                <w:sz w:val="20"/>
                <w:szCs w:val="20"/>
                <w:color w:val="auto"/>
              </w:rPr>
            </w:pPr>
            <w:r>
              <w:rPr>
                <w:rFonts w:ascii="Courier New" w:cs="Courier New" w:eastAsia="Courier New" w:hAnsi="Courier New"/>
                <w:sz w:val="16"/>
                <w:szCs w:val="16"/>
                <w:color w:val="auto"/>
                <w:w w:val="98"/>
              </w:rPr>
              <w:t>PURSUANT TO SECTION</w:t>
            </w:r>
          </w:p>
        </w:tc>
        <w:tc>
          <w:tcPr>
            <w:tcW w:w="1780" w:type="dxa"/>
            <w:vAlign w:val="bottom"/>
          </w:tcPr>
          <w:p>
            <w:pPr>
              <w:ind w:left="60"/>
              <w:spacing w:after="0"/>
              <w:rPr>
                <w:sz w:val="20"/>
                <w:szCs w:val="20"/>
                <w:color w:val="auto"/>
              </w:rPr>
            </w:pPr>
            <w:r>
              <w:rPr>
                <w:rFonts w:ascii="Courier New" w:cs="Courier New" w:eastAsia="Courier New" w:hAnsi="Courier New"/>
                <w:sz w:val="16"/>
                <w:szCs w:val="16"/>
                <w:color w:val="auto"/>
                <w:w w:val="98"/>
              </w:rPr>
              <w:t>13 OF 15(d) OF THE</w:t>
            </w:r>
          </w:p>
        </w:tc>
      </w:tr>
    </w:tbl>
    <w:p>
      <w:pPr>
        <w:spacing w:after="0" w:line="4" w:lineRule="exact"/>
        <w:rPr>
          <w:sz w:val="24"/>
          <w:szCs w:val="24"/>
          <w:color w:val="auto"/>
        </w:rPr>
      </w:pPr>
    </w:p>
    <w:p>
      <w:pPr>
        <w:ind w:left="2400"/>
        <w:spacing w:after="0"/>
        <w:rPr>
          <w:sz w:val="20"/>
          <w:szCs w:val="20"/>
          <w:color w:val="auto"/>
        </w:rPr>
      </w:pPr>
      <w:r>
        <w:rPr>
          <w:rFonts w:ascii="Courier New" w:cs="Courier New" w:eastAsia="Courier New" w:hAnsi="Courier New"/>
          <w:sz w:val="16"/>
          <w:szCs w:val="16"/>
          <w:color w:val="auto"/>
        </w:rPr>
        <w:t>SECURITIES EXCHANGE ACT OF 1934</w:t>
      </w:r>
    </w:p>
    <w:p>
      <w:pPr>
        <w:spacing w:after="0" w:line="373" w:lineRule="exact"/>
        <w:rPr>
          <w:sz w:val="24"/>
          <w:szCs w:val="24"/>
          <w:color w:val="auto"/>
        </w:rPr>
      </w:pPr>
    </w:p>
    <w:p>
      <w:pPr>
        <w:ind w:left="580"/>
        <w:spacing w:after="0"/>
        <w:rPr>
          <w:sz w:val="20"/>
          <w:szCs w:val="20"/>
          <w:color w:val="auto"/>
        </w:rPr>
      </w:pPr>
      <w:r>
        <w:rPr>
          <w:rFonts w:ascii="Courier New" w:cs="Courier New" w:eastAsia="Courier New" w:hAnsi="Courier New"/>
          <w:sz w:val="16"/>
          <w:szCs w:val="16"/>
          <w:color w:val="auto"/>
        </w:rPr>
        <w:t>Date of Report (Date of earliest event reported): SEPTEMBER 12, 2000</w:t>
      </w:r>
    </w:p>
    <w:p>
      <w:pPr>
        <w:spacing w:after="0" w:line="200" w:lineRule="exact"/>
        <w:rPr>
          <w:sz w:val="24"/>
          <w:szCs w:val="24"/>
          <w:color w:val="auto"/>
        </w:rPr>
      </w:pPr>
    </w:p>
    <w:p>
      <w:pPr>
        <w:spacing w:after="0" w:line="358" w:lineRule="exact"/>
        <w:rPr>
          <w:sz w:val="24"/>
          <w:szCs w:val="24"/>
          <w:color w:val="auto"/>
        </w:rPr>
      </w:pPr>
    </w:p>
    <w:p>
      <w:pPr>
        <w:ind w:left="2400"/>
        <w:spacing w:after="0"/>
        <w:rPr>
          <w:sz w:val="20"/>
          <w:szCs w:val="20"/>
          <w:color w:val="auto"/>
        </w:rPr>
      </w:pPr>
      <w:r>
        <w:rPr>
          <w:rFonts w:ascii="Courier New" w:cs="Courier New" w:eastAsia="Courier New" w:hAnsi="Courier New"/>
          <w:sz w:val="16"/>
          <w:szCs w:val="16"/>
          <w:color w:val="auto"/>
        </w:rPr>
        <w:t>THE CHASE MANHATTAN CORPORATION</w:t>
      </w:r>
    </w:p>
    <w:p>
      <w:pPr>
        <w:spacing w:after="0" w:line="4" w:lineRule="exact"/>
        <w:rPr>
          <w:sz w:val="24"/>
          <w:szCs w:val="24"/>
          <w:color w:val="auto"/>
        </w:rPr>
      </w:pPr>
    </w:p>
    <w:p>
      <w:pPr>
        <w:ind w:left="1440"/>
        <w:spacing w:after="0"/>
        <w:rPr>
          <w:sz w:val="20"/>
          <w:szCs w:val="20"/>
          <w:color w:val="auto"/>
        </w:rPr>
      </w:pPr>
      <w:r>
        <w:rPr>
          <w:rFonts w:ascii="Courier New" w:cs="Courier New" w:eastAsia="Courier New" w:hAnsi="Courier New"/>
          <w:sz w:val="16"/>
          <w:szCs w:val="16"/>
          <w:color w:val="auto"/>
        </w:rPr>
        <w:t>(Exact Name of Registrant as Specified in Charter)</w:t>
      </w:r>
    </w:p>
    <w:p>
      <w:pPr>
        <w:spacing w:after="0" w:line="373" w:lineRule="exact"/>
        <w:rPr>
          <w:sz w:val="24"/>
          <w:szCs w:val="24"/>
          <w:color w:val="auto"/>
        </w:rPr>
      </w:pPr>
    </w:p>
    <w:tbl>
      <w:tblPr>
        <w:tblLayout w:type="fixed"/>
        <w:tblInd w:w="0" w:type="dxa"/>
        <w:tblCellMar>
          <w:top w:w="0" w:type="dxa"/>
          <w:left w:w="0" w:type="dxa"/>
          <w:bottom w:w="0" w:type="dxa"/>
          <w:right w:w="0" w:type="dxa"/>
        </w:tblCellMar>
      </w:tblPr>
      <w:tr>
        <w:trPr>
          <w:trHeight w:val="181"/>
        </w:trPr>
        <w:tc>
          <w:tcPr>
            <w:tcW w:w="2360" w:type="dxa"/>
            <w:vAlign w:val="bottom"/>
          </w:tcPr>
          <w:p>
            <w:pPr>
              <w:jc w:val="center"/>
              <w:ind w:right="740"/>
              <w:spacing w:after="0"/>
              <w:rPr>
                <w:sz w:val="20"/>
                <w:szCs w:val="20"/>
                <w:color w:val="auto"/>
              </w:rPr>
            </w:pPr>
            <w:r>
              <w:rPr>
                <w:rFonts w:ascii="Courier New" w:cs="Courier New" w:eastAsia="Courier New" w:hAnsi="Courier New"/>
                <w:sz w:val="16"/>
                <w:szCs w:val="16"/>
                <w:color w:val="auto"/>
              </w:rPr>
              <w:t>DELAWARE</w:t>
            </w:r>
          </w:p>
        </w:tc>
        <w:tc>
          <w:tcPr>
            <w:tcW w:w="288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420" w:type="dxa"/>
            <w:vAlign w:val="bottom"/>
          </w:tcPr>
          <w:p>
            <w:pPr>
              <w:spacing w:after="0"/>
              <w:rPr>
                <w:sz w:val="15"/>
                <w:szCs w:val="15"/>
                <w:color w:val="auto"/>
              </w:rPr>
            </w:pPr>
          </w:p>
        </w:tc>
      </w:tr>
      <w:tr>
        <w:trPr>
          <w:trHeight w:val="185"/>
        </w:trPr>
        <w:tc>
          <w:tcPr>
            <w:tcW w:w="2360" w:type="dxa"/>
            <w:vAlign w:val="bottom"/>
          </w:tcPr>
          <w:p>
            <w:pPr>
              <w:jc w:val="center"/>
              <w:ind w:right="640"/>
              <w:spacing w:after="0"/>
              <w:rPr>
                <w:sz w:val="20"/>
                <w:szCs w:val="20"/>
                <w:color w:val="auto"/>
              </w:rPr>
            </w:pPr>
            <w:r>
              <w:rPr>
                <w:rFonts w:ascii="Courier New" w:cs="Courier New" w:eastAsia="Courier New" w:hAnsi="Courier New"/>
                <w:sz w:val="16"/>
                <w:szCs w:val="16"/>
                <w:color w:val="auto"/>
                <w:w w:val="99"/>
              </w:rPr>
              <w:t>(State or Other</w:t>
            </w:r>
          </w:p>
        </w:tc>
        <w:tc>
          <w:tcPr>
            <w:tcW w:w="2880" w:type="dxa"/>
            <w:vAlign w:val="bottom"/>
          </w:tcPr>
          <w:p>
            <w:pPr>
              <w:jc w:val="right"/>
              <w:ind w:right="1020"/>
              <w:spacing w:after="0"/>
              <w:rPr>
                <w:sz w:val="20"/>
                <w:szCs w:val="20"/>
                <w:color w:val="auto"/>
              </w:rPr>
            </w:pPr>
            <w:r>
              <w:rPr>
                <w:rFonts w:ascii="Courier New" w:cs="Courier New" w:eastAsia="Courier New" w:hAnsi="Courier New"/>
                <w:sz w:val="16"/>
                <w:szCs w:val="16"/>
                <w:color w:val="auto"/>
              </w:rPr>
              <w:t>1-5805</w:t>
            </w:r>
          </w:p>
        </w:tc>
        <w:tc>
          <w:tcPr>
            <w:tcW w:w="2020" w:type="dxa"/>
            <w:vAlign w:val="bottom"/>
          </w:tcPr>
          <w:p>
            <w:pPr>
              <w:jc w:val="right"/>
              <w:spacing w:after="0"/>
              <w:rPr>
                <w:sz w:val="20"/>
                <w:szCs w:val="20"/>
                <w:color w:val="auto"/>
              </w:rPr>
            </w:pPr>
            <w:r>
              <w:rPr>
                <w:rFonts w:ascii="Courier New" w:cs="Courier New" w:eastAsia="Courier New" w:hAnsi="Courier New"/>
                <w:sz w:val="16"/>
                <w:szCs w:val="16"/>
                <w:color w:val="auto"/>
              </w:rPr>
              <w:t>13-2624428</w:t>
            </w:r>
          </w:p>
        </w:tc>
        <w:tc>
          <w:tcPr>
            <w:tcW w:w="420" w:type="dxa"/>
            <w:vAlign w:val="bottom"/>
          </w:tcPr>
          <w:p>
            <w:pPr>
              <w:spacing w:after="0"/>
              <w:rPr>
                <w:sz w:val="16"/>
                <w:szCs w:val="16"/>
                <w:color w:val="auto"/>
              </w:rPr>
            </w:pPr>
          </w:p>
        </w:tc>
      </w:tr>
      <w:tr>
        <w:trPr>
          <w:trHeight w:val="185"/>
        </w:trPr>
        <w:tc>
          <w:tcPr>
            <w:tcW w:w="2360" w:type="dxa"/>
            <w:vAlign w:val="bottom"/>
          </w:tcPr>
          <w:p>
            <w:pPr>
              <w:jc w:val="center"/>
              <w:ind w:right="740"/>
              <w:spacing w:after="0"/>
              <w:rPr>
                <w:sz w:val="20"/>
                <w:szCs w:val="20"/>
                <w:color w:val="auto"/>
              </w:rPr>
            </w:pPr>
            <w:r>
              <w:rPr>
                <w:rFonts w:ascii="Courier New" w:cs="Courier New" w:eastAsia="Courier New" w:hAnsi="Courier New"/>
                <w:sz w:val="16"/>
                <w:szCs w:val="16"/>
                <w:color w:val="auto"/>
                <w:w w:val="98"/>
              </w:rPr>
              <w:t>Jurisdiction</w:t>
            </w:r>
          </w:p>
        </w:tc>
        <w:tc>
          <w:tcPr>
            <w:tcW w:w="2880" w:type="dxa"/>
            <w:vAlign w:val="bottom"/>
          </w:tcPr>
          <w:p>
            <w:pPr>
              <w:jc w:val="right"/>
              <w:ind w:right="540"/>
              <w:spacing w:after="0"/>
              <w:rPr>
                <w:sz w:val="20"/>
                <w:szCs w:val="20"/>
                <w:color w:val="auto"/>
              </w:rPr>
            </w:pPr>
            <w:r>
              <w:rPr>
                <w:rFonts w:ascii="Courier New" w:cs="Courier New" w:eastAsia="Courier New" w:hAnsi="Courier New"/>
                <w:sz w:val="16"/>
                <w:szCs w:val="16"/>
                <w:color w:val="auto"/>
              </w:rPr>
              <w:t>(Commission File</w:t>
            </w:r>
          </w:p>
        </w:tc>
        <w:tc>
          <w:tcPr>
            <w:tcW w:w="2440" w:type="dxa"/>
            <w:vAlign w:val="bottom"/>
            <w:gridSpan w:val="2"/>
          </w:tcPr>
          <w:p>
            <w:pPr>
              <w:ind w:left="720"/>
              <w:spacing w:after="0"/>
              <w:rPr>
                <w:sz w:val="20"/>
                <w:szCs w:val="20"/>
                <w:color w:val="auto"/>
              </w:rPr>
            </w:pPr>
            <w:r>
              <w:rPr>
                <w:rFonts w:ascii="Courier New" w:cs="Courier New" w:eastAsia="Courier New" w:hAnsi="Courier New"/>
                <w:sz w:val="16"/>
                <w:szCs w:val="16"/>
                <w:color w:val="auto"/>
              </w:rPr>
              <w:t>(I.R.S. Employer</w:t>
            </w:r>
          </w:p>
        </w:tc>
      </w:tr>
      <w:tr>
        <w:trPr>
          <w:trHeight w:val="185"/>
        </w:trPr>
        <w:tc>
          <w:tcPr>
            <w:tcW w:w="2360" w:type="dxa"/>
            <w:vAlign w:val="bottom"/>
          </w:tcPr>
          <w:p>
            <w:pPr>
              <w:jc w:val="center"/>
              <w:ind w:right="640"/>
              <w:spacing w:after="0"/>
              <w:rPr>
                <w:sz w:val="20"/>
                <w:szCs w:val="20"/>
                <w:color w:val="auto"/>
              </w:rPr>
            </w:pPr>
            <w:r>
              <w:rPr>
                <w:rFonts w:ascii="Courier New" w:cs="Courier New" w:eastAsia="Courier New" w:hAnsi="Courier New"/>
                <w:sz w:val="16"/>
                <w:szCs w:val="16"/>
                <w:color w:val="auto"/>
              </w:rPr>
              <w:t>of Incorporation)</w:t>
            </w:r>
          </w:p>
        </w:tc>
        <w:tc>
          <w:tcPr>
            <w:tcW w:w="2880" w:type="dxa"/>
            <w:vAlign w:val="bottom"/>
          </w:tcPr>
          <w:p>
            <w:pPr>
              <w:jc w:val="right"/>
              <w:ind w:right="1020"/>
              <w:spacing w:after="0"/>
              <w:rPr>
                <w:sz w:val="20"/>
                <w:szCs w:val="20"/>
                <w:color w:val="auto"/>
              </w:rPr>
            </w:pPr>
            <w:r>
              <w:rPr>
                <w:rFonts w:ascii="Courier New" w:cs="Courier New" w:eastAsia="Courier New" w:hAnsi="Courier New"/>
                <w:sz w:val="16"/>
                <w:szCs w:val="16"/>
                <w:color w:val="auto"/>
              </w:rPr>
              <w:t>Number)</w:t>
            </w:r>
          </w:p>
        </w:tc>
        <w:tc>
          <w:tcPr>
            <w:tcW w:w="2020" w:type="dxa"/>
            <w:vAlign w:val="bottom"/>
          </w:tcPr>
          <w:p>
            <w:pPr>
              <w:jc w:val="right"/>
              <w:spacing w:after="0"/>
              <w:rPr>
                <w:sz w:val="20"/>
                <w:szCs w:val="20"/>
                <w:color w:val="auto"/>
              </w:rPr>
            </w:pPr>
            <w:r>
              <w:rPr>
                <w:rFonts w:ascii="Courier New" w:cs="Courier New" w:eastAsia="Courier New" w:hAnsi="Courier New"/>
                <w:sz w:val="16"/>
                <w:szCs w:val="16"/>
                <w:color w:val="auto"/>
              </w:rPr>
              <w:t>Identification</w:t>
            </w:r>
          </w:p>
        </w:tc>
        <w:tc>
          <w:tcPr>
            <w:tcW w:w="420" w:type="dxa"/>
            <w:vAlign w:val="bottom"/>
          </w:tcPr>
          <w:p>
            <w:pPr>
              <w:ind w:left="40"/>
              <w:spacing w:after="0"/>
              <w:rPr>
                <w:sz w:val="20"/>
                <w:szCs w:val="20"/>
                <w:color w:val="auto"/>
              </w:rPr>
            </w:pPr>
            <w:r>
              <w:rPr>
                <w:rFonts w:ascii="Courier New" w:cs="Courier New" w:eastAsia="Courier New" w:hAnsi="Courier New"/>
                <w:sz w:val="16"/>
                <w:szCs w:val="16"/>
                <w:color w:val="auto"/>
                <w:w w:val="93"/>
              </w:rPr>
              <w:t>No.)</w:t>
            </w:r>
          </w:p>
        </w:tc>
      </w:tr>
    </w:tbl>
    <w:p>
      <w:pPr>
        <w:spacing w:after="0" w:line="373" w:lineRule="exact"/>
        <w:rPr>
          <w:sz w:val="24"/>
          <w:szCs w:val="24"/>
          <w:color w:val="auto"/>
        </w:rPr>
      </w:pPr>
    </w:p>
    <w:p>
      <w:pPr>
        <w:jc w:val="center"/>
        <w:ind w:right="2439"/>
        <w:spacing w:after="0"/>
        <w:rPr>
          <w:sz w:val="20"/>
          <w:szCs w:val="20"/>
          <w:color w:val="auto"/>
        </w:rPr>
      </w:pPr>
      <w:r>
        <w:rPr>
          <w:rFonts w:ascii="Courier New" w:cs="Courier New" w:eastAsia="Courier New" w:hAnsi="Courier New"/>
          <w:sz w:val="16"/>
          <w:szCs w:val="16"/>
          <w:color w:val="auto"/>
        </w:rPr>
        <w:t>270 PARK AVENUE, NEW YORK, NY 10017</w:t>
      </w:r>
    </w:p>
    <w:p>
      <w:pPr>
        <w:spacing w:after="0" w:line="4" w:lineRule="exact"/>
        <w:rPr>
          <w:sz w:val="24"/>
          <w:szCs w:val="24"/>
          <w:color w:val="auto"/>
        </w:rPr>
      </w:pPr>
    </w:p>
    <w:p>
      <w:pPr>
        <w:jc w:val="center"/>
        <w:ind w:right="2439"/>
        <w:spacing w:after="0"/>
        <w:rPr>
          <w:sz w:val="20"/>
          <w:szCs w:val="20"/>
          <w:color w:val="auto"/>
        </w:rPr>
      </w:pPr>
      <w:r>
        <w:rPr>
          <w:rFonts w:ascii="Courier New" w:cs="Courier New" w:eastAsia="Courier New" w:hAnsi="Courier New"/>
          <w:sz w:val="16"/>
          <w:szCs w:val="16"/>
          <w:color w:val="auto"/>
        </w:rPr>
        <w:t>(Address of Principal Executive Offices) (Zip Code)</w:t>
      </w:r>
    </w:p>
    <w:p>
      <w:pPr>
        <w:spacing w:after="0" w:line="188" w:lineRule="exact"/>
        <w:rPr>
          <w:sz w:val="24"/>
          <w:szCs w:val="24"/>
          <w:color w:val="auto"/>
        </w:rPr>
      </w:pPr>
    </w:p>
    <w:p>
      <w:pPr>
        <w:jc w:val="center"/>
        <w:ind w:right="2539"/>
        <w:spacing w:after="0"/>
        <w:rPr>
          <w:sz w:val="20"/>
          <w:szCs w:val="20"/>
          <w:color w:val="auto"/>
        </w:rPr>
      </w:pPr>
      <w:r>
        <w:rPr>
          <w:rFonts w:ascii="Courier New" w:cs="Courier New" w:eastAsia="Courier New" w:hAnsi="Courier New"/>
          <w:sz w:val="16"/>
          <w:szCs w:val="16"/>
          <w:color w:val="auto"/>
        </w:rPr>
        <w:t>(212) 270-6000</w:t>
      </w:r>
    </w:p>
    <w:p>
      <w:pPr>
        <w:spacing w:after="0" w:line="4" w:lineRule="exact"/>
        <w:rPr>
          <w:sz w:val="24"/>
          <w:szCs w:val="24"/>
          <w:color w:val="auto"/>
        </w:rPr>
      </w:pPr>
    </w:p>
    <w:p>
      <w:pPr>
        <w:jc w:val="center"/>
        <w:ind w:right="2539"/>
        <w:spacing w:after="0"/>
        <w:rPr>
          <w:sz w:val="20"/>
          <w:szCs w:val="20"/>
          <w:color w:val="auto"/>
        </w:rPr>
      </w:pPr>
      <w:r>
        <w:rPr>
          <w:rFonts w:ascii="Courier New" w:cs="Courier New" w:eastAsia="Courier New" w:hAnsi="Courier New"/>
          <w:sz w:val="16"/>
          <w:szCs w:val="16"/>
          <w:color w:val="auto"/>
        </w:rPr>
        <w:t>(Registrant's Telephone Number, Including Area Code)</w:t>
      </w:r>
    </w:p>
    <w:p>
      <w:pPr>
        <w:sectPr>
          <w:pgSz w:w="11900" w:h="16838" w:orient="portrait"/>
          <w:cols w:equalWidth="0" w:num="1">
            <w:col w:w="10219"/>
          </w:cols>
          <w:pgMar w:left="240" w:top="238" w:right="1440" w:bottom="1440" w:gutter="0" w:footer="0" w:header="0"/>
        </w:sectPr>
      </w:pPr>
    </w:p>
    <w:bookmarkStart w:id="1" w:name="page2"/>
    <w:bookmarkEnd w:id="1"/>
    <w:p>
      <w:pPr>
        <w:ind w:left="280"/>
        <w:spacing w:after="0"/>
        <w:rPr>
          <w:sz w:val="20"/>
          <w:szCs w:val="20"/>
          <w:color w:val="auto"/>
        </w:rPr>
      </w:pPr>
      <w:r>
        <w:rPr>
          <w:rFonts w:ascii="Courier New" w:cs="Courier New" w:eastAsia="Courier New" w:hAnsi="Courier New"/>
          <w:sz w:val="16"/>
          <w:szCs w:val="16"/>
          <w:color w:val="auto"/>
        </w:rPr>
        <w:t>2</w:t>
      </w:r>
    </w:p>
    <w:p>
      <w:pPr>
        <w:spacing w:after="0" w:line="188"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6"/>
          <w:szCs w:val="16"/>
          <w:color w:val="auto"/>
        </w:rPr>
        <w:t>ITEM 5.</w:t>
        <w:tab/>
        <w:t>OTHER EVENTS.</w:t>
      </w:r>
    </w:p>
    <w:p>
      <w:pPr>
        <w:spacing w:after="0" w:line="190" w:lineRule="exact"/>
        <w:rPr>
          <w:sz w:val="20"/>
          <w:szCs w:val="20"/>
          <w:color w:val="auto"/>
        </w:rPr>
      </w:pPr>
    </w:p>
    <w:p>
      <w:pPr>
        <w:ind w:right="2719" w:firstLine="865"/>
        <w:spacing w:after="0" w:line="244" w:lineRule="auto"/>
        <w:rPr>
          <w:sz w:val="20"/>
          <w:szCs w:val="20"/>
          <w:color w:val="auto"/>
        </w:rPr>
      </w:pPr>
      <w:r>
        <w:rPr>
          <w:rFonts w:ascii="Courier New" w:cs="Courier New" w:eastAsia="Courier New" w:hAnsi="Courier New"/>
          <w:sz w:val="16"/>
          <w:szCs w:val="16"/>
          <w:color w:val="auto"/>
        </w:rPr>
        <w:t>On September 13, 2000, The Chase Manhattan Corporation ("Chase") and J.P. Morgan &amp; Co. Incorporated ("J.P. Morgan") announced that they had entered into an Agreement and Plan of Merger, dated as of September 12, 2000 (the "Merger Agreement"), pursuant to which J.P. Morgan will merge with and into Chase, with Chase as the surviving corporation (the "Merger"). Upon effectiveness of the Merger, Chase will change its name to J.P. Morgan Chase &amp; Co.</w:t>
      </w:r>
    </w:p>
    <w:p>
      <w:pPr>
        <w:spacing w:after="0" w:line="188" w:lineRule="exact"/>
        <w:rPr>
          <w:sz w:val="20"/>
          <w:szCs w:val="20"/>
          <w:color w:val="auto"/>
        </w:rPr>
      </w:pPr>
    </w:p>
    <w:p>
      <w:pPr>
        <w:ind w:right="2639" w:firstLine="865"/>
        <w:spacing w:after="0" w:line="244" w:lineRule="auto"/>
        <w:rPr>
          <w:sz w:val="20"/>
          <w:szCs w:val="20"/>
          <w:color w:val="auto"/>
        </w:rPr>
      </w:pPr>
      <w:r>
        <w:rPr>
          <w:rFonts w:ascii="Courier New" w:cs="Courier New" w:eastAsia="Courier New" w:hAnsi="Courier New"/>
          <w:sz w:val="16"/>
          <w:szCs w:val="16"/>
          <w:color w:val="auto"/>
        </w:rPr>
        <w:t>As a result of the Merger, each outstanding share of common stock of J.P. Morgan (other than shares owned by J.P. Morgan or Chase) will be converted into 3.7 shares of common stock of Chase. Each outstanding share of preferred stock of J.P. Morgan will be converted into one share of preferred stock of Chase having substantially the same rights, powers, privileges and preferences as the preferred share of J.P. Morgan which is converted.</w:t>
      </w:r>
    </w:p>
    <w:p>
      <w:pPr>
        <w:spacing w:after="0" w:line="188" w:lineRule="exact"/>
        <w:rPr>
          <w:sz w:val="20"/>
          <w:szCs w:val="20"/>
          <w:color w:val="auto"/>
        </w:rPr>
      </w:pPr>
    </w:p>
    <w:p>
      <w:pPr>
        <w:ind w:right="2719" w:firstLine="865"/>
        <w:spacing w:after="0" w:line="244" w:lineRule="auto"/>
        <w:rPr>
          <w:sz w:val="20"/>
          <w:szCs w:val="20"/>
          <w:color w:val="auto"/>
        </w:rPr>
      </w:pPr>
      <w:r>
        <w:rPr>
          <w:rFonts w:ascii="Courier New" w:cs="Courier New" w:eastAsia="Courier New" w:hAnsi="Courier New"/>
          <w:sz w:val="16"/>
          <w:szCs w:val="16"/>
          <w:color w:val="auto"/>
        </w:rPr>
        <w:t>The Merger is intended to constitute a reorganization under the Internal Revenue Code of 1986, as amended, and will be accounted for as a "pooling of interests". Consummation of the Merger is subject to various conditions, including approval by the common stockholders of Chase and J.P. Morgan and the receipt of required regulatory approvals. A copy of the Merger Agreement is attached hereto as Exhibit 2.1 and a copy of the joint press release of Chase and J.P. Morgan with respect to the Merger is attached hereto as Exhibit 99.1.</w:t>
      </w:r>
    </w:p>
    <w:p>
      <w:pPr>
        <w:spacing w:after="0" w:line="189" w:lineRule="exact"/>
        <w:rPr>
          <w:sz w:val="20"/>
          <w:szCs w:val="20"/>
          <w:color w:val="auto"/>
        </w:rPr>
      </w:pPr>
    </w:p>
    <w:p>
      <w:pPr>
        <w:ind w:right="2539" w:firstLine="865"/>
        <w:spacing w:after="0" w:line="244" w:lineRule="auto"/>
        <w:rPr>
          <w:sz w:val="20"/>
          <w:szCs w:val="20"/>
          <w:color w:val="auto"/>
        </w:rPr>
      </w:pPr>
      <w:r>
        <w:rPr>
          <w:rFonts w:ascii="Courier New" w:cs="Courier New" w:eastAsia="Courier New" w:hAnsi="Courier New"/>
          <w:sz w:val="16"/>
          <w:szCs w:val="16"/>
          <w:color w:val="auto"/>
        </w:rPr>
        <w:t>In connection with the Merger Agreement, Chase and J.P. Morgan entered into reciprocal stock option agreements, each dated as of September 12, 2000 (the "Stock Option Agreements"), pursuant to one of which Chase has the right, under certain circumstances, to purchase up to 19.9% of the issued and outstanding shares of common stock of J.P. Morgan, at a price per share equal to $208.13, and pursuant to the other of which J.P. Morgan has the right, under certain circumstances, to purchase up to 19.9% of the issued and outstanding shares of common stock of</w:t>
      </w:r>
    </w:p>
    <w:p>
      <w:pPr>
        <w:sectPr>
          <w:pgSz w:w="11900" w:h="16838" w:orient="portrait"/>
          <w:cols w:equalWidth="0" w:num="1">
            <w:col w:w="10219"/>
          </w:cols>
          <w:pgMar w:left="240" w:top="300" w:right="1440" w:bottom="1440" w:gutter="0" w:footer="0" w:header="0"/>
        </w:sectPr>
      </w:pPr>
    </w:p>
    <w:bookmarkStart w:id="2" w:name="page3"/>
    <w:bookmarkEnd w:id="2"/>
    <w:p>
      <w:pPr>
        <w:ind w:left="281"/>
        <w:spacing w:after="0"/>
        <w:rPr>
          <w:sz w:val="20"/>
          <w:szCs w:val="20"/>
          <w:color w:val="auto"/>
        </w:rPr>
      </w:pPr>
      <w:r>
        <w:rPr>
          <w:rFonts w:ascii="Courier New" w:cs="Courier New" w:eastAsia="Courier New" w:hAnsi="Courier New"/>
          <w:sz w:val="16"/>
          <w:szCs w:val="16"/>
          <w:color w:val="auto"/>
        </w:rPr>
        <w:t>3</w:t>
      </w:r>
    </w:p>
    <w:p>
      <w:pPr>
        <w:spacing w:after="0" w:line="190" w:lineRule="exact"/>
        <w:rPr>
          <w:sz w:val="20"/>
          <w:szCs w:val="20"/>
          <w:color w:val="auto"/>
        </w:rPr>
      </w:pPr>
    </w:p>
    <w:p>
      <w:pPr>
        <w:ind w:left="1" w:right="3399"/>
        <w:spacing w:after="0" w:line="242" w:lineRule="auto"/>
        <w:rPr>
          <w:sz w:val="20"/>
          <w:szCs w:val="20"/>
          <w:color w:val="auto"/>
        </w:rPr>
      </w:pPr>
      <w:r>
        <w:rPr>
          <w:rFonts w:ascii="Courier New" w:cs="Courier New" w:eastAsia="Courier New" w:hAnsi="Courier New"/>
          <w:sz w:val="16"/>
          <w:szCs w:val="16"/>
          <w:color w:val="auto"/>
        </w:rPr>
        <w:t>Chase, at a price per share equal to $56.25. Copies of the Stock Option Agreements are attached hereto as Exhibits 10.1 and 10.2.</w:t>
      </w:r>
    </w:p>
    <w:p>
      <w:pPr>
        <w:spacing w:after="0" w:line="189" w:lineRule="exact"/>
        <w:rPr>
          <w:sz w:val="20"/>
          <w:szCs w:val="20"/>
          <w:color w:val="auto"/>
        </w:rPr>
      </w:pPr>
    </w:p>
    <w:p>
      <w:pPr>
        <w:ind w:left="1" w:right="2639" w:firstLine="865"/>
        <w:spacing w:after="0" w:line="243" w:lineRule="auto"/>
        <w:rPr>
          <w:sz w:val="20"/>
          <w:szCs w:val="20"/>
          <w:color w:val="auto"/>
        </w:rPr>
      </w:pPr>
      <w:r>
        <w:rPr>
          <w:rFonts w:ascii="Courier New" w:cs="Courier New" w:eastAsia="Courier New" w:hAnsi="Courier New"/>
          <w:sz w:val="16"/>
          <w:szCs w:val="16"/>
          <w:color w:val="auto"/>
        </w:rPr>
        <w:t>The Merger Agreement, the Stock Option Agreements and the joint press release are incorporated herein by reference and the above description of those documents and the transactions contemplated thereby are qualified in their entirety by reference to those exhibits.</w:t>
      </w:r>
    </w:p>
    <w:p>
      <w:pPr>
        <w:spacing w:after="0" w:line="188" w:lineRule="exact"/>
        <w:rPr>
          <w:sz w:val="20"/>
          <w:szCs w:val="20"/>
          <w:color w:val="auto"/>
        </w:rPr>
      </w:pPr>
    </w:p>
    <w:p>
      <w:pPr>
        <w:ind w:left="2601"/>
        <w:spacing w:after="0"/>
        <w:rPr>
          <w:sz w:val="20"/>
          <w:szCs w:val="20"/>
          <w:color w:val="auto"/>
        </w:rPr>
      </w:pPr>
      <w:r>
        <w:rPr>
          <w:rFonts w:ascii="Courier New" w:cs="Courier New" w:eastAsia="Courier New" w:hAnsi="Courier New"/>
          <w:sz w:val="16"/>
          <w:szCs w:val="16"/>
          <w:color w:val="auto"/>
        </w:rPr>
        <w:t>FORWARD LOOKING STATEMENTS</w:t>
      </w:r>
    </w:p>
    <w:p>
      <w:pPr>
        <w:spacing w:after="0" w:line="190" w:lineRule="exact"/>
        <w:rPr>
          <w:sz w:val="20"/>
          <w:szCs w:val="20"/>
          <w:color w:val="auto"/>
        </w:rPr>
      </w:pPr>
    </w:p>
    <w:p>
      <w:pPr>
        <w:ind w:left="1" w:right="2539" w:firstLine="865"/>
        <w:spacing w:after="0" w:line="244" w:lineRule="auto"/>
        <w:rPr>
          <w:sz w:val="20"/>
          <w:szCs w:val="20"/>
          <w:color w:val="auto"/>
        </w:rPr>
      </w:pPr>
      <w:r>
        <w:rPr>
          <w:rFonts w:ascii="Courier New" w:cs="Courier New" w:eastAsia="Courier New" w:hAnsi="Courier New"/>
          <w:sz w:val="16"/>
          <w:szCs w:val="16"/>
          <w:color w:val="auto"/>
        </w:rPr>
        <w:t>A copy of the joint press release of Chase and J.P. Morgan is attached as an exhibit hereto. That press release contains forward-looking statements within the meaning of the Private Securities Litigation Reform Act of 1995. Such statements are based upon the current beliefs and expectations of J.P. Morgan's and Chase's management and are subject to significant risks and uncertainties. Actual results may differ from those set forth in the forward-looking statements. These uncertainties include: the ability to obtain governmental approvals of the merger on the proposed terms and schedule; the failure of Chase and J.P. Morgan stockholders to approve the merger; the risk that the businesses will not be integrated successfully; the risk that the revenue synergies and cost savings from the merger may not be fully realized or may take longer to realize than expected; disruption from the merger making it more difficult to maintain relationships with clients, employees or suppliers; increased competition and its effect on pricing, spending, third-party relationships and revenues; the risk of new and changing regulation in the U.S. and internationally. Additional factors that could cause Chase's and J.P. Morgan's results to differ materially from those described in the forward-looking statements can be found in the 1999 Annual Reports on Forms 10-K of Chase and J.P. Morgan, filed with the Securities and Exchange Commission.</w:t>
      </w:r>
    </w:p>
    <w:p>
      <w:pPr>
        <w:spacing w:after="0" w:line="192" w:lineRule="exact"/>
        <w:rPr>
          <w:sz w:val="20"/>
          <w:szCs w:val="20"/>
          <w:color w:val="auto"/>
        </w:rPr>
      </w:pPr>
    </w:p>
    <w:p>
      <w:pPr>
        <w:ind w:left="1"/>
        <w:spacing w:after="0"/>
        <w:tabs>
          <w:tab w:leader="none" w:pos="1041" w:val="left"/>
        </w:tabs>
        <w:rPr>
          <w:sz w:val="20"/>
          <w:szCs w:val="20"/>
          <w:color w:val="auto"/>
        </w:rPr>
      </w:pPr>
      <w:r>
        <w:rPr>
          <w:rFonts w:ascii="Courier New" w:cs="Courier New" w:eastAsia="Courier New" w:hAnsi="Courier New"/>
          <w:sz w:val="16"/>
          <w:szCs w:val="16"/>
          <w:color w:val="auto"/>
        </w:rPr>
        <w:t>ITEM 7.</w:t>
      </w:r>
      <w:r>
        <w:rPr>
          <w:sz w:val="20"/>
          <w:szCs w:val="20"/>
          <w:color w:val="auto"/>
        </w:rPr>
        <w:tab/>
      </w:r>
      <w:r>
        <w:rPr>
          <w:rFonts w:ascii="Courier New" w:cs="Courier New" w:eastAsia="Courier New" w:hAnsi="Courier New"/>
          <w:sz w:val="16"/>
          <w:szCs w:val="16"/>
          <w:color w:val="auto"/>
        </w:rPr>
        <w:t>FINANCIAL STATEMENTS, PRO FORMA FINANCIAL INFORMATION AND EXHIBITS.</w:t>
      </w:r>
    </w:p>
    <w:p>
      <w:pPr>
        <w:spacing w:after="0" w:line="188" w:lineRule="exact"/>
        <w:rPr>
          <w:sz w:val="20"/>
          <w:szCs w:val="20"/>
          <w:color w:val="auto"/>
        </w:rPr>
      </w:pPr>
    </w:p>
    <w:p>
      <w:pPr>
        <w:ind w:left="861" w:hanging="861"/>
        <w:spacing w:after="0"/>
        <w:tabs>
          <w:tab w:leader="none" w:pos="86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Exhibits:</w:t>
      </w:r>
    </w:p>
    <w:p>
      <w:pPr>
        <w:spacing w:after="0" w:line="190" w:lineRule="exact"/>
        <w:rPr>
          <w:rFonts w:ascii="Courier New" w:cs="Courier New" w:eastAsia="Courier New" w:hAnsi="Courier New"/>
          <w:sz w:val="16"/>
          <w:szCs w:val="16"/>
          <w:color w:val="auto"/>
        </w:rPr>
      </w:pPr>
    </w:p>
    <w:p>
      <w:pPr>
        <w:ind w:left="1721" w:right="2639" w:hanging="865"/>
        <w:spacing w:after="0" w:line="243"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2.1Agreement and Plan of Merger, dated as of September 12, 2000, between The Chase Manhattan Corporation and J.P. Morgan &amp; Co. Incorporated</w:t>
      </w:r>
    </w:p>
    <w:p>
      <w:pPr>
        <w:spacing w:after="0" w:line="188" w:lineRule="exact"/>
        <w:rPr>
          <w:rFonts w:ascii="Courier New" w:cs="Courier New" w:eastAsia="Courier New" w:hAnsi="Courier New"/>
          <w:sz w:val="16"/>
          <w:szCs w:val="16"/>
          <w:color w:val="auto"/>
        </w:rPr>
      </w:pPr>
    </w:p>
    <w:p>
      <w:pPr>
        <w:ind w:left="1721" w:right="2639" w:hanging="865"/>
        <w:spacing w:after="0" w:line="243"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10.1Stock Option Agreement, dated as of September 12, 2000, between The Chase Manhattan Corporation and J.P. Morgan &amp; Co. Incorporated</w:t>
      </w:r>
    </w:p>
    <w:p>
      <w:pPr>
        <w:spacing w:after="0" w:line="188" w:lineRule="exact"/>
        <w:rPr>
          <w:rFonts w:ascii="Courier New" w:cs="Courier New" w:eastAsia="Courier New" w:hAnsi="Courier New"/>
          <w:sz w:val="16"/>
          <w:szCs w:val="16"/>
          <w:color w:val="auto"/>
        </w:rPr>
      </w:pPr>
    </w:p>
    <w:p>
      <w:pPr>
        <w:ind w:left="1721" w:right="2539" w:hanging="865"/>
        <w:spacing w:after="0" w:line="243"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10.2Stock Option Agreement, dated as of September 12, 2000, between J.P. Morgan &amp; Co. Incorporated and The Chase Manhattan Corporation</w:t>
      </w:r>
    </w:p>
    <w:p>
      <w:pPr>
        <w:spacing w:after="0" w:line="188" w:lineRule="exact"/>
        <w:rPr>
          <w:rFonts w:ascii="Courier New" w:cs="Courier New" w:eastAsia="Courier New" w:hAnsi="Courier New"/>
          <w:sz w:val="16"/>
          <w:szCs w:val="16"/>
          <w:color w:val="auto"/>
        </w:rPr>
      </w:pPr>
    </w:p>
    <w:p>
      <w:pPr>
        <w:ind w:left="1721" w:right="2539" w:hanging="865"/>
        <w:spacing w:after="0" w:line="243"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99.1Joint Press Release, dated September 13, 2000, announcing the execution of the Agreement and Plan of Merger between The Chase Manhattan Corporation and J.P. Morgan &amp; Co. Incorporated</w:t>
      </w:r>
    </w:p>
    <w:p>
      <w:pPr>
        <w:sectPr>
          <w:pgSz w:w="11900" w:h="16838" w:orient="portrait"/>
          <w:cols w:equalWidth="0" w:num="1">
            <w:col w:w="10221"/>
          </w:cols>
          <w:pgMar w:left="239" w:top="300" w:right="1440" w:bottom="1440" w:gutter="0" w:footer="0" w:header="0"/>
        </w:sectPr>
      </w:pPr>
    </w:p>
    <w:bookmarkStart w:id="3" w:name="page4"/>
    <w:bookmarkEnd w:id="3"/>
    <w:p>
      <w:pPr>
        <w:ind w:left="280"/>
        <w:spacing w:after="0"/>
        <w:rPr>
          <w:sz w:val="20"/>
          <w:szCs w:val="20"/>
          <w:color w:val="auto"/>
        </w:rPr>
      </w:pPr>
      <w:r>
        <w:rPr>
          <w:rFonts w:ascii="Courier New" w:cs="Courier New" w:eastAsia="Courier New" w:hAnsi="Courier New"/>
          <w:sz w:val="16"/>
          <w:szCs w:val="16"/>
          <w:color w:val="auto"/>
        </w:rPr>
        <w:t>4</w:t>
      </w:r>
    </w:p>
    <w:p>
      <w:pPr>
        <w:spacing w:after="0" w:line="188"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SIGNATURE</w:t>
      </w:r>
    </w:p>
    <w:p>
      <w:pPr>
        <w:spacing w:after="0" w:line="190" w:lineRule="exact"/>
        <w:rPr>
          <w:sz w:val="20"/>
          <w:szCs w:val="20"/>
          <w:color w:val="auto"/>
        </w:rPr>
      </w:pPr>
    </w:p>
    <w:p>
      <w:pPr>
        <w:jc w:val="both"/>
        <w:ind w:right="2819" w:firstLine="865"/>
        <w:spacing w:after="0" w:line="243" w:lineRule="auto"/>
        <w:rPr>
          <w:sz w:val="20"/>
          <w:szCs w:val="20"/>
          <w:color w:val="auto"/>
        </w:rPr>
      </w:pPr>
      <w:r>
        <w:rPr>
          <w:rFonts w:ascii="Courier New" w:cs="Courier New" w:eastAsia="Courier New" w:hAnsi="Courier New"/>
          <w:sz w:val="16"/>
          <w:szCs w:val="16"/>
          <w:color w:val="auto"/>
        </w:rPr>
        <w:t>Pursuant to the requirements of the Securities Exchange Act of 1934, the registrant has duly caused this report to be signed on its behalf by the undersigned hereunto duly authorized.</w:t>
      </w:r>
    </w:p>
    <w:p>
      <w:pPr>
        <w:spacing w:after="0" w:line="187" w:lineRule="exact"/>
        <w:rPr>
          <w:sz w:val="20"/>
          <w:szCs w:val="20"/>
          <w:color w:val="auto"/>
        </w:rPr>
      </w:pPr>
    </w:p>
    <w:p>
      <w:pPr>
        <w:ind w:left="860"/>
        <w:spacing w:after="0"/>
        <w:tabs>
          <w:tab w:leader="none" w:pos="1520" w:val="left"/>
        </w:tabs>
        <w:rPr>
          <w:sz w:val="20"/>
          <w:szCs w:val="20"/>
          <w:color w:val="auto"/>
        </w:rPr>
      </w:pPr>
      <w:r>
        <w:rPr>
          <w:rFonts w:ascii="Courier New" w:cs="Courier New" w:eastAsia="Courier New" w:hAnsi="Courier New"/>
          <w:sz w:val="16"/>
          <w:szCs w:val="16"/>
          <w:color w:val="auto"/>
        </w:rPr>
        <w:t>Date:</w:t>
        <w:tab/>
        <w:t>September 18, 2000</w:t>
      </w:r>
    </w:p>
    <w:p>
      <w:pPr>
        <w:spacing w:after="0" w:line="4" w:lineRule="exact"/>
        <w:rPr>
          <w:sz w:val="20"/>
          <w:szCs w:val="20"/>
          <w:color w:val="auto"/>
        </w:rPr>
      </w:pPr>
    </w:p>
    <w:p>
      <w:pPr>
        <w:ind w:left="4320"/>
        <w:spacing w:after="0"/>
        <w:rPr>
          <w:sz w:val="20"/>
          <w:szCs w:val="20"/>
          <w:color w:val="auto"/>
        </w:rPr>
      </w:pPr>
      <w:r>
        <w:rPr>
          <w:rFonts w:ascii="Courier New" w:cs="Courier New" w:eastAsia="Courier New" w:hAnsi="Courier New"/>
          <w:sz w:val="16"/>
          <w:szCs w:val="16"/>
          <w:color w:val="auto"/>
        </w:rPr>
        <w:t>THE CHASE MANHATTAN CORPORATION</w:t>
      </w:r>
    </w:p>
    <w:p>
      <w:pPr>
        <w:spacing w:after="0" w:line="188" w:lineRule="exact"/>
        <w:rPr>
          <w:sz w:val="20"/>
          <w:szCs w:val="20"/>
          <w:color w:val="auto"/>
        </w:rPr>
      </w:pPr>
    </w:p>
    <w:p>
      <w:pPr>
        <w:ind w:left="4420"/>
        <w:spacing w:after="0"/>
        <w:rPr>
          <w:sz w:val="20"/>
          <w:szCs w:val="20"/>
          <w:color w:val="auto"/>
        </w:rPr>
      </w:pPr>
      <w:r>
        <w:rPr>
          <w:rFonts w:ascii="Courier New" w:cs="Courier New" w:eastAsia="Courier New" w:hAnsi="Courier New"/>
          <w:sz w:val="16"/>
          <w:szCs w:val="16"/>
          <w:color w:val="auto"/>
        </w:rPr>
        <w:t>/s/ Anthony J. Horan</w:t>
      </w:r>
    </w:p>
    <w:p>
      <w:pPr>
        <w:spacing w:after="0" w:line="4" w:lineRule="exact"/>
        <w:rPr>
          <w:sz w:val="20"/>
          <w:szCs w:val="20"/>
          <w:color w:val="auto"/>
        </w:rPr>
      </w:pPr>
    </w:p>
    <w:p>
      <w:pPr>
        <w:ind w:left="432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4800"/>
        <w:spacing w:after="0"/>
        <w:rPr>
          <w:sz w:val="20"/>
          <w:szCs w:val="20"/>
          <w:color w:val="auto"/>
        </w:rPr>
      </w:pPr>
      <w:r>
        <w:rPr>
          <w:rFonts w:ascii="Courier New" w:cs="Courier New" w:eastAsia="Courier New" w:hAnsi="Courier New"/>
          <w:sz w:val="16"/>
          <w:szCs w:val="16"/>
          <w:color w:val="auto"/>
        </w:rPr>
        <w:t>Anthony J. Horan</w:t>
      </w:r>
    </w:p>
    <w:p>
      <w:pPr>
        <w:spacing w:after="0" w:line="4" w:lineRule="exact"/>
        <w:rPr>
          <w:sz w:val="20"/>
          <w:szCs w:val="20"/>
          <w:color w:val="auto"/>
        </w:rPr>
      </w:pPr>
    </w:p>
    <w:p>
      <w:pPr>
        <w:ind w:left="4800"/>
        <w:spacing w:after="0"/>
        <w:rPr>
          <w:sz w:val="20"/>
          <w:szCs w:val="20"/>
          <w:color w:val="auto"/>
        </w:rPr>
      </w:pPr>
      <w:r>
        <w:rPr>
          <w:rFonts w:ascii="Courier New" w:cs="Courier New" w:eastAsia="Courier New" w:hAnsi="Courier New"/>
          <w:sz w:val="16"/>
          <w:szCs w:val="16"/>
          <w:color w:val="auto"/>
        </w:rPr>
        <w:t>Corporate Secretary</w:t>
      </w:r>
    </w:p>
    <w:p>
      <w:pPr>
        <w:sectPr>
          <w:pgSz w:w="11900" w:h="16838" w:orient="portrait"/>
          <w:cols w:equalWidth="0" w:num="1">
            <w:col w:w="10219"/>
          </w:cols>
          <w:pgMar w:left="240" w:top="300"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6"/>
          <w:szCs w:val="16"/>
          <w:color w:val="auto"/>
        </w:rPr>
        <w:t>5</w:t>
      </w:r>
    </w:p>
    <w:p>
      <w:pPr>
        <w:spacing w:after="0" w:line="4"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EXHIBIT INDEX</w:t>
      </w:r>
    </w:p>
    <w:p>
      <w:pPr>
        <w:spacing w:after="0" w:line="188"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Exhibit</w:t>
      </w:r>
    </w:p>
    <w:p>
      <w:pPr>
        <w:spacing w:after="0" w:line="4" w:lineRule="exact"/>
        <w:rPr>
          <w:sz w:val="20"/>
          <w:szCs w:val="20"/>
          <w:color w:val="auto"/>
        </w:rPr>
      </w:pPr>
    </w:p>
    <w:p>
      <w:pPr>
        <w:ind w:left="200"/>
        <w:spacing w:after="0"/>
        <w:tabs>
          <w:tab w:leader="none" w:pos="1420" w:val="left"/>
        </w:tabs>
        <w:rPr>
          <w:sz w:val="20"/>
          <w:szCs w:val="20"/>
          <w:color w:val="auto"/>
        </w:rPr>
      </w:pPr>
      <w:r>
        <w:rPr>
          <w:rFonts w:ascii="Courier New" w:cs="Courier New" w:eastAsia="Courier New" w:hAnsi="Courier New"/>
          <w:sz w:val="16"/>
          <w:szCs w:val="16"/>
          <w:color w:val="auto"/>
        </w:rPr>
        <w:t>Number</w:t>
      </w:r>
      <w:r>
        <w:rPr>
          <w:sz w:val="20"/>
          <w:szCs w:val="20"/>
          <w:color w:val="auto"/>
        </w:rPr>
        <w:tab/>
      </w:r>
      <w:r>
        <w:rPr>
          <w:rFonts w:ascii="Courier New" w:cs="Courier New" w:eastAsia="Courier New" w:hAnsi="Courier New"/>
          <w:sz w:val="16"/>
          <w:szCs w:val="16"/>
          <w:color w:val="auto"/>
        </w:rPr>
        <w:t>Description</w:t>
      </w:r>
    </w:p>
    <w:p>
      <w:pPr>
        <w:spacing w:after="0" w:line="4" w:lineRule="exact"/>
        <w:rPr>
          <w:sz w:val="20"/>
          <w:szCs w:val="20"/>
          <w:color w:val="auto"/>
        </w:rPr>
      </w:pPr>
    </w:p>
    <w:p>
      <w:pPr>
        <w:ind w:left="200"/>
        <w:spacing w:after="0"/>
        <w:tabs>
          <w:tab w:leader="none" w:pos="142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190" w:lineRule="exact"/>
        <w:rPr>
          <w:sz w:val="20"/>
          <w:szCs w:val="20"/>
          <w:color w:val="auto"/>
        </w:rPr>
      </w:pPr>
    </w:p>
    <w:p>
      <w:pPr>
        <w:jc w:val="both"/>
        <w:ind w:left="1440" w:right="2639" w:hanging="864"/>
        <w:spacing w:after="0" w:line="243" w:lineRule="auto"/>
        <w:tabs>
          <w:tab w:leader="none" w:pos="1420" w:val="left"/>
        </w:tabs>
        <w:rPr>
          <w:sz w:val="20"/>
          <w:szCs w:val="20"/>
          <w:color w:val="auto"/>
        </w:rPr>
      </w:pPr>
      <w:r>
        <w:rPr>
          <w:rFonts w:ascii="Courier New" w:cs="Courier New" w:eastAsia="Courier New" w:hAnsi="Courier New"/>
          <w:sz w:val="16"/>
          <w:szCs w:val="16"/>
          <w:color w:val="auto"/>
        </w:rPr>
        <w:t>2.1</w:t>
      </w:r>
      <w:r>
        <w:rPr>
          <w:sz w:val="20"/>
          <w:szCs w:val="20"/>
          <w:color w:val="auto"/>
        </w:rPr>
        <w:tab/>
      </w:r>
      <w:r>
        <w:rPr>
          <w:rFonts w:ascii="Courier New" w:cs="Courier New" w:eastAsia="Courier New" w:hAnsi="Courier New"/>
          <w:sz w:val="16"/>
          <w:szCs w:val="16"/>
          <w:color w:val="auto"/>
        </w:rPr>
        <w:t>Agreement and Plan of Merger, dated as of September 12, 2000, between The Chase Manhattan Corporation and J.P. Morgan &amp; Co. Incorporated</w:t>
      </w:r>
    </w:p>
    <w:p>
      <w:pPr>
        <w:spacing w:after="0" w:line="189" w:lineRule="exact"/>
        <w:rPr>
          <w:sz w:val="20"/>
          <w:szCs w:val="20"/>
          <w:color w:val="auto"/>
        </w:rPr>
      </w:pPr>
    </w:p>
    <w:p>
      <w:pPr>
        <w:ind w:left="1440" w:right="2639" w:hanging="864"/>
        <w:spacing w:after="0" w:line="243" w:lineRule="auto"/>
        <w:tabs>
          <w:tab w:leader="none" w:pos="1420" w:val="left"/>
        </w:tabs>
        <w:rPr>
          <w:sz w:val="20"/>
          <w:szCs w:val="20"/>
          <w:color w:val="auto"/>
        </w:rPr>
      </w:pPr>
      <w:r>
        <w:rPr>
          <w:rFonts w:ascii="Courier New" w:cs="Courier New" w:eastAsia="Courier New" w:hAnsi="Courier New"/>
          <w:sz w:val="16"/>
          <w:szCs w:val="16"/>
          <w:color w:val="auto"/>
        </w:rPr>
        <w:t>10.1</w:t>
      </w:r>
      <w:r>
        <w:rPr>
          <w:sz w:val="20"/>
          <w:szCs w:val="20"/>
          <w:color w:val="auto"/>
        </w:rPr>
        <w:tab/>
      </w:r>
      <w:r>
        <w:rPr>
          <w:rFonts w:ascii="Courier New" w:cs="Courier New" w:eastAsia="Courier New" w:hAnsi="Courier New"/>
          <w:sz w:val="16"/>
          <w:szCs w:val="16"/>
          <w:color w:val="auto"/>
        </w:rPr>
        <w:t>Stock Option Agreement, dated as of September 12, 2000, between The Chase Manhattan Corporation and J.P. Morgan &amp; Co. Incorporated</w:t>
      </w:r>
    </w:p>
    <w:p>
      <w:pPr>
        <w:spacing w:after="0" w:line="189" w:lineRule="exact"/>
        <w:rPr>
          <w:sz w:val="20"/>
          <w:szCs w:val="20"/>
          <w:color w:val="auto"/>
        </w:rPr>
      </w:pPr>
    </w:p>
    <w:p>
      <w:pPr>
        <w:ind w:left="1440" w:right="2539" w:hanging="864"/>
        <w:spacing w:after="0" w:line="243" w:lineRule="auto"/>
        <w:tabs>
          <w:tab w:leader="none" w:pos="1420" w:val="left"/>
        </w:tabs>
        <w:rPr>
          <w:sz w:val="20"/>
          <w:szCs w:val="20"/>
          <w:color w:val="auto"/>
        </w:rPr>
      </w:pPr>
      <w:r>
        <w:rPr>
          <w:rFonts w:ascii="Courier New" w:cs="Courier New" w:eastAsia="Courier New" w:hAnsi="Courier New"/>
          <w:sz w:val="16"/>
          <w:szCs w:val="16"/>
          <w:color w:val="auto"/>
        </w:rPr>
        <w:t>10.2</w:t>
      </w:r>
      <w:r>
        <w:rPr>
          <w:sz w:val="20"/>
          <w:szCs w:val="20"/>
          <w:color w:val="auto"/>
        </w:rPr>
        <w:tab/>
      </w:r>
      <w:r>
        <w:rPr>
          <w:rFonts w:ascii="Courier New" w:cs="Courier New" w:eastAsia="Courier New" w:hAnsi="Courier New"/>
          <w:sz w:val="16"/>
          <w:szCs w:val="16"/>
          <w:color w:val="auto"/>
        </w:rPr>
        <w:t>Stock Option Agreement, dated as of September 12, 2000, between J.P. Morgan &amp; Co. Incorporated and The Chase Manhattan Corporation</w:t>
      </w:r>
    </w:p>
    <w:p>
      <w:pPr>
        <w:spacing w:after="0" w:line="189" w:lineRule="exact"/>
        <w:rPr>
          <w:sz w:val="20"/>
          <w:szCs w:val="20"/>
          <w:color w:val="auto"/>
        </w:rPr>
      </w:pPr>
    </w:p>
    <w:p>
      <w:pPr>
        <w:ind w:left="1440" w:right="2539" w:hanging="864"/>
        <w:spacing w:after="0" w:line="243" w:lineRule="auto"/>
        <w:tabs>
          <w:tab w:leader="none" w:pos="1420" w:val="left"/>
        </w:tabs>
        <w:rPr>
          <w:sz w:val="20"/>
          <w:szCs w:val="20"/>
          <w:color w:val="auto"/>
        </w:rPr>
      </w:pPr>
      <w:r>
        <w:rPr>
          <w:rFonts w:ascii="Courier New" w:cs="Courier New" w:eastAsia="Courier New" w:hAnsi="Courier New"/>
          <w:sz w:val="16"/>
          <w:szCs w:val="16"/>
          <w:color w:val="auto"/>
        </w:rPr>
        <w:t>99.1</w:t>
      </w:r>
      <w:r>
        <w:rPr>
          <w:sz w:val="20"/>
          <w:szCs w:val="20"/>
          <w:color w:val="auto"/>
        </w:rPr>
        <w:tab/>
      </w:r>
      <w:r>
        <w:rPr>
          <w:rFonts w:ascii="Courier New" w:cs="Courier New" w:eastAsia="Courier New" w:hAnsi="Courier New"/>
          <w:sz w:val="16"/>
          <w:szCs w:val="16"/>
          <w:color w:val="auto"/>
        </w:rPr>
        <w:t>Joint Press Release, dated September 13, 2000, announcing the execution of the Agreement and Plan of Merger between The Chase Manhattan Corporation and J.P. Morgan &amp; Co. Incorporated</w:t>
      </w:r>
    </w:p>
    <w:p>
      <w:pPr>
        <w:sectPr>
          <w:pgSz w:w="11900" w:h="16838" w:orient="portrait"/>
          <w:cols w:equalWidth="0" w:num="1">
            <w:col w:w="9939"/>
          </w:cols>
          <w:pgMar w:left="520" w:top="300"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6"/>
          <w:szCs w:val="16"/>
          <w:color w:val="auto"/>
        </w:rPr>
        <w:t>1</w:t>
      </w:r>
    </w:p>
    <w:p>
      <w:pPr>
        <w:spacing w:after="0" w:line="188" w:lineRule="exact"/>
        <w:rPr>
          <w:sz w:val="20"/>
          <w:szCs w:val="20"/>
          <w:color w:val="auto"/>
        </w:rPr>
      </w:pPr>
    </w:p>
    <w:p>
      <w:pPr>
        <w:jc w:val="right"/>
        <w:ind w:right="2539"/>
        <w:spacing w:after="0"/>
        <w:rPr>
          <w:sz w:val="20"/>
          <w:szCs w:val="20"/>
          <w:color w:val="auto"/>
        </w:rPr>
      </w:pPr>
      <w:r>
        <w:rPr>
          <w:rFonts w:ascii="Courier New" w:cs="Courier New" w:eastAsia="Courier New" w:hAnsi="Courier New"/>
          <w:sz w:val="16"/>
          <w:szCs w:val="16"/>
          <w:color w:val="auto"/>
        </w:rPr>
        <w:t>Exhibit 2.1</w:t>
      </w:r>
    </w:p>
    <w:p>
      <w:pPr>
        <w:spacing w:after="0" w:line="373" w:lineRule="exact"/>
        <w:rPr>
          <w:sz w:val="20"/>
          <w:szCs w:val="20"/>
          <w:color w:val="auto"/>
        </w:rPr>
      </w:pPr>
    </w:p>
    <w:p>
      <w:pPr>
        <w:jc w:val="right"/>
        <w:ind w:right="2539"/>
        <w:spacing w:after="0"/>
        <w:rPr>
          <w:sz w:val="20"/>
          <w:szCs w:val="20"/>
          <w:color w:val="auto"/>
        </w:rPr>
      </w:pPr>
      <w:r>
        <w:rPr>
          <w:rFonts w:ascii="Courier New" w:cs="Courier New" w:eastAsia="Courier New" w:hAnsi="Courier New"/>
          <w:sz w:val="16"/>
          <w:szCs w:val="16"/>
          <w:color w:val="auto"/>
        </w:rPr>
        <w:t>EXECUTION COPY</w:t>
      </w:r>
    </w:p>
    <w:p>
      <w:pPr>
        <w:spacing w:after="0" w:line="200" w:lineRule="exact"/>
        <w:rPr>
          <w:sz w:val="20"/>
          <w:szCs w:val="20"/>
          <w:color w:val="auto"/>
        </w:rPr>
      </w:pPr>
    </w:p>
    <w:p>
      <w:pPr>
        <w:spacing w:after="0" w:line="358" w:lineRule="exact"/>
        <w:rPr>
          <w:sz w:val="20"/>
          <w:szCs w:val="20"/>
          <w:color w:val="auto"/>
        </w:rPr>
      </w:pPr>
    </w:p>
    <w:p>
      <w:pPr>
        <w:ind w:left="2220"/>
        <w:spacing w:after="0"/>
        <w:rPr>
          <w:sz w:val="20"/>
          <w:szCs w:val="20"/>
          <w:color w:val="auto"/>
        </w:rPr>
      </w:pPr>
      <w:r>
        <w:rPr>
          <w:rFonts w:ascii="Courier New" w:cs="Courier New" w:eastAsia="Courier New" w:hAnsi="Courier New"/>
          <w:sz w:val="16"/>
          <w:szCs w:val="16"/>
          <w:color w:val="auto"/>
        </w:rPr>
        <w:t>AGREEMENT AND PLAN OF MERGER</w:t>
      </w:r>
    </w:p>
    <w:p>
      <w:pPr>
        <w:spacing w:after="0" w:line="200" w:lineRule="exact"/>
        <w:rPr>
          <w:sz w:val="20"/>
          <w:szCs w:val="20"/>
          <w:color w:val="auto"/>
        </w:rPr>
      </w:pPr>
    </w:p>
    <w:p>
      <w:pPr>
        <w:spacing w:after="0" w:line="358" w:lineRule="exact"/>
        <w:rPr>
          <w:sz w:val="20"/>
          <w:szCs w:val="20"/>
          <w:color w:val="auto"/>
        </w:rPr>
      </w:pPr>
    </w:p>
    <w:p>
      <w:pPr>
        <w:ind w:left="2120"/>
        <w:spacing w:after="0"/>
        <w:rPr>
          <w:sz w:val="20"/>
          <w:szCs w:val="20"/>
          <w:color w:val="auto"/>
        </w:rPr>
      </w:pPr>
      <w:r>
        <w:rPr>
          <w:rFonts w:ascii="Courier New" w:cs="Courier New" w:eastAsia="Courier New" w:hAnsi="Courier New"/>
          <w:sz w:val="16"/>
          <w:szCs w:val="16"/>
          <w:color w:val="auto"/>
        </w:rPr>
        <w:t>DATED AS OF SEPTEMBER 12, 2000</w:t>
      </w:r>
    </w:p>
    <w:p>
      <w:pPr>
        <w:spacing w:after="0" w:line="200" w:lineRule="exact"/>
        <w:rPr>
          <w:sz w:val="20"/>
          <w:szCs w:val="20"/>
          <w:color w:val="auto"/>
        </w:rPr>
      </w:pPr>
    </w:p>
    <w:p>
      <w:pPr>
        <w:spacing w:after="0" w:line="358"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BETWEEN</w:t>
      </w:r>
    </w:p>
    <w:p>
      <w:pPr>
        <w:spacing w:after="0" w:line="200" w:lineRule="exact"/>
        <w:rPr>
          <w:sz w:val="20"/>
          <w:szCs w:val="20"/>
          <w:color w:val="auto"/>
        </w:rPr>
      </w:pPr>
    </w:p>
    <w:p>
      <w:pPr>
        <w:spacing w:after="0" w:line="358" w:lineRule="exact"/>
        <w:rPr>
          <w:sz w:val="20"/>
          <w:szCs w:val="20"/>
          <w:color w:val="auto"/>
        </w:rPr>
      </w:pPr>
    </w:p>
    <w:p>
      <w:pPr>
        <w:ind w:left="2120"/>
        <w:spacing w:after="0"/>
        <w:rPr>
          <w:sz w:val="20"/>
          <w:szCs w:val="20"/>
          <w:color w:val="auto"/>
        </w:rPr>
      </w:pPr>
      <w:r>
        <w:rPr>
          <w:rFonts w:ascii="Courier New" w:cs="Courier New" w:eastAsia="Courier New" w:hAnsi="Courier New"/>
          <w:sz w:val="16"/>
          <w:szCs w:val="16"/>
          <w:color w:val="auto"/>
        </w:rPr>
        <w:t>THE CHASE MANHATTAN CORPORATION</w:t>
      </w:r>
    </w:p>
    <w:p>
      <w:pPr>
        <w:spacing w:after="0" w:line="200" w:lineRule="exact"/>
        <w:rPr>
          <w:sz w:val="20"/>
          <w:szCs w:val="20"/>
          <w:color w:val="auto"/>
        </w:rPr>
      </w:pPr>
    </w:p>
    <w:p>
      <w:pPr>
        <w:spacing w:after="0" w:line="358"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AND</w:t>
      </w:r>
    </w:p>
    <w:p>
      <w:pPr>
        <w:spacing w:after="0" w:line="200" w:lineRule="exact"/>
        <w:rPr>
          <w:sz w:val="20"/>
          <w:szCs w:val="20"/>
          <w:color w:val="auto"/>
        </w:rPr>
      </w:pPr>
    </w:p>
    <w:p>
      <w:pPr>
        <w:spacing w:after="0" w:line="358" w:lineRule="exact"/>
        <w:rPr>
          <w:sz w:val="20"/>
          <w:szCs w:val="20"/>
          <w:color w:val="auto"/>
        </w:rPr>
      </w:pPr>
    </w:p>
    <w:p>
      <w:pPr>
        <w:ind w:left="2120"/>
        <w:spacing w:after="0"/>
        <w:rPr>
          <w:sz w:val="20"/>
          <w:szCs w:val="20"/>
          <w:color w:val="auto"/>
        </w:rPr>
      </w:pPr>
      <w:r>
        <w:rPr>
          <w:rFonts w:ascii="Courier New" w:cs="Courier New" w:eastAsia="Courier New" w:hAnsi="Courier New"/>
          <w:sz w:val="16"/>
          <w:szCs w:val="16"/>
          <w:color w:val="auto"/>
        </w:rPr>
        <w:t>J.P. MORGAN &amp; CO. INCORPORATED</w:t>
      </w:r>
    </w:p>
    <w:p>
      <w:pPr>
        <w:sectPr>
          <w:pgSz w:w="11900" w:h="16838" w:orient="portrait"/>
          <w:cols w:equalWidth="0" w:num="1">
            <w:col w:w="9939"/>
          </w:cols>
          <w:pgMar w:left="520" w:top="140" w:right="1440"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81"/>
        </w:trPr>
        <w:tc>
          <w:tcPr>
            <w:tcW w:w="1680" w:type="dxa"/>
            <w:vAlign w:val="bottom"/>
          </w:tcPr>
          <w:p>
            <w:pPr>
              <w:jc w:val="right"/>
              <w:ind w:right="1220"/>
              <w:spacing w:after="0"/>
              <w:rPr>
                <w:sz w:val="20"/>
                <w:szCs w:val="20"/>
                <w:color w:val="auto"/>
              </w:rPr>
            </w:pPr>
            <w:r>
              <w:rPr>
                <w:rFonts w:ascii="Courier New" w:cs="Courier New" w:eastAsia="Courier New" w:hAnsi="Courier New"/>
                <w:sz w:val="16"/>
                <w:szCs w:val="16"/>
                <w:color w:val="auto"/>
              </w:rPr>
              <w:t>2</w:t>
            </w:r>
          </w:p>
        </w:tc>
        <w:tc>
          <w:tcPr>
            <w:tcW w:w="920" w:type="dxa"/>
            <w:vAlign w:val="bottom"/>
          </w:tcPr>
          <w:p>
            <w:pPr>
              <w:spacing w:after="0"/>
              <w:rPr>
                <w:sz w:val="15"/>
                <w:szCs w:val="15"/>
                <w:color w:val="auto"/>
              </w:rPr>
            </w:pPr>
          </w:p>
        </w:tc>
        <w:tc>
          <w:tcPr>
            <w:tcW w:w="840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554"/>
        </w:trPr>
        <w:tc>
          <w:tcPr>
            <w:tcW w:w="16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400" w:type="dxa"/>
            <w:vAlign w:val="bottom"/>
          </w:tcPr>
          <w:p>
            <w:pPr>
              <w:jc w:val="right"/>
              <w:ind w:right="6220"/>
              <w:spacing w:after="0"/>
              <w:rPr>
                <w:sz w:val="20"/>
                <w:szCs w:val="20"/>
                <w:color w:val="auto"/>
              </w:rPr>
            </w:pPr>
            <w:r>
              <w:rPr>
                <w:rFonts w:ascii="Courier New" w:cs="Courier New" w:eastAsia="Courier New" w:hAnsi="Courier New"/>
                <w:sz w:val="16"/>
                <w:szCs w:val="16"/>
                <w:color w:val="auto"/>
              </w:rPr>
              <w:t>TABLE OF CONTENTS</w:t>
            </w:r>
          </w:p>
        </w:tc>
        <w:tc>
          <w:tcPr>
            <w:tcW w:w="520" w:type="dxa"/>
            <w:vAlign w:val="bottom"/>
          </w:tcPr>
          <w:p>
            <w:pPr>
              <w:spacing w:after="0"/>
              <w:rPr>
                <w:sz w:val="24"/>
                <w:szCs w:val="24"/>
                <w:color w:val="auto"/>
              </w:rPr>
            </w:pPr>
          </w:p>
        </w:tc>
      </w:tr>
      <w:tr>
        <w:trPr>
          <w:trHeight w:val="739"/>
        </w:trPr>
        <w:tc>
          <w:tcPr>
            <w:tcW w:w="16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40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Page</w:t>
            </w:r>
          </w:p>
        </w:tc>
      </w:tr>
      <w:tr>
        <w:trPr>
          <w:trHeight w:val="185"/>
        </w:trPr>
        <w:tc>
          <w:tcPr>
            <w:tcW w:w="16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4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554"/>
        </w:trPr>
        <w:tc>
          <w:tcPr>
            <w:tcW w:w="11000" w:type="dxa"/>
            <w:vAlign w:val="bottom"/>
            <w:gridSpan w:val="3"/>
          </w:tcPr>
          <w:p>
            <w:pPr>
              <w:jc w:val="right"/>
              <w:ind w:right="60"/>
              <w:spacing w:after="0"/>
              <w:rPr>
                <w:sz w:val="20"/>
                <w:szCs w:val="20"/>
                <w:color w:val="auto"/>
              </w:rPr>
            </w:pPr>
            <w:r>
              <w:rPr>
                <w:rFonts w:ascii="Courier New" w:cs="Courier New" w:eastAsia="Courier New" w:hAnsi="Courier New"/>
                <w:sz w:val="16"/>
                <w:szCs w:val="16"/>
                <w:color w:val="auto"/>
                <w:w w:val="99"/>
              </w:rPr>
              <w:t>ARTICLE I THE MERGER.............................................................................................</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8</w:t>
            </w:r>
          </w:p>
        </w:tc>
      </w:tr>
      <w:tr>
        <w:trPr>
          <w:trHeight w:val="370"/>
        </w:trPr>
        <w:tc>
          <w:tcPr>
            <w:tcW w:w="168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1.1.</w:t>
            </w:r>
          </w:p>
        </w:tc>
        <w:tc>
          <w:tcPr>
            <w:tcW w:w="932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rPr>
              <w:t>Effective Time of the Merger...................................................................</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8</w:t>
            </w:r>
          </w:p>
        </w:tc>
      </w:tr>
      <w:tr>
        <w:trPr>
          <w:trHeight w:val="370"/>
        </w:trPr>
        <w:tc>
          <w:tcPr>
            <w:tcW w:w="168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1.2.</w:t>
            </w:r>
          </w:p>
        </w:tc>
        <w:tc>
          <w:tcPr>
            <w:tcW w:w="932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rPr>
              <w:t>Closing........................................................................................</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8</w:t>
            </w:r>
          </w:p>
        </w:tc>
      </w:tr>
      <w:tr>
        <w:trPr>
          <w:trHeight w:val="370"/>
        </w:trPr>
        <w:tc>
          <w:tcPr>
            <w:tcW w:w="168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1.3.</w:t>
            </w:r>
          </w:p>
        </w:tc>
        <w:tc>
          <w:tcPr>
            <w:tcW w:w="932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rPr>
              <w:t>Effects of the Merger..........................................................................</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8</w:t>
            </w:r>
          </w:p>
        </w:tc>
      </w:tr>
      <w:tr>
        <w:trPr>
          <w:trHeight w:val="370"/>
        </w:trPr>
        <w:tc>
          <w:tcPr>
            <w:tcW w:w="168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1.4.</w:t>
            </w:r>
          </w:p>
        </w:tc>
        <w:tc>
          <w:tcPr>
            <w:tcW w:w="932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rPr>
              <w:t>Certificate of Incorporation and By-Laws.......................................................</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8</w:t>
            </w:r>
          </w:p>
        </w:tc>
      </w:tr>
      <w:tr>
        <w:trPr>
          <w:trHeight w:val="370"/>
        </w:trPr>
        <w:tc>
          <w:tcPr>
            <w:tcW w:w="168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1.5.</w:t>
            </w:r>
          </w:p>
        </w:tc>
        <w:tc>
          <w:tcPr>
            <w:tcW w:w="932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rPr>
              <w:t>Alternative Transaction Structures.............................................................</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8</w:t>
            </w:r>
          </w:p>
        </w:tc>
      </w:tr>
      <w:tr>
        <w:trPr>
          <w:trHeight w:val="370"/>
        </w:trPr>
        <w:tc>
          <w:tcPr>
            <w:tcW w:w="1680" w:type="dxa"/>
            <w:vAlign w:val="bottom"/>
          </w:tcPr>
          <w:p>
            <w:pPr>
              <w:jc w:val="right"/>
              <w:spacing w:after="0"/>
              <w:rPr>
                <w:sz w:val="20"/>
                <w:szCs w:val="20"/>
                <w:color w:val="auto"/>
              </w:rPr>
            </w:pPr>
            <w:r>
              <w:rPr>
                <w:rFonts w:ascii="Courier New" w:cs="Courier New" w:eastAsia="Courier New" w:hAnsi="Courier New"/>
                <w:sz w:val="16"/>
                <w:szCs w:val="16"/>
                <w:color w:val="auto"/>
                <w:w w:val="99"/>
              </w:rPr>
              <w:t>ARTICLE II EFFECT</w:t>
            </w:r>
          </w:p>
        </w:tc>
        <w:tc>
          <w:tcPr>
            <w:tcW w:w="932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rPr>
              <w:t>OF THE MERGER ON THE CAPITAL STOCK OF THE CONSTITUENT CORPORATIONS; EXCHANGE OF CERTIFICATES...</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9</w:t>
            </w:r>
          </w:p>
        </w:tc>
      </w:tr>
      <w:tr>
        <w:trPr>
          <w:trHeight w:val="370"/>
        </w:trPr>
        <w:tc>
          <w:tcPr>
            <w:tcW w:w="168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2.1.</w:t>
            </w:r>
          </w:p>
        </w:tc>
        <w:tc>
          <w:tcPr>
            <w:tcW w:w="932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rPr>
              <w:t>Effect on Capital Stock........................................................................</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9</w:t>
            </w:r>
          </w:p>
        </w:tc>
      </w:tr>
      <w:tr>
        <w:trPr>
          <w:trHeight w:val="370"/>
        </w:trPr>
        <w:tc>
          <w:tcPr>
            <w:tcW w:w="1680" w:type="dxa"/>
            <w:vAlign w:val="bottom"/>
          </w:tcPr>
          <w:p>
            <w:pPr>
              <w:spacing w:after="0"/>
              <w:rPr>
                <w:sz w:val="24"/>
                <w:szCs w:val="24"/>
                <w:color w:val="auto"/>
              </w:rPr>
            </w:pPr>
          </w:p>
        </w:tc>
        <w:tc>
          <w:tcPr>
            <w:tcW w:w="920" w:type="dxa"/>
            <w:vAlign w:val="bottom"/>
          </w:tcPr>
          <w:p>
            <w:pPr>
              <w:ind w:left="40"/>
              <w:spacing w:after="0"/>
              <w:rPr>
                <w:sz w:val="20"/>
                <w:szCs w:val="20"/>
                <w:color w:val="auto"/>
              </w:rPr>
            </w:pPr>
            <w:r>
              <w:rPr>
                <w:rFonts w:ascii="Courier New" w:cs="Courier New" w:eastAsia="Courier New" w:hAnsi="Courier New"/>
                <w:sz w:val="16"/>
                <w:szCs w:val="16"/>
                <w:color w:val="auto"/>
              </w:rPr>
              <w:t>(a)</w:t>
            </w:r>
          </w:p>
        </w:tc>
        <w:tc>
          <w:tcPr>
            <w:tcW w:w="840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9"/>
              </w:rPr>
              <w:t>Cancellation of Treasury Stock and Chase-Owned Stock, etc.............................</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9</w:t>
            </w:r>
          </w:p>
        </w:tc>
      </w:tr>
      <w:tr>
        <w:trPr>
          <w:trHeight w:val="370"/>
        </w:trPr>
        <w:tc>
          <w:tcPr>
            <w:tcW w:w="1680" w:type="dxa"/>
            <w:vAlign w:val="bottom"/>
          </w:tcPr>
          <w:p>
            <w:pPr>
              <w:spacing w:after="0"/>
              <w:rPr>
                <w:sz w:val="24"/>
                <w:szCs w:val="24"/>
                <w:color w:val="auto"/>
              </w:rPr>
            </w:pPr>
          </w:p>
        </w:tc>
        <w:tc>
          <w:tcPr>
            <w:tcW w:w="920" w:type="dxa"/>
            <w:vAlign w:val="bottom"/>
          </w:tcPr>
          <w:p>
            <w:pPr>
              <w:ind w:left="40"/>
              <w:spacing w:after="0"/>
              <w:rPr>
                <w:sz w:val="20"/>
                <w:szCs w:val="20"/>
                <w:color w:val="auto"/>
              </w:rPr>
            </w:pPr>
            <w:r>
              <w:rPr>
                <w:rFonts w:ascii="Courier New" w:cs="Courier New" w:eastAsia="Courier New" w:hAnsi="Courier New"/>
                <w:sz w:val="16"/>
                <w:szCs w:val="16"/>
                <w:color w:val="auto"/>
              </w:rPr>
              <w:t>(b)</w:t>
            </w:r>
          </w:p>
        </w:tc>
        <w:tc>
          <w:tcPr>
            <w:tcW w:w="840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9"/>
              </w:rPr>
              <w:t>Conversion of Morgan Common Stock.....................................................</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9</w:t>
            </w:r>
          </w:p>
        </w:tc>
      </w:tr>
      <w:tr>
        <w:trPr>
          <w:trHeight w:val="370"/>
        </w:trPr>
        <w:tc>
          <w:tcPr>
            <w:tcW w:w="1680" w:type="dxa"/>
            <w:vAlign w:val="bottom"/>
          </w:tcPr>
          <w:p>
            <w:pPr>
              <w:spacing w:after="0"/>
              <w:rPr>
                <w:sz w:val="24"/>
                <w:szCs w:val="24"/>
                <w:color w:val="auto"/>
              </w:rPr>
            </w:pPr>
          </w:p>
        </w:tc>
        <w:tc>
          <w:tcPr>
            <w:tcW w:w="920" w:type="dxa"/>
            <w:vAlign w:val="bottom"/>
          </w:tcPr>
          <w:p>
            <w:pPr>
              <w:ind w:left="40"/>
              <w:spacing w:after="0"/>
              <w:rPr>
                <w:sz w:val="20"/>
                <w:szCs w:val="20"/>
                <w:color w:val="auto"/>
              </w:rPr>
            </w:pPr>
            <w:r>
              <w:rPr>
                <w:rFonts w:ascii="Courier New" w:cs="Courier New" w:eastAsia="Courier New" w:hAnsi="Courier New"/>
                <w:sz w:val="16"/>
                <w:szCs w:val="16"/>
                <w:color w:val="auto"/>
              </w:rPr>
              <w:t>(c)</w:t>
            </w:r>
          </w:p>
        </w:tc>
        <w:tc>
          <w:tcPr>
            <w:tcW w:w="840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9"/>
              </w:rPr>
              <w:t>Conversion of Morgan Preferred Stock..................................................</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10</w:t>
            </w:r>
          </w:p>
        </w:tc>
      </w:tr>
      <w:tr>
        <w:trPr>
          <w:trHeight w:val="370"/>
        </w:trPr>
        <w:tc>
          <w:tcPr>
            <w:tcW w:w="1680" w:type="dxa"/>
            <w:vAlign w:val="bottom"/>
          </w:tcPr>
          <w:p>
            <w:pPr>
              <w:spacing w:after="0"/>
              <w:rPr>
                <w:sz w:val="24"/>
                <w:szCs w:val="24"/>
                <w:color w:val="auto"/>
              </w:rPr>
            </w:pPr>
          </w:p>
        </w:tc>
        <w:tc>
          <w:tcPr>
            <w:tcW w:w="920" w:type="dxa"/>
            <w:vAlign w:val="bottom"/>
          </w:tcPr>
          <w:p>
            <w:pPr>
              <w:ind w:left="40"/>
              <w:spacing w:after="0"/>
              <w:rPr>
                <w:sz w:val="20"/>
                <w:szCs w:val="20"/>
                <w:color w:val="auto"/>
              </w:rPr>
            </w:pPr>
            <w:r>
              <w:rPr>
                <w:rFonts w:ascii="Courier New" w:cs="Courier New" w:eastAsia="Courier New" w:hAnsi="Courier New"/>
                <w:sz w:val="16"/>
                <w:szCs w:val="16"/>
                <w:color w:val="auto"/>
              </w:rPr>
              <w:t>(d)</w:t>
            </w:r>
          </w:p>
        </w:tc>
        <w:tc>
          <w:tcPr>
            <w:tcW w:w="840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9"/>
              </w:rPr>
              <w:t>Chase Capital Stock...................................................................</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11</w:t>
            </w:r>
          </w:p>
        </w:tc>
      </w:tr>
      <w:tr>
        <w:trPr>
          <w:trHeight w:val="370"/>
        </w:trPr>
        <w:tc>
          <w:tcPr>
            <w:tcW w:w="1680" w:type="dxa"/>
            <w:vAlign w:val="bottom"/>
          </w:tcPr>
          <w:p>
            <w:pPr>
              <w:spacing w:after="0"/>
              <w:rPr>
                <w:sz w:val="24"/>
                <w:szCs w:val="24"/>
                <w:color w:val="auto"/>
              </w:rPr>
            </w:pPr>
          </w:p>
        </w:tc>
        <w:tc>
          <w:tcPr>
            <w:tcW w:w="920" w:type="dxa"/>
            <w:vAlign w:val="bottom"/>
          </w:tcPr>
          <w:p>
            <w:pPr>
              <w:ind w:left="40"/>
              <w:spacing w:after="0"/>
              <w:rPr>
                <w:sz w:val="20"/>
                <w:szCs w:val="20"/>
                <w:color w:val="auto"/>
              </w:rPr>
            </w:pPr>
            <w:r>
              <w:rPr>
                <w:rFonts w:ascii="Courier New" w:cs="Courier New" w:eastAsia="Courier New" w:hAnsi="Courier New"/>
                <w:sz w:val="16"/>
                <w:szCs w:val="16"/>
                <w:color w:val="auto"/>
              </w:rPr>
              <w:t>(e)</w:t>
            </w:r>
          </w:p>
        </w:tc>
        <w:tc>
          <w:tcPr>
            <w:tcW w:w="840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9"/>
              </w:rPr>
              <w:t>Appraisal Rights......................................................................</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11</w:t>
            </w:r>
          </w:p>
        </w:tc>
      </w:tr>
      <w:tr>
        <w:trPr>
          <w:trHeight w:val="370"/>
        </w:trPr>
        <w:tc>
          <w:tcPr>
            <w:tcW w:w="168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2.2.</w:t>
            </w:r>
          </w:p>
        </w:tc>
        <w:tc>
          <w:tcPr>
            <w:tcW w:w="920" w:type="dxa"/>
            <w:vAlign w:val="bottom"/>
          </w:tcPr>
          <w:p>
            <w:pPr>
              <w:ind w:left="40"/>
              <w:spacing w:after="0"/>
              <w:rPr>
                <w:sz w:val="20"/>
                <w:szCs w:val="20"/>
                <w:color w:val="auto"/>
              </w:rPr>
            </w:pPr>
            <w:r>
              <w:rPr>
                <w:rFonts w:ascii="Courier New" w:cs="Courier New" w:eastAsia="Courier New" w:hAnsi="Courier New"/>
                <w:sz w:val="16"/>
                <w:szCs w:val="16"/>
                <w:color w:val="auto"/>
              </w:rPr>
              <w:t>Exchange</w:t>
            </w:r>
          </w:p>
        </w:tc>
        <w:tc>
          <w:tcPr>
            <w:tcW w:w="840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9"/>
              </w:rPr>
              <w:t>of Certificates.......................................................................</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12</w:t>
            </w:r>
          </w:p>
        </w:tc>
      </w:tr>
      <w:tr>
        <w:trPr>
          <w:trHeight w:val="370"/>
        </w:trPr>
        <w:tc>
          <w:tcPr>
            <w:tcW w:w="1680" w:type="dxa"/>
            <w:vAlign w:val="bottom"/>
          </w:tcPr>
          <w:p>
            <w:pPr>
              <w:spacing w:after="0"/>
              <w:rPr>
                <w:sz w:val="24"/>
                <w:szCs w:val="24"/>
                <w:color w:val="auto"/>
              </w:rPr>
            </w:pPr>
          </w:p>
        </w:tc>
        <w:tc>
          <w:tcPr>
            <w:tcW w:w="920" w:type="dxa"/>
            <w:vAlign w:val="bottom"/>
          </w:tcPr>
          <w:p>
            <w:pPr>
              <w:ind w:left="40"/>
              <w:spacing w:after="0"/>
              <w:rPr>
                <w:sz w:val="20"/>
                <w:szCs w:val="20"/>
                <w:color w:val="auto"/>
              </w:rPr>
            </w:pPr>
            <w:r>
              <w:rPr>
                <w:rFonts w:ascii="Courier New" w:cs="Courier New" w:eastAsia="Courier New" w:hAnsi="Courier New"/>
                <w:sz w:val="16"/>
                <w:szCs w:val="16"/>
                <w:color w:val="auto"/>
              </w:rPr>
              <w:t>(a)</w:t>
            </w:r>
          </w:p>
        </w:tc>
        <w:tc>
          <w:tcPr>
            <w:tcW w:w="840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9"/>
              </w:rPr>
              <w:t>Exchange Agent........................................................................</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12</w:t>
            </w:r>
          </w:p>
        </w:tc>
      </w:tr>
      <w:tr>
        <w:trPr>
          <w:trHeight w:val="370"/>
        </w:trPr>
        <w:tc>
          <w:tcPr>
            <w:tcW w:w="1680" w:type="dxa"/>
            <w:vAlign w:val="bottom"/>
          </w:tcPr>
          <w:p>
            <w:pPr>
              <w:spacing w:after="0"/>
              <w:rPr>
                <w:sz w:val="24"/>
                <w:szCs w:val="24"/>
                <w:color w:val="auto"/>
              </w:rPr>
            </w:pPr>
          </w:p>
        </w:tc>
        <w:tc>
          <w:tcPr>
            <w:tcW w:w="920" w:type="dxa"/>
            <w:vAlign w:val="bottom"/>
          </w:tcPr>
          <w:p>
            <w:pPr>
              <w:ind w:left="40"/>
              <w:spacing w:after="0"/>
              <w:rPr>
                <w:sz w:val="20"/>
                <w:szCs w:val="20"/>
                <w:color w:val="auto"/>
              </w:rPr>
            </w:pPr>
            <w:r>
              <w:rPr>
                <w:rFonts w:ascii="Courier New" w:cs="Courier New" w:eastAsia="Courier New" w:hAnsi="Courier New"/>
                <w:sz w:val="16"/>
                <w:szCs w:val="16"/>
                <w:color w:val="auto"/>
              </w:rPr>
              <w:t>(b)</w:t>
            </w:r>
          </w:p>
        </w:tc>
        <w:tc>
          <w:tcPr>
            <w:tcW w:w="840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9"/>
              </w:rPr>
              <w:t>Exchange Procedures...................................................................</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12</w:t>
            </w:r>
          </w:p>
        </w:tc>
      </w:tr>
      <w:tr>
        <w:trPr>
          <w:trHeight w:val="370"/>
        </w:trPr>
        <w:tc>
          <w:tcPr>
            <w:tcW w:w="1680" w:type="dxa"/>
            <w:vAlign w:val="bottom"/>
          </w:tcPr>
          <w:p>
            <w:pPr>
              <w:spacing w:after="0"/>
              <w:rPr>
                <w:sz w:val="24"/>
                <w:szCs w:val="24"/>
                <w:color w:val="auto"/>
              </w:rPr>
            </w:pPr>
          </w:p>
        </w:tc>
        <w:tc>
          <w:tcPr>
            <w:tcW w:w="920" w:type="dxa"/>
            <w:vAlign w:val="bottom"/>
          </w:tcPr>
          <w:p>
            <w:pPr>
              <w:ind w:left="40"/>
              <w:spacing w:after="0"/>
              <w:rPr>
                <w:sz w:val="20"/>
                <w:szCs w:val="20"/>
                <w:color w:val="auto"/>
              </w:rPr>
            </w:pPr>
            <w:r>
              <w:rPr>
                <w:rFonts w:ascii="Courier New" w:cs="Courier New" w:eastAsia="Courier New" w:hAnsi="Courier New"/>
                <w:sz w:val="16"/>
                <w:szCs w:val="16"/>
                <w:color w:val="auto"/>
              </w:rPr>
              <w:t>(c)</w:t>
            </w:r>
          </w:p>
        </w:tc>
        <w:tc>
          <w:tcPr>
            <w:tcW w:w="840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9"/>
              </w:rPr>
              <w:t>Distributions with Respect to Unexchanged Shares......................................</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13</w:t>
            </w:r>
          </w:p>
        </w:tc>
      </w:tr>
      <w:tr>
        <w:trPr>
          <w:trHeight w:val="370"/>
        </w:trPr>
        <w:tc>
          <w:tcPr>
            <w:tcW w:w="1680" w:type="dxa"/>
            <w:vAlign w:val="bottom"/>
          </w:tcPr>
          <w:p>
            <w:pPr>
              <w:spacing w:after="0"/>
              <w:rPr>
                <w:sz w:val="24"/>
                <w:szCs w:val="24"/>
                <w:color w:val="auto"/>
              </w:rPr>
            </w:pPr>
          </w:p>
        </w:tc>
        <w:tc>
          <w:tcPr>
            <w:tcW w:w="920" w:type="dxa"/>
            <w:vAlign w:val="bottom"/>
          </w:tcPr>
          <w:p>
            <w:pPr>
              <w:ind w:left="40"/>
              <w:spacing w:after="0"/>
              <w:rPr>
                <w:sz w:val="20"/>
                <w:szCs w:val="20"/>
                <w:color w:val="auto"/>
              </w:rPr>
            </w:pPr>
            <w:r>
              <w:rPr>
                <w:rFonts w:ascii="Courier New" w:cs="Courier New" w:eastAsia="Courier New" w:hAnsi="Courier New"/>
                <w:sz w:val="16"/>
                <w:szCs w:val="16"/>
                <w:color w:val="auto"/>
              </w:rPr>
              <w:t>(d)</w:t>
            </w:r>
          </w:p>
        </w:tc>
        <w:tc>
          <w:tcPr>
            <w:tcW w:w="840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9"/>
              </w:rPr>
              <w:t>No Further Ownership Rights in Morgan Common Stock or Morgan Preferred Stock..........</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13</w:t>
            </w:r>
          </w:p>
        </w:tc>
      </w:tr>
      <w:tr>
        <w:trPr>
          <w:trHeight w:val="370"/>
        </w:trPr>
        <w:tc>
          <w:tcPr>
            <w:tcW w:w="1680" w:type="dxa"/>
            <w:vAlign w:val="bottom"/>
          </w:tcPr>
          <w:p>
            <w:pPr>
              <w:spacing w:after="0"/>
              <w:rPr>
                <w:sz w:val="24"/>
                <w:szCs w:val="24"/>
                <w:color w:val="auto"/>
              </w:rPr>
            </w:pPr>
          </w:p>
        </w:tc>
        <w:tc>
          <w:tcPr>
            <w:tcW w:w="920" w:type="dxa"/>
            <w:vAlign w:val="bottom"/>
          </w:tcPr>
          <w:p>
            <w:pPr>
              <w:ind w:left="40"/>
              <w:spacing w:after="0"/>
              <w:rPr>
                <w:sz w:val="20"/>
                <w:szCs w:val="20"/>
                <w:color w:val="auto"/>
              </w:rPr>
            </w:pPr>
            <w:r>
              <w:rPr>
                <w:rFonts w:ascii="Courier New" w:cs="Courier New" w:eastAsia="Courier New" w:hAnsi="Courier New"/>
                <w:sz w:val="16"/>
                <w:szCs w:val="16"/>
                <w:color w:val="auto"/>
              </w:rPr>
              <w:t>(e)</w:t>
            </w:r>
          </w:p>
        </w:tc>
        <w:tc>
          <w:tcPr>
            <w:tcW w:w="840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9"/>
              </w:rPr>
              <w:t>No Fractional Shares..................................................................</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13</w:t>
            </w:r>
          </w:p>
        </w:tc>
      </w:tr>
      <w:tr>
        <w:trPr>
          <w:trHeight w:val="370"/>
        </w:trPr>
        <w:tc>
          <w:tcPr>
            <w:tcW w:w="1680" w:type="dxa"/>
            <w:vAlign w:val="bottom"/>
          </w:tcPr>
          <w:p>
            <w:pPr>
              <w:spacing w:after="0"/>
              <w:rPr>
                <w:sz w:val="24"/>
                <w:szCs w:val="24"/>
                <w:color w:val="auto"/>
              </w:rPr>
            </w:pPr>
          </w:p>
        </w:tc>
        <w:tc>
          <w:tcPr>
            <w:tcW w:w="920" w:type="dxa"/>
            <w:vAlign w:val="bottom"/>
          </w:tcPr>
          <w:p>
            <w:pPr>
              <w:ind w:left="40"/>
              <w:spacing w:after="0"/>
              <w:rPr>
                <w:sz w:val="20"/>
                <w:szCs w:val="20"/>
                <w:color w:val="auto"/>
              </w:rPr>
            </w:pPr>
            <w:r>
              <w:rPr>
                <w:rFonts w:ascii="Courier New" w:cs="Courier New" w:eastAsia="Courier New" w:hAnsi="Courier New"/>
                <w:sz w:val="16"/>
                <w:szCs w:val="16"/>
                <w:color w:val="auto"/>
              </w:rPr>
              <w:t>(f)</w:t>
            </w:r>
          </w:p>
        </w:tc>
        <w:tc>
          <w:tcPr>
            <w:tcW w:w="840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9"/>
              </w:rPr>
              <w:t>Termination of Exchange Fund..........................................................</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14</w:t>
            </w:r>
          </w:p>
        </w:tc>
      </w:tr>
      <w:tr>
        <w:trPr>
          <w:trHeight w:val="370"/>
        </w:trPr>
        <w:tc>
          <w:tcPr>
            <w:tcW w:w="1680" w:type="dxa"/>
            <w:vAlign w:val="bottom"/>
          </w:tcPr>
          <w:p>
            <w:pPr>
              <w:spacing w:after="0"/>
              <w:rPr>
                <w:sz w:val="24"/>
                <w:szCs w:val="24"/>
                <w:color w:val="auto"/>
              </w:rPr>
            </w:pPr>
          </w:p>
        </w:tc>
        <w:tc>
          <w:tcPr>
            <w:tcW w:w="920" w:type="dxa"/>
            <w:vAlign w:val="bottom"/>
          </w:tcPr>
          <w:p>
            <w:pPr>
              <w:ind w:left="40"/>
              <w:spacing w:after="0"/>
              <w:rPr>
                <w:sz w:val="20"/>
                <w:szCs w:val="20"/>
                <w:color w:val="auto"/>
              </w:rPr>
            </w:pPr>
            <w:r>
              <w:rPr>
                <w:rFonts w:ascii="Courier New" w:cs="Courier New" w:eastAsia="Courier New" w:hAnsi="Courier New"/>
                <w:sz w:val="16"/>
                <w:szCs w:val="16"/>
                <w:color w:val="auto"/>
              </w:rPr>
              <w:t>(g)</w:t>
            </w:r>
          </w:p>
        </w:tc>
        <w:tc>
          <w:tcPr>
            <w:tcW w:w="840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9"/>
              </w:rPr>
              <w:t>No Liability..........................................................................</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15</w:t>
            </w:r>
          </w:p>
        </w:tc>
      </w:tr>
    </w:tbl>
    <w:p>
      <w:pPr>
        <w:sectPr>
          <w:pgSz w:w="11900" w:h="16838" w:orient="portrait"/>
          <w:cols w:equalWidth="0" w:num="1">
            <w:col w:w="11520"/>
          </w:cols>
          <w:pgMar w:left="240" w:top="300" w:right="139" w:bottom="144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480" w:type="dxa"/>
            <w:vAlign w:val="bottom"/>
          </w:tcPr>
          <w:p>
            <w:pPr>
              <w:jc w:val="right"/>
              <w:ind w:right="1020"/>
              <w:spacing w:after="0"/>
              <w:rPr>
                <w:sz w:val="20"/>
                <w:szCs w:val="20"/>
                <w:color w:val="auto"/>
              </w:rPr>
            </w:pPr>
            <w:r>
              <w:rPr>
                <w:rFonts w:ascii="Courier New" w:cs="Courier New" w:eastAsia="Courier New" w:hAnsi="Courier New"/>
                <w:sz w:val="16"/>
                <w:szCs w:val="16"/>
                <w:color w:val="auto"/>
              </w:rPr>
              <w:t>3</w:t>
            </w:r>
          </w:p>
        </w:tc>
        <w:tc>
          <w:tcPr>
            <w:tcW w:w="820" w:type="dxa"/>
            <w:vAlign w:val="bottom"/>
          </w:tcPr>
          <w:p>
            <w:pPr>
              <w:spacing w:after="0"/>
              <w:rPr>
                <w:sz w:val="15"/>
                <w:szCs w:val="15"/>
                <w:color w:val="auto"/>
              </w:rPr>
            </w:pPr>
          </w:p>
        </w:tc>
        <w:tc>
          <w:tcPr>
            <w:tcW w:w="8660" w:type="dxa"/>
            <w:vAlign w:val="bottom"/>
          </w:tcPr>
          <w:p>
            <w:pPr>
              <w:spacing w:after="0"/>
              <w:rPr>
                <w:sz w:val="15"/>
                <w:szCs w:val="15"/>
                <w:color w:val="auto"/>
              </w:rPr>
            </w:pPr>
          </w:p>
        </w:tc>
        <w:tc>
          <w:tcPr>
            <w:tcW w:w="480" w:type="dxa"/>
            <w:vAlign w:val="bottom"/>
          </w:tcPr>
          <w:p>
            <w:pPr>
              <w:spacing w:after="0"/>
              <w:rPr>
                <w:sz w:val="15"/>
                <w:szCs w:val="15"/>
                <w:color w:val="auto"/>
              </w:rPr>
            </w:pPr>
          </w:p>
        </w:tc>
      </w:tr>
      <w:tr>
        <w:trPr>
          <w:trHeight w:val="739"/>
        </w:trPr>
        <w:tc>
          <w:tcPr>
            <w:tcW w:w="1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66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Page</w:t>
            </w:r>
          </w:p>
        </w:tc>
      </w:tr>
      <w:tr>
        <w:trPr>
          <w:trHeight w:val="185"/>
        </w:trPr>
        <w:tc>
          <w:tcPr>
            <w:tcW w:w="14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66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554"/>
        </w:trPr>
        <w:tc>
          <w:tcPr>
            <w:tcW w:w="1480" w:type="dxa"/>
            <w:vAlign w:val="bottom"/>
          </w:tcPr>
          <w:p>
            <w:pPr>
              <w:spacing w:after="0"/>
              <w:rPr>
                <w:sz w:val="24"/>
                <w:szCs w:val="24"/>
                <w:color w:val="auto"/>
              </w:rPr>
            </w:pPr>
          </w:p>
        </w:tc>
        <w:tc>
          <w:tcPr>
            <w:tcW w:w="820" w:type="dxa"/>
            <w:vAlign w:val="bottom"/>
          </w:tcPr>
          <w:p>
            <w:pPr>
              <w:ind w:left="240"/>
              <w:spacing w:after="0"/>
              <w:rPr>
                <w:sz w:val="20"/>
                <w:szCs w:val="20"/>
                <w:color w:val="auto"/>
              </w:rPr>
            </w:pPr>
            <w:r>
              <w:rPr>
                <w:rFonts w:ascii="Courier New" w:cs="Courier New" w:eastAsia="Courier New" w:hAnsi="Courier New"/>
                <w:sz w:val="16"/>
                <w:szCs w:val="16"/>
                <w:color w:val="auto"/>
              </w:rPr>
              <w:t>(h)</w:t>
            </w:r>
          </w:p>
        </w:tc>
        <w:tc>
          <w:tcPr>
            <w:tcW w:w="86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Withholding...........................................................................</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15</w:t>
            </w:r>
          </w:p>
        </w:tc>
      </w:tr>
      <w:tr>
        <w:trPr>
          <w:trHeight w:val="370"/>
        </w:trPr>
        <w:tc>
          <w:tcPr>
            <w:tcW w:w="10960" w:type="dxa"/>
            <w:vAlign w:val="bottom"/>
            <w:gridSpan w:val="3"/>
          </w:tcPr>
          <w:p>
            <w:pPr>
              <w:jc w:val="right"/>
              <w:ind w:right="20"/>
              <w:spacing w:after="0"/>
              <w:rPr>
                <w:sz w:val="20"/>
                <w:szCs w:val="20"/>
                <w:color w:val="auto"/>
              </w:rPr>
            </w:pPr>
            <w:r>
              <w:rPr>
                <w:rFonts w:ascii="Courier New" w:cs="Courier New" w:eastAsia="Courier New" w:hAnsi="Courier New"/>
                <w:sz w:val="16"/>
                <w:szCs w:val="16"/>
                <w:color w:val="auto"/>
                <w:w w:val="99"/>
              </w:rPr>
              <w:t>ARTICLE III REPRESENTATIONS AND WARRANTIES.......................................................................</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15</w:t>
            </w:r>
          </w:p>
        </w:tc>
      </w:tr>
      <w:tr>
        <w:trPr>
          <w:trHeight w:val="370"/>
        </w:trPr>
        <w:tc>
          <w:tcPr>
            <w:tcW w:w="148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3.1.</w:t>
            </w:r>
          </w:p>
        </w:tc>
        <w:tc>
          <w:tcPr>
            <w:tcW w:w="948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Representations and Warranties of Morgan.......................................................</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15</w:t>
            </w:r>
          </w:p>
        </w:tc>
      </w:tr>
      <w:tr>
        <w:trPr>
          <w:trHeight w:val="370"/>
        </w:trPr>
        <w:tc>
          <w:tcPr>
            <w:tcW w:w="1480" w:type="dxa"/>
            <w:vAlign w:val="bottom"/>
          </w:tcPr>
          <w:p>
            <w:pPr>
              <w:spacing w:after="0"/>
              <w:rPr>
                <w:sz w:val="24"/>
                <w:szCs w:val="24"/>
                <w:color w:val="auto"/>
              </w:rPr>
            </w:pPr>
          </w:p>
        </w:tc>
        <w:tc>
          <w:tcPr>
            <w:tcW w:w="820" w:type="dxa"/>
            <w:vAlign w:val="bottom"/>
          </w:tcPr>
          <w:p>
            <w:pPr>
              <w:ind w:left="240"/>
              <w:spacing w:after="0"/>
              <w:rPr>
                <w:sz w:val="20"/>
                <w:szCs w:val="20"/>
                <w:color w:val="auto"/>
              </w:rPr>
            </w:pPr>
            <w:r>
              <w:rPr>
                <w:rFonts w:ascii="Courier New" w:cs="Courier New" w:eastAsia="Courier New" w:hAnsi="Courier New"/>
                <w:sz w:val="16"/>
                <w:szCs w:val="16"/>
                <w:color w:val="auto"/>
              </w:rPr>
              <w:t>(a)</w:t>
            </w:r>
          </w:p>
        </w:tc>
        <w:tc>
          <w:tcPr>
            <w:tcW w:w="86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Organization, Standing and Power......................................................</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15</w:t>
            </w:r>
          </w:p>
        </w:tc>
      </w:tr>
      <w:tr>
        <w:trPr>
          <w:trHeight w:val="370"/>
        </w:trPr>
        <w:tc>
          <w:tcPr>
            <w:tcW w:w="1480" w:type="dxa"/>
            <w:vAlign w:val="bottom"/>
          </w:tcPr>
          <w:p>
            <w:pPr>
              <w:spacing w:after="0"/>
              <w:rPr>
                <w:sz w:val="24"/>
                <w:szCs w:val="24"/>
                <w:color w:val="auto"/>
              </w:rPr>
            </w:pPr>
          </w:p>
        </w:tc>
        <w:tc>
          <w:tcPr>
            <w:tcW w:w="820" w:type="dxa"/>
            <w:vAlign w:val="bottom"/>
          </w:tcPr>
          <w:p>
            <w:pPr>
              <w:ind w:left="240"/>
              <w:spacing w:after="0"/>
              <w:rPr>
                <w:sz w:val="20"/>
                <w:szCs w:val="20"/>
                <w:color w:val="auto"/>
              </w:rPr>
            </w:pPr>
            <w:r>
              <w:rPr>
                <w:rFonts w:ascii="Courier New" w:cs="Courier New" w:eastAsia="Courier New" w:hAnsi="Courier New"/>
                <w:sz w:val="16"/>
                <w:szCs w:val="16"/>
                <w:color w:val="auto"/>
              </w:rPr>
              <w:t>(b)</w:t>
            </w:r>
          </w:p>
        </w:tc>
        <w:tc>
          <w:tcPr>
            <w:tcW w:w="86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Capital Structure.....................................................................</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16</w:t>
            </w:r>
          </w:p>
        </w:tc>
      </w:tr>
      <w:tr>
        <w:trPr>
          <w:trHeight w:val="370"/>
        </w:trPr>
        <w:tc>
          <w:tcPr>
            <w:tcW w:w="1480" w:type="dxa"/>
            <w:vAlign w:val="bottom"/>
          </w:tcPr>
          <w:p>
            <w:pPr>
              <w:spacing w:after="0"/>
              <w:rPr>
                <w:sz w:val="24"/>
                <w:szCs w:val="24"/>
                <w:color w:val="auto"/>
              </w:rPr>
            </w:pPr>
          </w:p>
        </w:tc>
        <w:tc>
          <w:tcPr>
            <w:tcW w:w="820" w:type="dxa"/>
            <w:vAlign w:val="bottom"/>
          </w:tcPr>
          <w:p>
            <w:pPr>
              <w:ind w:left="240"/>
              <w:spacing w:after="0"/>
              <w:rPr>
                <w:sz w:val="20"/>
                <w:szCs w:val="20"/>
                <w:color w:val="auto"/>
              </w:rPr>
            </w:pPr>
            <w:r>
              <w:rPr>
                <w:rFonts w:ascii="Courier New" w:cs="Courier New" w:eastAsia="Courier New" w:hAnsi="Courier New"/>
                <w:sz w:val="16"/>
                <w:szCs w:val="16"/>
                <w:color w:val="auto"/>
              </w:rPr>
              <w:t>(c)</w:t>
            </w:r>
          </w:p>
        </w:tc>
        <w:tc>
          <w:tcPr>
            <w:tcW w:w="86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Authority.............................................................................</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17</w:t>
            </w:r>
          </w:p>
        </w:tc>
      </w:tr>
      <w:tr>
        <w:trPr>
          <w:trHeight w:val="370"/>
        </w:trPr>
        <w:tc>
          <w:tcPr>
            <w:tcW w:w="1480" w:type="dxa"/>
            <w:vAlign w:val="bottom"/>
          </w:tcPr>
          <w:p>
            <w:pPr>
              <w:spacing w:after="0"/>
              <w:rPr>
                <w:sz w:val="24"/>
                <w:szCs w:val="24"/>
                <w:color w:val="auto"/>
              </w:rPr>
            </w:pPr>
          </w:p>
        </w:tc>
        <w:tc>
          <w:tcPr>
            <w:tcW w:w="820" w:type="dxa"/>
            <w:vAlign w:val="bottom"/>
          </w:tcPr>
          <w:p>
            <w:pPr>
              <w:ind w:left="240"/>
              <w:spacing w:after="0"/>
              <w:rPr>
                <w:sz w:val="20"/>
                <w:szCs w:val="20"/>
                <w:color w:val="auto"/>
              </w:rPr>
            </w:pPr>
            <w:r>
              <w:rPr>
                <w:rFonts w:ascii="Courier New" w:cs="Courier New" w:eastAsia="Courier New" w:hAnsi="Courier New"/>
                <w:sz w:val="16"/>
                <w:szCs w:val="16"/>
                <w:color w:val="auto"/>
              </w:rPr>
              <w:t>(d)</w:t>
            </w:r>
          </w:p>
        </w:tc>
        <w:tc>
          <w:tcPr>
            <w:tcW w:w="86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SEC Documents; Undisclosed Liabilities................................................</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19</w:t>
            </w:r>
          </w:p>
        </w:tc>
      </w:tr>
      <w:tr>
        <w:trPr>
          <w:trHeight w:val="370"/>
        </w:trPr>
        <w:tc>
          <w:tcPr>
            <w:tcW w:w="1480" w:type="dxa"/>
            <w:vAlign w:val="bottom"/>
          </w:tcPr>
          <w:p>
            <w:pPr>
              <w:spacing w:after="0"/>
              <w:rPr>
                <w:sz w:val="24"/>
                <w:szCs w:val="24"/>
                <w:color w:val="auto"/>
              </w:rPr>
            </w:pPr>
          </w:p>
        </w:tc>
        <w:tc>
          <w:tcPr>
            <w:tcW w:w="820" w:type="dxa"/>
            <w:vAlign w:val="bottom"/>
          </w:tcPr>
          <w:p>
            <w:pPr>
              <w:ind w:left="240"/>
              <w:spacing w:after="0"/>
              <w:rPr>
                <w:sz w:val="20"/>
                <w:szCs w:val="20"/>
                <w:color w:val="auto"/>
              </w:rPr>
            </w:pPr>
            <w:r>
              <w:rPr>
                <w:rFonts w:ascii="Courier New" w:cs="Courier New" w:eastAsia="Courier New" w:hAnsi="Courier New"/>
                <w:sz w:val="16"/>
                <w:szCs w:val="16"/>
                <w:color w:val="auto"/>
              </w:rPr>
              <w:t>(e)</w:t>
            </w:r>
          </w:p>
        </w:tc>
        <w:tc>
          <w:tcPr>
            <w:tcW w:w="86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Information Supplied..................................................................</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19</w:t>
            </w:r>
          </w:p>
        </w:tc>
      </w:tr>
      <w:tr>
        <w:trPr>
          <w:trHeight w:val="370"/>
        </w:trPr>
        <w:tc>
          <w:tcPr>
            <w:tcW w:w="1480" w:type="dxa"/>
            <w:vAlign w:val="bottom"/>
          </w:tcPr>
          <w:p>
            <w:pPr>
              <w:spacing w:after="0"/>
              <w:rPr>
                <w:sz w:val="24"/>
                <w:szCs w:val="24"/>
                <w:color w:val="auto"/>
              </w:rPr>
            </w:pPr>
          </w:p>
        </w:tc>
        <w:tc>
          <w:tcPr>
            <w:tcW w:w="820" w:type="dxa"/>
            <w:vAlign w:val="bottom"/>
          </w:tcPr>
          <w:p>
            <w:pPr>
              <w:ind w:left="240"/>
              <w:spacing w:after="0"/>
              <w:rPr>
                <w:sz w:val="20"/>
                <w:szCs w:val="20"/>
                <w:color w:val="auto"/>
              </w:rPr>
            </w:pPr>
            <w:r>
              <w:rPr>
                <w:rFonts w:ascii="Courier New" w:cs="Courier New" w:eastAsia="Courier New" w:hAnsi="Courier New"/>
                <w:sz w:val="16"/>
                <w:szCs w:val="16"/>
                <w:color w:val="auto"/>
              </w:rPr>
              <w:t>(f)</w:t>
            </w:r>
          </w:p>
        </w:tc>
        <w:tc>
          <w:tcPr>
            <w:tcW w:w="86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Compliance with Applicable Laws.......................................................</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20</w:t>
            </w:r>
          </w:p>
        </w:tc>
      </w:tr>
      <w:tr>
        <w:trPr>
          <w:trHeight w:val="370"/>
        </w:trPr>
        <w:tc>
          <w:tcPr>
            <w:tcW w:w="1480" w:type="dxa"/>
            <w:vAlign w:val="bottom"/>
          </w:tcPr>
          <w:p>
            <w:pPr>
              <w:spacing w:after="0"/>
              <w:rPr>
                <w:sz w:val="24"/>
                <w:szCs w:val="24"/>
                <w:color w:val="auto"/>
              </w:rPr>
            </w:pPr>
          </w:p>
        </w:tc>
        <w:tc>
          <w:tcPr>
            <w:tcW w:w="820" w:type="dxa"/>
            <w:vAlign w:val="bottom"/>
          </w:tcPr>
          <w:p>
            <w:pPr>
              <w:ind w:left="240"/>
              <w:spacing w:after="0"/>
              <w:rPr>
                <w:sz w:val="20"/>
                <w:szCs w:val="20"/>
                <w:color w:val="auto"/>
              </w:rPr>
            </w:pPr>
            <w:r>
              <w:rPr>
                <w:rFonts w:ascii="Courier New" w:cs="Courier New" w:eastAsia="Courier New" w:hAnsi="Courier New"/>
                <w:sz w:val="16"/>
                <w:szCs w:val="16"/>
                <w:color w:val="auto"/>
              </w:rPr>
              <w:t>(g)</w:t>
            </w:r>
          </w:p>
        </w:tc>
        <w:tc>
          <w:tcPr>
            <w:tcW w:w="86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Legal Proceedings.....................................................................</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20</w:t>
            </w:r>
          </w:p>
        </w:tc>
      </w:tr>
      <w:tr>
        <w:trPr>
          <w:trHeight w:val="370"/>
        </w:trPr>
        <w:tc>
          <w:tcPr>
            <w:tcW w:w="1480" w:type="dxa"/>
            <w:vAlign w:val="bottom"/>
          </w:tcPr>
          <w:p>
            <w:pPr>
              <w:spacing w:after="0"/>
              <w:rPr>
                <w:sz w:val="24"/>
                <w:szCs w:val="24"/>
                <w:color w:val="auto"/>
              </w:rPr>
            </w:pPr>
          </w:p>
        </w:tc>
        <w:tc>
          <w:tcPr>
            <w:tcW w:w="820" w:type="dxa"/>
            <w:vAlign w:val="bottom"/>
          </w:tcPr>
          <w:p>
            <w:pPr>
              <w:ind w:left="240"/>
              <w:spacing w:after="0"/>
              <w:rPr>
                <w:sz w:val="20"/>
                <w:szCs w:val="20"/>
                <w:color w:val="auto"/>
              </w:rPr>
            </w:pPr>
            <w:r>
              <w:rPr>
                <w:rFonts w:ascii="Courier New" w:cs="Courier New" w:eastAsia="Courier New" w:hAnsi="Courier New"/>
                <w:sz w:val="16"/>
                <w:szCs w:val="16"/>
                <w:color w:val="auto"/>
              </w:rPr>
              <w:t>(h)</w:t>
            </w:r>
          </w:p>
        </w:tc>
        <w:tc>
          <w:tcPr>
            <w:tcW w:w="86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Taxes.................................................................................</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20</w:t>
            </w:r>
          </w:p>
        </w:tc>
      </w:tr>
      <w:tr>
        <w:trPr>
          <w:trHeight w:val="370"/>
        </w:trPr>
        <w:tc>
          <w:tcPr>
            <w:tcW w:w="1480" w:type="dxa"/>
            <w:vAlign w:val="bottom"/>
          </w:tcPr>
          <w:p>
            <w:pPr>
              <w:spacing w:after="0"/>
              <w:rPr>
                <w:sz w:val="24"/>
                <w:szCs w:val="24"/>
                <w:color w:val="auto"/>
              </w:rPr>
            </w:pPr>
          </w:p>
        </w:tc>
        <w:tc>
          <w:tcPr>
            <w:tcW w:w="820" w:type="dxa"/>
            <w:vAlign w:val="bottom"/>
          </w:tcPr>
          <w:p>
            <w:pPr>
              <w:ind w:left="240"/>
              <w:spacing w:after="0"/>
              <w:rPr>
                <w:sz w:val="20"/>
                <w:szCs w:val="20"/>
                <w:color w:val="auto"/>
              </w:rPr>
            </w:pPr>
            <w:r>
              <w:rPr>
                <w:rFonts w:ascii="Courier New" w:cs="Courier New" w:eastAsia="Courier New" w:hAnsi="Courier New"/>
                <w:sz w:val="16"/>
                <w:szCs w:val="16"/>
                <w:color w:val="auto"/>
              </w:rPr>
              <w:t>(i)</w:t>
            </w:r>
          </w:p>
        </w:tc>
        <w:tc>
          <w:tcPr>
            <w:tcW w:w="86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Certain Agreements....................................................................</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21</w:t>
            </w:r>
          </w:p>
        </w:tc>
      </w:tr>
      <w:tr>
        <w:trPr>
          <w:trHeight w:val="370"/>
        </w:trPr>
        <w:tc>
          <w:tcPr>
            <w:tcW w:w="1480" w:type="dxa"/>
            <w:vAlign w:val="bottom"/>
          </w:tcPr>
          <w:p>
            <w:pPr>
              <w:spacing w:after="0"/>
              <w:rPr>
                <w:sz w:val="24"/>
                <w:szCs w:val="24"/>
                <w:color w:val="auto"/>
              </w:rPr>
            </w:pPr>
          </w:p>
        </w:tc>
        <w:tc>
          <w:tcPr>
            <w:tcW w:w="820" w:type="dxa"/>
            <w:vAlign w:val="bottom"/>
          </w:tcPr>
          <w:p>
            <w:pPr>
              <w:ind w:left="240"/>
              <w:spacing w:after="0"/>
              <w:rPr>
                <w:sz w:val="20"/>
                <w:szCs w:val="20"/>
                <w:color w:val="auto"/>
              </w:rPr>
            </w:pPr>
            <w:r>
              <w:rPr>
                <w:rFonts w:ascii="Courier New" w:cs="Courier New" w:eastAsia="Courier New" w:hAnsi="Courier New"/>
                <w:sz w:val="16"/>
                <w:szCs w:val="16"/>
                <w:color w:val="auto"/>
              </w:rPr>
              <w:t>(j)</w:t>
            </w:r>
          </w:p>
        </w:tc>
        <w:tc>
          <w:tcPr>
            <w:tcW w:w="86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Benefit Plans.........................................................................</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21</w:t>
            </w:r>
          </w:p>
        </w:tc>
      </w:tr>
      <w:tr>
        <w:trPr>
          <w:trHeight w:val="370"/>
        </w:trPr>
        <w:tc>
          <w:tcPr>
            <w:tcW w:w="1480" w:type="dxa"/>
            <w:vAlign w:val="bottom"/>
          </w:tcPr>
          <w:p>
            <w:pPr>
              <w:spacing w:after="0"/>
              <w:rPr>
                <w:sz w:val="24"/>
                <w:szCs w:val="24"/>
                <w:color w:val="auto"/>
              </w:rPr>
            </w:pPr>
          </w:p>
        </w:tc>
        <w:tc>
          <w:tcPr>
            <w:tcW w:w="820" w:type="dxa"/>
            <w:vAlign w:val="bottom"/>
          </w:tcPr>
          <w:p>
            <w:pPr>
              <w:ind w:left="240"/>
              <w:spacing w:after="0"/>
              <w:rPr>
                <w:sz w:val="20"/>
                <w:szCs w:val="20"/>
                <w:color w:val="auto"/>
              </w:rPr>
            </w:pPr>
            <w:r>
              <w:rPr>
                <w:rFonts w:ascii="Courier New" w:cs="Courier New" w:eastAsia="Courier New" w:hAnsi="Courier New"/>
                <w:sz w:val="16"/>
                <w:szCs w:val="16"/>
                <w:color w:val="auto"/>
              </w:rPr>
              <w:t>(k)</w:t>
            </w:r>
          </w:p>
        </w:tc>
        <w:tc>
          <w:tcPr>
            <w:tcW w:w="86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Subsidiaries..........................................................................</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22</w:t>
            </w:r>
          </w:p>
        </w:tc>
      </w:tr>
      <w:tr>
        <w:trPr>
          <w:trHeight w:val="370"/>
        </w:trPr>
        <w:tc>
          <w:tcPr>
            <w:tcW w:w="1480" w:type="dxa"/>
            <w:vAlign w:val="bottom"/>
          </w:tcPr>
          <w:p>
            <w:pPr>
              <w:spacing w:after="0"/>
              <w:rPr>
                <w:sz w:val="24"/>
                <w:szCs w:val="24"/>
                <w:color w:val="auto"/>
              </w:rPr>
            </w:pPr>
          </w:p>
        </w:tc>
        <w:tc>
          <w:tcPr>
            <w:tcW w:w="820" w:type="dxa"/>
            <w:vAlign w:val="bottom"/>
          </w:tcPr>
          <w:p>
            <w:pPr>
              <w:ind w:left="240"/>
              <w:spacing w:after="0"/>
              <w:rPr>
                <w:sz w:val="20"/>
                <w:szCs w:val="20"/>
                <w:color w:val="auto"/>
              </w:rPr>
            </w:pPr>
            <w:r>
              <w:rPr>
                <w:rFonts w:ascii="Courier New" w:cs="Courier New" w:eastAsia="Courier New" w:hAnsi="Courier New"/>
                <w:sz w:val="16"/>
                <w:szCs w:val="16"/>
                <w:color w:val="auto"/>
              </w:rPr>
              <w:t>(l)</w:t>
            </w:r>
          </w:p>
        </w:tc>
        <w:tc>
          <w:tcPr>
            <w:tcW w:w="86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Agreements with Regulators............................................................</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22</w:t>
            </w:r>
          </w:p>
        </w:tc>
      </w:tr>
      <w:tr>
        <w:trPr>
          <w:trHeight w:val="370"/>
        </w:trPr>
        <w:tc>
          <w:tcPr>
            <w:tcW w:w="1480" w:type="dxa"/>
            <w:vAlign w:val="bottom"/>
          </w:tcPr>
          <w:p>
            <w:pPr>
              <w:spacing w:after="0"/>
              <w:rPr>
                <w:sz w:val="24"/>
                <w:szCs w:val="24"/>
                <w:color w:val="auto"/>
              </w:rPr>
            </w:pPr>
          </w:p>
        </w:tc>
        <w:tc>
          <w:tcPr>
            <w:tcW w:w="820" w:type="dxa"/>
            <w:vAlign w:val="bottom"/>
          </w:tcPr>
          <w:p>
            <w:pPr>
              <w:ind w:left="240"/>
              <w:spacing w:after="0"/>
              <w:rPr>
                <w:sz w:val="20"/>
                <w:szCs w:val="20"/>
                <w:color w:val="auto"/>
              </w:rPr>
            </w:pPr>
            <w:r>
              <w:rPr>
                <w:rFonts w:ascii="Courier New" w:cs="Courier New" w:eastAsia="Courier New" w:hAnsi="Courier New"/>
                <w:sz w:val="16"/>
                <w:szCs w:val="16"/>
                <w:color w:val="auto"/>
              </w:rPr>
              <w:t>(m)</w:t>
            </w:r>
          </w:p>
        </w:tc>
        <w:tc>
          <w:tcPr>
            <w:tcW w:w="86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Absence of Certain Changes or Events..................................................</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22</w:t>
            </w:r>
          </w:p>
        </w:tc>
      </w:tr>
      <w:tr>
        <w:trPr>
          <w:trHeight w:val="370"/>
        </w:trPr>
        <w:tc>
          <w:tcPr>
            <w:tcW w:w="1480" w:type="dxa"/>
            <w:vAlign w:val="bottom"/>
          </w:tcPr>
          <w:p>
            <w:pPr>
              <w:spacing w:after="0"/>
              <w:rPr>
                <w:sz w:val="24"/>
                <w:szCs w:val="24"/>
                <w:color w:val="auto"/>
              </w:rPr>
            </w:pPr>
          </w:p>
        </w:tc>
        <w:tc>
          <w:tcPr>
            <w:tcW w:w="820" w:type="dxa"/>
            <w:vAlign w:val="bottom"/>
          </w:tcPr>
          <w:p>
            <w:pPr>
              <w:ind w:left="240"/>
              <w:spacing w:after="0"/>
              <w:rPr>
                <w:sz w:val="20"/>
                <w:szCs w:val="20"/>
                <w:color w:val="auto"/>
              </w:rPr>
            </w:pPr>
            <w:r>
              <w:rPr>
                <w:rFonts w:ascii="Courier New" w:cs="Courier New" w:eastAsia="Courier New" w:hAnsi="Courier New"/>
                <w:sz w:val="16"/>
                <w:szCs w:val="16"/>
                <w:color w:val="auto"/>
              </w:rPr>
              <w:t>(n)</w:t>
            </w:r>
          </w:p>
        </w:tc>
        <w:tc>
          <w:tcPr>
            <w:tcW w:w="86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Board Approval........................................................................</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23</w:t>
            </w:r>
          </w:p>
        </w:tc>
      </w:tr>
      <w:tr>
        <w:trPr>
          <w:trHeight w:val="370"/>
        </w:trPr>
        <w:tc>
          <w:tcPr>
            <w:tcW w:w="1480" w:type="dxa"/>
            <w:vAlign w:val="bottom"/>
          </w:tcPr>
          <w:p>
            <w:pPr>
              <w:spacing w:after="0"/>
              <w:rPr>
                <w:sz w:val="24"/>
                <w:szCs w:val="24"/>
                <w:color w:val="auto"/>
              </w:rPr>
            </w:pPr>
          </w:p>
        </w:tc>
        <w:tc>
          <w:tcPr>
            <w:tcW w:w="820" w:type="dxa"/>
            <w:vAlign w:val="bottom"/>
          </w:tcPr>
          <w:p>
            <w:pPr>
              <w:ind w:left="240"/>
              <w:spacing w:after="0"/>
              <w:rPr>
                <w:sz w:val="20"/>
                <w:szCs w:val="20"/>
                <w:color w:val="auto"/>
              </w:rPr>
            </w:pPr>
            <w:r>
              <w:rPr>
                <w:rFonts w:ascii="Courier New" w:cs="Courier New" w:eastAsia="Courier New" w:hAnsi="Courier New"/>
                <w:sz w:val="16"/>
                <w:szCs w:val="16"/>
                <w:color w:val="auto"/>
              </w:rPr>
              <w:t>(o)</w:t>
            </w:r>
          </w:p>
        </w:tc>
        <w:tc>
          <w:tcPr>
            <w:tcW w:w="86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Vote Required.........................................................................</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23</w:t>
            </w:r>
          </w:p>
        </w:tc>
      </w:tr>
      <w:tr>
        <w:trPr>
          <w:trHeight w:val="370"/>
        </w:trPr>
        <w:tc>
          <w:tcPr>
            <w:tcW w:w="1480" w:type="dxa"/>
            <w:vAlign w:val="bottom"/>
          </w:tcPr>
          <w:p>
            <w:pPr>
              <w:spacing w:after="0"/>
              <w:rPr>
                <w:sz w:val="24"/>
                <w:szCs w:val="24"/>
                <w:color w:val="auto"/>
              </w:rPr>
            </w:pPr>
          </w:p>
        </w:tc>
        <w:tc>
          <w:tcPr>
            <w:tcW w:w="820" w:type="dxa"/>
            <w:vAlign w:val="bottom"/>
          </w:tcPr>
          <w:p>
            <w:pPr>
              <w:ind w:left="240"/>
              <w:spacing w:after="0"/>
              <w:rPr>
                <w:sz w:val="20"/>
                <w:szCs w:val="20"/>
                <w:color w:val="auto"/>
              </w:rPr>
            </w:pPr>
            <w:r>
              <w:rPr>
                <w:rFonts w:ascii="Courier New" w:cs="Courier New" w:eastAsia="Courier New" w:hAnsi="Courier New"/>
                <w:sz w:val="16"/>
                <w:szCs w:val="16"/>
                <w:color w:val="auto"/>
              </w:rPr>
              <w:t>(p)</w:t>
            </w:r>
          </w:p>
        </w:tc>
        <w:tc>
          <w:tcPr>
            <w:tcW w:w="86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Accounting Matters....................................................................</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23</w:t>
            </w:r>
          </w:p>
        </w:tc>
      </w:tr>
      <w:tr>
        <w:trPr>
          <w:trHeight w:val="370"/>
        </w:trPr>
        <w:tc>
          <w:tcPr>
            <w:tcW w:w="1480" w:type="dxa"/>
            <w:vAlign w:val="bottom"/>
          </w:tcPr>
          <w:p>
            <w:pPr>
              <w:spacing w:after="0"/>
              <w:rPr>
                <w:sz w:val="24"/>
                <w:szCs w:val="24"/>
                <w:color w:val="auto"/>
              </w:rPr>
            </w:pPr>
          </w:p>
        </w:tc>
        <w:tc>
          <w:tcPr>
            <w:tcW w:w="820" w:type="dxa"/>
            <w:vAlign w:val="bottom"/>
          </w:tcPr>
          <w:p>
            <w:pPr>
              <w:ind w:left="240"/>
              <w:spacing w:after="0"/>
              <w:rPr>
                <w:sz w:val="20"/>
                <w:szCs w:val="20"/>
                <w:color w:val="auto"/>
              </w:rPr>
            </w:pPr>
            <w:r>
              <w:rPr>
                <w:rFonts w:ascii="Courier New" w:cs="Courier New" w:eastAsia="Courier New" w:hAnsi="Courier New"/>
                <w:sz w:val="16"/>
                <w:szCs w:val="16"/>
                <w:color w:val="auto"/>
              </w:rPr>
              <w:t>(q)</w:t>
            </w:r>
          </w:p>
        </w:tc>
        <w:tc>
          <w:tcPr>
            <w:tcW w:w="86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Properties............................................................................</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23</w:t>
            </w:r>
          </w:p>
        </w:tc>
      </w:tr>
      <w:tr>
        <w:trPr>
          <w:trHeight w:val="370"/>
        </w:trPr>
        <w:tc>
          <w:tcPr>
            <w:tcW w:w="1480" w:type="dxa"/>
            <w:vAlign w:val="bottom"/>
          </w:tcPr>
          <w:p>
            <w:pPr>
              <w:spacing w:after="0"/>
              <w:rPr>
                <w:sz w:val="24"/>
                <w:szCs w:val="24"/>
                <w:color w:val="auto"/>
              </w:rPr>
            </w:pPr>
          </w:p>
        </w:tc>
        <w:tc>
          <w:tcPr>
            <w:tcW w:w="820" w:type="dxa"/>
            <w:vAlign w:val="bottom"/>
          </w:tcPr>
          <w:p>
            <w:pPr>
              <w:ind w:left="240"/>
              <w:spacing w:after="0"/>
              <w:rPr>
                <w:sz w:val="20"/>
                <w:szCs w:val="20"/>
                <w:color w:val="auto"/>
              </w:rPr>
            </w:pPr>
            <w:r>
              <w:rPr>
                <w:rFonts w:ascii="Courier New" w:cs="Courier New" w:eastAsia="Courier New" w:hAnsi="Courier New"/>
                <w:sz w:val="16"/>
                <w:szCs w:val="16"/>
                <w:color w:val="auto"/>
              </w:rPr>
              <w:t>(r)</w:t>
            </w:r>
          </w:p>
        </w:tc>
        <w:tc>
          <w:tcPr>
            <w:tcW w:w="86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Interest Rate Risk Management Instruments.............................................</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23</w:t>
            </w:r>
          </w:p>
        </w:tc>
      </w:tr>
      <w:tr>
        <w:trPr>
          <w:trHeight w:val="370"/>
        </w:trPr>
        <w:tc>
          <w:tcPr>
            <w:tcW w:w="1480" w:type="dxa"/>
            <w:vAlign w:val="bottom"/>
          </w:tcPr>
          <w:p>
            <w:pPr>
              <w:spacing w:after="0"/>
              <w:rPr>
                <w:sz w:val="24"/>
                <w:szCs w:val="24"/>
                <w:color w:val="auto"/>
              </w:rPr>
            </w:pPr>
          </w:p>
        </w:tc>
        <w:tc>
          <w:tcPr>
            <w:tcW w:w="820" w:type="dxa"/>
            <w:vAlign w:val="bottom"/>
          </w:tcPr>
          <w:p>
            <w:pPr>
              <w:ind w:left="240"/>
              <w:spacing w:after="0"/>
              <w:rPr>
                <w:sz w:val="20"/>
                <w:szCs w:val="20"/>
                <w:color w:val="auto"/>
              </w:rPr>
            </w:pPr>
            <w:r>
              <w:rPr>
                <w:rFonts w:ascii="Courier New" w:cs="Courier New" w:eastAsia="Courier New" w:hAnsi="Courier New"/>
                <w:sz w:val="16"/>
                <w:szCs w:val="16"/>
                <w:color w:val="auto"/>
              </w:rPr>
              <w:t>(s)</w:t>
            </w:r>
          </w:p>
        </w:tc>
        <w:tc>
          <w:tcPr>
            <w:tcW w:w="86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Intellectual Property.................................................................</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24</w:t>
            </w:r>
          </w:p>
        </w:tc>
      </w:tr>
      <w:tr>
        <w:trPr>
          <w:trHeight w:val="370"/>
        </w:trPr>
        <w:tc>
          <w:tcPr>
            <w:tcW w:w="1480" w:type="dxa"/>
            <w:vAlign w:val="bottom"/>
          </w:tcPr>
          <w:p>
            <w:pPr>
              <w:spacing w:after="0"/>
              <w:rPr>
                <w:sz w:val="24"/>
                <w:szCs w:val="24"/>
                <w:color w:val="auto"/>
              </w:rPr>
            </w:pPr>
          </w:p>
        </w:tc>
        <w:tc>
          <w:tcPr>
            <w:tcW w:w="820" w:type="dxa"/>
            <w:vAlign w:val="bottom"/>
          </w:tcPr>
          <w:p>
            <w:pPr>
              <w:ind w:left="240"/>
              <w:spacing w:after="0"/>
              <w:rPr>
                <w:sz w:val="20"/>
                <w:szCs w:val="20"/>
                <w:color w:val="auto"/>
              </w:rPr>
            </w:pPr>
            <w:r>
              <w:rPr>
                <w:rFonts w:ascii="Courier New" w:cs="Courier New" w:eastAsia="Courier New" w:hAnsi="Courier New"/>
                <w:sz w:val="16"/>
                <w:szCs w:val="16"/>
                <w:color w:val="auto"/>
              </w:rPr>
              <w:t>(t)</w:t>
            </w:r>
          </w:p>
        </w:tc>
        <w:tc>
          <w:tcPr>
            <w:tcW w:w="86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Brokers or Finders....................................................................</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24</w:t>
            </w:r>
          </w:p>
        </w:tc>
      </w:tr>
      <w:tr>
        <w:trPr>
          <w:trHeight w:val="370"/>
        </w:trPr>
        <w:tc>
          <w:tcPr>
            <w:tcW w:w="1480" w:type="dxa"/>
            <w:vAlign w:val="bottom"/>
          </w:tcPr>
          <w:p>
            <w:pPr>
              <w:spacing w:after="0"/>
              <w:rPr>
                <w:sz w:val="24"/>
                <w:szCs w:val="24"/>
                <w:color w:val="auto"/>
              </w:rPr>
            </w:pPr>
          </w:p>
        </w:tc>
        <w:tc>
          <w:tcPr>
            <w:tcW w:w="820" w:type="dxa"/>
            <w:vAlign w:val="bottom"/>
          </w:tcPr>
          <w:p>
            <w:pPr>
              <w:ind w:left="240"/>
              <w:spacing w:after="0"/>
              <w:rPr>
                <w:sz w:val="20"/>
                <w:szCs w:val="20"/>
                <w:color w:val="auto"/>
              </w:rPr>
            </w:pPr>
            <w:r>
              <w:rPr>
                <w:rFonts w:ascii="Courier New" w:cs="Courier New" w:eastAsia="Courier New" w:hAnsi="Courier New"/>
                <w:sz w:val="16"/>
                <w:szCs w:val="16"/>
                <w:color w:val="auto"/>
              </w:rPr>
              <w:t>(u)</w:t>
            </w:r>
          </w:p>
        </w:tc>
        <w:tc>
          <w:tcPr>
            <w:tcW w:w="86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Opinion of Morgan Financial Advisor...................................................</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24</w:t>
            </w:r>
          </w:p>
        </w:tc>
      </w:tr>
      <w:tr>
        <w:trPr>
          <w:trHeight w:val="370"/>
        </w:trPr>
        <w:tc>
          <w:tcPr>
            <w:tcW w:w="148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3.2.</w:t>
            </w:r>
          </w:p>
        </w:tc>
        <w:tc>
          <w:tcPr>
            <w:tcW w:w="948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Representations and Warranties of Chase........................................................</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24</w:t>
            </w:r>
          </w:p>
        </w:tc>
      </w:tr>
    </w:tbl>
    <w:p>
      <w:pPr>
        <w:sectPr>
          <w:pgSz w:w="11900" w:h="16838" w:orient="portrait"/>
          <w:cols w:equalWidth="0" w:num="1">
            <w:col w:w="11440"/>
          </w:cols>
          <w:pgMar w:left="240" w:top="300" w:right="219" w:bottom="144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480" w:type="dxa"/>
            <w:vAlign w:val="bottom"/>
          </w:tcPr>
          <w:p>
            <w:pPr>
              <w:jc w:val="right"/>
              <w:ind w:right="1020"/>
              <w:spacing w:after="0"/>
              <w:rPr>
                <w:sz w:val="20"/>
                <w:szCs w:val="20"/>
                <w:color w:val="auto"/>
              </w:rPr>
            </w:pPr>
            <w:r>
              <w:rPr>
                <w:rFonts w:ascii="Courier New" w:cs="Courier New" w:eastAsia="Courier New" w:hAnsi="Courier New"/>
                <w:sz w:val="16"/>
                <w:szCs w:val="16"/>
                <w:color w:val="auto"/>
              </w:rPr>
              <w:t>4</w:t>
            </w:r>
          </w:p>
        </w:tc>
        <w:tc>
          <w:tcPr>
            <w:tcW w:w="820" w:type="dxa"/>
            <w:vAlign w:val="bottom"/>
          </w:tcPr>
          <w:p>
            <w:pPr>
              <w:spacing w:after="0"/>
              <w:rPr>
                <w:sz w:val="15"/>
                <w:szCs w:val="15"/>
                <w:color w:val="auto"/>
              </w:rPr>
            </w:pPr>
          </w:p>
        </w:tc>
        <w:tc>
          <w:tcPr>
            <w:tcW w:w="8660" w:type="dxa"/>
            <w:vAlign w:val="bottom"/>
          </w:tcPr>
          <w:p>
            <w:pPr>
              <w:spacing w:after="0"/>
              <w:rPr>
                <w:sz w:val="15"/>
                <w:szCs w:val="15"/>
                <w:color w:val="auto"/>
              </w:rPr>
            </w:pPr>
          </w:p>
        </w:tc>
        <w:tc>
          <w:tcPr>
            <w:tcW w:w="480" w:type="dxa"/>
            <w:vAlign w:val="bottom"/>
          </w:tcPr>
          <w:p>
            <w:pPr>
              <w:spacing w:after="0"/>
              <w:rPr>
                <w:sz w:val="15"/>
                <w:szCs w:val="15"/>
                <w:color w:val="auto"/>
              </w:rPr>
            </w:pPr>
          </w:p>
        </w:tc>
      </w:tr>
      <w:tr>
        <w:trPr>
          <w:trHeight w:val="739"/>
        </w:trPr>
        <w:tc>
          <w:tcPr>
            <w:tcW w:w="1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66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Page</w:t>
            </w:r>
          </w:p>
        </w:tc>
      </w:tr>
      <w:tr>
        <w:trPr>
          <w:trHeight w:val="185"/>
        </w:trPr>
        <w:tc>
          <w:tcPr>
            <w:tcW w:w="14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66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554"/>
        </w:trPr>
        <w:tc>
          <w:tcPr>
            <w:tcW w:w="1480" w:type="dxa"/>
            <w:vAlign w:val="bottom"/>
          </w:tcPr>
          <w:p>
            <w:pPr>
              <w:spacing w:after="0"/>
              <w:rPr>
                <w:sz w:val="24"/>
                <w:szCs w:val="24"/>
                <w:color w:val="auto"/>
              </w:rPr>
            </w:pPr>
          </w:p>
        </w:tc>
        <w:tc>
          <w:tcPr>
            <w:tcW w:w="820" w:type="dxa"/>
            <w:vAlign w:val="bottom"/>
          </w:tcPr>
          <w:p>
            <w:pPr>
              <w:ind w:left="240"/>
              <w:spacing w:after="0"/>
              <w:rPr>
                <w:sz w:val="20"/>
                <w:szCs w:val="20"/>
                <w:color w:val="auto"/>
              </w:rPr>
            </w:pPr>
            <w:r>
              <w:rPr>
                <w:rFonts w:ascii="Courier New" w:cs="Courier New" w:eastAsia="Courier New" w:hAnsi="Courier New"/>
                <w:sz w:val="16"/>
                <w:szCs w:val="16"/>
                <w:color w:val="auto"/>
              </w:rPr>
              <w:t>(a)</w:t>
            </w:r>
          </w:p>
        </w:tc>
        <w:tc>
          <w:tcPr>
            <w:tcW w:w="86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Organization, Standing and Power......................................................</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24</w:t>
            </w:r>
          </w:p>
        </w:tc>
      </w:tr>
      <w:tr>
        <w:trPr>
          <w:trHeight w:val="370"/>
        </w:trPr>
        <w:tc>
          <w:tcPr>
            <w:tcW w:w="1480" w:type="dxa"/>
            <w:vAlign w:val="bottom"/>
          </w:tcPr>
          <w:p>
            <w:pPr>
              <w:spacing w:after="0"/>
              <w:rPr>
                <w:sz w:val="24"/>
                <w:szCs w:val="24"/>
                <w:color w:val="auto"/>
              </w:rPr>
            </w:pPr>
          </w:p>
        </w:tc>
        <w:tc>
          <w:tcPr>
            <w:tcW w:w="820" w:type="dxa"/>
            <w:vAlign w:val="bottom"/>
          </w:tcPr>
          <w:p>
            <w:pPr>
              <w:ind w:left="240"/>
              <w:spacing w:after="0"/>
              <w:rPr>
                <w:sz w:val="20"/>
                <w:szCs w:val="20"/>
                <w:color w:val="auto"/>
              </w:rPr>
            </w:pPr>
            <w:r>
              <w:rPr>
                <w:rFonts w:ascii="Courier New" w:cs="Courier New" w:eastAsia="Courier New" w:hAnsi="Courier New"/>
                <w:sz w:val="16"/>
                <w:szCs w:val="16"/>
                <w:color w:val="auto"/>
              </w:rPr>
              <w:t>(b)</w:t>
            </w:r>
          </w:p>
        </w:tc>
        <w:tc>
          <w:tcPr>
            <w:tcW w:w="86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Capital Structure.....................................................................</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25</w:t>
            </w:r>
          </w:p>
        </w:tc>
      </w:tr>
      <w:tr>
        <w:trPr>
          <w:trHeight w:val="370"/>
        </w:trPr>
        <w:tc>
          <w:tcPr>
            <w:tcW w:w="1480" w:type="dxa"/>
            <w:vAlign w:val="bottom"/>
          </w:tcPr>
          <w:p>
            <w:pPr>
              <w:spacing w:after="0"/>
              <w:rPr>
                <w:sz w:val="24"/>
                <w:szCs w:val="24"/>
                <w:color w:val="auto"/>
              </w:rPr>
            </w:pPr>
          </w:p>
        </w:tc>
        <w:tc>
          <w:tcPr>
            <w:tcW w:w="820" w:type="dxa"/>
            <w:vAlign w:val="bottom"/>
          </w:tcPr>
          <w:p>
            <w:pPr>
              <w:ind w:left="240"/>
              <w:spacing w:after="0"/>
              <w:rPr>
                <w:sz w:val="20"/>
                <w:szCs w:val="20"/>
                <w:color w:val="auto"/>
              </w:rPr>
            </w:pPr>
            <w:r>
              <w:rPr>
                <w:rFonts w:ascii="Courier New" w:cs="Courier New" w:eastAsia="Courier New" w:hAnsi="Courier New"/>
                <w:sz w:val="16"/>
                <w:szCs w:val="16"/>
                <w:color w:val="auto"/>
              </w:rPr>
              <w:t>(c)</w:t>
            </w:r>
          </w:p>
        </w:tc>
        <w:tc>
          <w:tcPr>
            <w:tcW w:w="86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Authority.............................................................................</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26</w:t>
            </w:r>
          </w:p>
        </w:tc>
      </w:tr>
      <w:tr>
        <w:trPr>
          <w:trHeight w:val="370"/>
        </w:trPr>
        <w:tc>
          <w:tcPr>
            <w:tcW w:w="1480" w:type="dxa"/>
            <w:vAlign w:val="bottom"/>
          </w:tcPr>
          <w:p>
            <w:pPr>
              <w:spacing w:after="0"/>
              <w:rPr>
                <w:sz w:val="24"/>
                <w:szCs w:val="24"/>
                <w:color w:val="auto"/>
              </w:rPr>
            </w:pPr>
          </w:p>
        </w:tc>
        <w:tc>
          <w:tcPr>
            <w:tcW w:w="820" w:type="dxa"/>
            <w:vAlign w:val="bottom"/>
          </w:tcPr>
          <w:p>
            <w:pPr>
              <w:ind w:left="240"/>
              <w:spacing w:after="0"/>
              <w:rPr>
                <w:sz w:val="20"/>
                <w:szCs w:val="20"/>
                <w:color w:val="auto"/>
              </w:rPr>
            </w:pPr>
            <w:r>
              <w:rPr>
                <w:rFonts w:ascii="Courier New" w:cs="Courier New" w:eastAsia="Courier New" w:hAnsi="Courier New"/>
                <w:sz w:val="16"/>
                <w:szCs w:val="16"/>
                <w:color w:val="auto"/>
              </w:rPr>
              <w:t>(d)</w:t>
            </w:r>
          </w:p>
        </w:tc>
        <w:tc>
          <w:tcPr>
            <w:tcW w:w="86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SEC Documents; Undisclosed Liabilities................................................</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27</w:t>
            </w:r>
          </w:p>
        </w:tc>
      </w:tr>
      <w:tr>
        <w:trPr>
          <w:trHeight w:val="370"/>
        </w:trPr>
        <w:tc>
          <w:tcPr>
            <w:tcW w:w="1480" w:type="dxa"/>
            <w:vAlign w:val="bottom"/>
          </w:tcPr>
          <w:p>
            <w:pPr>
              <w:spacing w:after="0"/>
              <w:rPr>
                <w:sz w:val="24"/>
                <w:szCs w:val="24"/>
                <w:color w:val="auto"/>
              </w:rPr>
            </w:pPr>
          </w:p>
        </w:tc>
        <w:tc>
          <w:tcPr>
            <w:tcW w:w="820" w:type="dxa"/>
            <w:vAlign w:val="bottom"/>
          </w:tcPr>
          <w:p>
            <w:pPr>
              <w:ind w:left="240"/>
              <w:spacing w:after="0"/>
              <w:rPr>
                <w:sz w:val="20"/>
                <w:szCs w:val="20"/>
                <w:color w:val="auto"/>
              </w:rPr>
            </w:pPr>
            <w:r>
              <w:rPr>
                <w:rFonts w:ascii="Courier New" w:cs="Courier New" w:eastAsia="Courier New" w:hAnsi="Courier New"/>
                <w:sz w:val="16"/>
                <w:szCs w:val="16"/>
                <w:color w:val="auto"/>
              </w:rPr>
              <w:t>(e)</w:t>
            </w:r>
          </w:p>
        </w:tc>
        <w:tc>
          <w:tcPr>
            <w:tcW w:w="86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Information Supplied..................................................................</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28</w:t>
            </w:r>
          </w:p>
        </w:tc>
      </w:tr>
      <w:tr>
        <w:trPr>
          <w:trHeight w:val="370"/>
        </w:trPr>
        <w:tc>
          <w:tcPr>
            <w:tcW w:w="1480" w:type="dxa"/>
            <w:vAlign w:val="bottom"/>
          </w:tcPr>
          <w:p>
            <w:pPr>
              <w:spacing w:after="0"/>
              <w:rPr>
                <w:sz w:val="24"/>
                <w:szCs w:val="24"/>
                <w:color w:val="auto"/>
              </w:rPr>
            </w:pPr>
          </w:p>
        </w:tc>
        <w:tc>
          <w:tcPr>
            <w:tcW w:w="820" w:type="dxa"/>
            <w:vAlign w:val="bottom"/>
          </w:tcPr>
          <w:p>
            <w:pPr>
              <w:ind w:left="240"/>
              <w:spacing w:after="0"/>
              <w:rPr>
                <w:sz w:val="20"/>
                <w:szCs w:val="20"/>
                <w:color w:val="auto"/>
              </w:rPr>
            </w:pPr>
            <w:r>
              <w:rPr>
                <w:rFonts w:ascii="Courier New" w:cs="Courier New" w:eastAsia="Courier New" w:hAnsi="Courier New"/>
                <w:sz w:val="16"/>
                <w:szCs w:val="16"/>
                <w:color w:val="auto"/>
              </w:rPr>
              <w:t>(f)</w:t>
            </w:r>
          </w:p>
        </w:tc>
        <w:tc>
          <w:tcPr>
            <w:tcW w:w="86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Compliance with Applicable Laws.......................................................</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28</w:t>
            </w:r>
          </w:p>
        </w:tc>
      </w:tr>
      <w:tr>
        <w:trPr>
          <w:trHeight w:val="370"/>
        </w:trPr>
        <w:tc>
          <w:tcPr>
            <w:tcW w:w="1480" w:type="dxa"/>
            <w:vAlign w:val="bottom"/>
          </w:tcPr>
          <w:p>
            <w:pPr>
              <w:spacing w:after="0"/>
              <w:rPr>
                <w:sz w:val="24"/>
                <w:szCs w:val="24"/>
                <w:color w:val="auto"/>
              </w:rPr>
            </w:pPr>
          </w:p>
        </w:tc>
        <w:tc>
          <w:tcPr>
            <w:tcW w:w="820" w:type="dxa"/>
            <w:vAlign w:val="bottom"/>
          </w:tcPr>
          <w:p>
            <w:pPr>
              <w:ind w:left="240"/>
              <w:spacing w:after="0"/>
              <w:rPr>
                <w:sz w:val="20"/>
                <w:szCs w:val="20"/>
                <w:color w:val="auto"/>
              </w:rPr>
            </w:pPr>
            <w:r>
              <w:rPr>
                <w:rFonts w:ascii="Courier New" w:cs="Courier New" w:eastAsia="Courier New" w:hAnsi="Courier New"/>
                <w:sz w:val="16"/>
                <w:szCs w:val="16"/>
                <w:color w:val="auto"/>
              </w:rPr>
              <w:t>(g)</w:t>
            </w:r>
          </w:p>
        </w:tc>
        <w:tc>
          <w:tcPr>
            <w:tcW w:w="86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Legal Proceedings.....................................................................</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29</w:t>
            </w:r>
          </w:p>
        </w:tc>
      </w:tr>
      <w:tr>
        <w:trPr>
          <w:trHeight w:val="370"/>
        </w:trPr>
        <w:tc>
          <w:tcPr>
            <w:tcW w:w="1480" w:type="dxa"/>
            <w:vAlign w:val="bottom"/>
          </w:tcPr>
          <w:p>
            <w:pPr>
              <w:spacing w:after="0"/>
              <w:rPr>
                <w:sz w:val="24"/>
                <w:szCs w:val="24"/>
                <w:color w:val="auto"/>
              </w:rPr>
            </w:pPr>
          </w:p>
        </w:tc>
        <w:tc>
          <w:tcPr>
            <w:tcW w:w="820" w:type="dxa"/>
            <w:vAlign w:val="bottom"/>
          </w:tcPr>
          <w:p>
            <w:pPr>
              <w:ind w:left="240"/>
              <w:spacing w:after="0"/>
              <w:rPr>
                <w:sz w:val="20"/>
                <w:szCs w:val="20"/>
                <w:color w:val="auto"/>
              </w:rPr>
            </w:pPr>
            <w:r>
              <w:rPr>
                <w:rFonts w:ascii="Courier New" w:cs="Courier New" w:eastAsia="Courier New" w:hAnsi="Courier New"/>
                <w:sz w:val="16"/>
                <w:szCs w:val="16"/>
                <w:color w:val="auto"/>
              </w:rPr>
              <w:t>(h)</w:t>
            </w:r>
          </w:p>
        </w:tc>
        <w:tc>
          <w:tcPr>
            <w:tcW w:w="86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Taxes.................................................................................</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29</w:t>
            </w:r>
          </w:p>
        </w:tc>
      </w:tr>
      <w:tr>
        <w:trPr>
          <w:trHeight w:val="370"/>
        </w:trPr>
        <w:tc>
          <w:tcPr>
            <w:tcW w:w="1480" w:type="dxa"/>
            <w:vAlign w:val="bottom"/>
          </w:tcPr>
          <w:p>
            <w:pPr>
              <w:spacing w:after="0"/>
              <w:rPr>
                <w:sz w:val="24"/>
                <w:szCs w:val="24"/>
                <w:color w:val="auto"/>
              </w:rPr>
            </w:pPr>
          </w:p>
        </w:tc>
        <w:tc>
          <w:tcPr>
            <w:tcW w:w="820" w:type="dxa"/>
            <w:vAlign w:val="bottom"/>
          </w:tcPr>
          <w:p>
            <w:pPr>
              <w:ind w:left="240"/>
              <w:spacing w:after="0"/>
              <w:rPr>
                <w:sz w:val="20"/>
                <w:szCs w:val="20"/>
                <w:color w:val="auto"/>
              </w:rPr>
            </w:pPr>
            <w:r>
              <w:rPr>
                <w:rFonts w:ascii="Courier New" w:cs="Courier New" w:eastAsia="Courier New" w:hAnsi="Courier New"/>
                <w:sz w:val="16"/>
                <w:szCs w:val="16"/>
                <w:color w:val="auto"/>
              </w:rPr>
              <w:t>(i)</w:t>
            </w:r>
          </w:p>
        </w:tc>
        <w:tc>
          <w:tcPr>
            <w:tcW w:w="86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Certain Agreements....................................................................</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29</w:t>
            </w:r>
          </w:p>
        </w:tc>
      </w:tr>
      <w:tr>
        <w:trPr>
          <w:trHeight w:val="370"/>
        </w:trPr>
        <w:tc>
          <w:tcPr>
            <w:tcW w:w="1480" w:type="dxa"/>
            <w:vAlign w:val="bottom"/>
          </w:tcPr>
          <w:p>
            <w:pPr>
              <w:spacing w:after="0"/>
              <w:rPr>
                <w:sz w:val="24"/>
                <w:szCs w:val="24"/>
                <w:color w:val="auto"/>
              </w:rPr>
            </w:pPr>
          </w:p>
        </w:tc>
        <w:tc>
          <w:tcPr>
            <w:tcW w:w="820" w:type="dxa"/>
            <w:vAlign w:val="bottom"/>
          </w:tcPr>
          <w:p>
            <w:pPr>
              <w:ind w:left="240"/>
              <w:spacing w:after="0"/>
              <w:rPr>
                <w:sz w:val="20"/>
                <w:szCs w:val="20"/>
                <w:color w:val="auto"/>
              </w:rPr>
            </w:pPr>
            <w:r>
              <w:rPr>
                <w:rFonts w:ascii="Courier New" w:cs="Courier New" w:eastAsia="Courier New" w:hAnsi="Courier New"/>
                <w:sz w:val="16"/>
                <w:szCs w:val="16"/>
                <w:color w:val="auto"/>
              </w:rPr>
              <w:t>(j)</w:t>
            </w:r>
          </w:p>
        </w:tc>
        <w:tc>
          <w:tcPr>
            <w:tcW w:w="86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Benefit Plans.........................................................................</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30</w:t>
            </w:r>
          </w:p>
        </w:tc>
      </w:tr>
      <w:tr>
        <w:trPr>
          <w:trHeight w:val="370"/>
        </w:trPr>
        <w:tc>
          <w:tcPr>
            <w:tcW w:w="1480" w:type="dxa"/>
            <w:vAlign w:val="bottom"/>
          </w:tcPr>
          <w:p>
            <w:pPr>
              <w:spacing w:after="0"/>
              <w:rPr>
                <w:sz w:val="24"/>
                <w:szCs w:val="24"/>
                <w:color w:val="auto"/>
              </w:rPr>
            </w:pPr>
          </w:p>
        </w:tc>
        <w:tc>
          <w:tcPr>
            <w:tcW w:w="820" w:type="dxa"/>
            <w:vAlign w:val="bottom"/>
          </w:tcPr>
          <w:p>
            <w:pPr>
              <w:ind w:left="240"/>
              <w:spacing w:after="0"/>
              <w:rPr>
                <w:sz w:val="20"/>
                <w:szCs w:val="20"/>
                <w:color w:val="auto"/>
              </w:rPr>
            </w:pPr>
            <w:r>
              <w:rPr>
                <w:rFonts w:ascii="Courier New" w:cs="Courier New" w:eastAsia="Courier New" w:hAnsi="Courier New"/>
                <w:sz w:val="16"/>
                <w:szCs w:val="16"/>
                <w:color w:val="auto"/>
              </w:rPr>
              <w:t>(k)</w:t>
            </w:r>
          </w:p>
        </w:tc>
        <w:tc>
          <w:tcPr>
            <w:tcW w:w="86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Subsidiaries..........................................................................</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30</w:t>
            </w:r>
          </w:p>
        </w:tc>
      </w:tr>
      <w:tr>
        <w:trPr>
          <w:trHeight w:val="370"/>
        </w:trPr>
        <w:tc>
          <w:tcPr>
            <w:tcW w:w="1480" w:type="dxa"/>
            <w:vAlign w:val="bottom"/>
          </w:tcPr>
          <w:p>
            <w:pPr>
              <w:spacing w:after="0"/>
              <w:rPr>
                <w:sz w:val="24"/>
                <w:szCs w:val="24"/>
                <w:color w:val="auto"/>
              </w:rPr>
            </w:pPr>
          </w:p>
        </w:tc>
        <w:tc>
          <w:tcPr>
            <w:tcW w:w="820" w:type="dxa"/>
            <w:vAlign w:val="bottom"/>
          </w:tcPr>
          <w:p>
            <w:pPr>
              <w:ind w:left="240"/>
              <w:spacing w:after="0"/>
              <w:rPr>
                <w:sz w:val="20"/>
                <w:szCs w:val="20"/>
                <w:color w:val="auto"/>
              </w:rPr>
            </w:pPr>
            <w:r>
              <w:rPr>
                <w:rFonts w:ascii="Courier New" w:cs="Courier New" w:eastAsia="Courier New" w:hAnsi="Courier New"/>
                <w:sz w:val="16"/>
                <w:szCs w:val="16"/>
                <w:color w:val="auto"/>
              </w:rPr>
              <w:t>(l)</w:t>
            </w:r>
          </w:p>
        </w:tc>
        <w:tc>
          <w:tcPr>
            <w:tcW w:w="86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Agreements with Regulators............................................................</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31</w:t>
            </w:r>
          </w:p>
        </w:tc>
      </w:tr>
      <w:tr>
        <w:trPr>
          <w:trHeight w:val="370"/>
        </w:trPr>
        <w:tc>
          <w:tcPr>
            <w:tcW w:w="1480" w:type="dxa"/>
            <w:vAlign w:val="bottom"/>
          </w:tcPr>
          <w:p>
            <w:pPr>
              <w:spacing w:after="0"/>
              <w:rPr>
                <w:sz w:val="24"/>
                <w:szCs w:val="24"/>
                <w:color w:val="auto"/>
              </w:rPr>
            </w:pPr>
          </w:p>
        </w:tc>
        <w:tc>
          <w:tcPr>
            <w:tcW w:w="820" w:type="dxa"/>
            <w:vAlign w:val="bottom"/>
          </w:tcPr>
          <w:p>
            <w:pPr>
              <w:ind w:left="240"/>
              <w:spacing w:after="0"/>
              <w:rPr>
                <w:sz w:val="20"/>
                <w:szCs w:val="20"/>
                <w:color w:val="auto"/>
              </w:rPr>
            </w:pPr>
            <w:r>
              <w:rPr>
                <w:rFonts w:ascii="Courier New" w:cs="Courier New" w:eastAsia="Courier New" w:hAnsi="Courier New"/>
                <w:sz w:val="16"/>
                <w:szCs w:val="16"/>
                <w:color w:val="auto"/>
              </w:rPr>
              <w:t>(m)</w:t>
            </w:r>
          </w:p>
        </w:tc>
        <w:tc>
          <w:tcPr>
            <w:tcW w:w="86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Absence of Certain Changes or Events..................................................</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31</w:t>
            </w:r>
          </w:p>
        </w:tc>
      </w:tr>
      <w:tr>
        <w:trPr>
          <w:trHeight w:val="370"/>
        </w:trPr>
        <w:tc>
          <w:tcPr>
            <w:tcW w:w="1480" w:type="dxa"/>
            <w:vAlign w:val="bottom"/>
          </w:tcPr>
          <w:p>
            <w:pPr>
              <w:spacing w:after="0"/>
              <w:rPr>
                <w:sz w:val="24"/>
                <w:szCs w:val="24"/>
                <w:color w:val="auto"/>
              </w:rPr>
            </w:pPr>
          </w:p>
        </w:tc>
        <w:tc>
          <w:tcPr>
            <w:tcW w:w="820" w:type="dxa"/>
            <w:vAlign w:val="bottom"/>
          </w:tcPr>
          <w:p>
            <w:pPr>
              <w:ind w:left="240"/>
              <w:spacing w:after="0"/>
              <w:rPr>
                <w:sz w:val="20"/>
                <w:szCs w:val="20"/>
                <w:color w:val="auto"/>
              </w:rPr>
            </w:pPr>
            <w:r>
              <w:rPr>
                <w:rFonts w:ascii="Courier New" w:cs="Courier New" w:eastAsia="Courier New" w:hAnsi="Courier New"/>
                <w:sz w:val="16"/>
                <w:szCs w:val="16"/>
                <w:color w:val="auto"/>
              </w:rPr>
              <w:t>(n)</w:t>
            </w:r>
          </w:p>
        </w:tc>
        <w:tc>
          <w:tcPr>
            <w:tcW w:w="86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Board Approval........................................................................</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31</w:t>
            </w:r>
          </w:p>
        </w:tc>
      </w:tr>
      <w:tr>
        <w:trPr>
          <w:trHeight w:val="370"/>
        </w:trPr>
        <w:tc>
          <w:tcPr>
            <w:tcW w:w="1480" w:type="dxa"/>
            <w:vAlign w:val="bottom"/>
          </w:tcPr>
          <w:p>
            <w:pPr>
              <w:spacing w:after="0"/>
              <w:rPr>
                <w:sz w:val="24"/>
                <w:szCs w:val="24"/>
                <w:color w:val="auto"/>
              </w:rPr>
            </w:pPr>
          </w:p>
        </w:tc>
        <w:tc>
          <w:tcPr>
            <w:tcW w:w="820" w:type="dxa"/>
            <w:vAlign w:val="bottom"/>
          </w:tcPr>
          <w:p>
            <w:pPr>
              <w:ind w:left="240"/>
              <w:spacing w:after="0"/>
              <w:rPr>
                <w:sz w:val="20"/>
                <w:szCs w:val="20"/>
                <w:color w:val="auto"/>
              </w:rPr>
            </w:pPr>
            <w:r>
              <w:rPr>
                <w:rFonts w:ascii="Courier New" w:cs="Courier New" w:eastAsia="Courier New" w:hAnsi="Courier New"/>
                <w:sz w:val="16"/>
                <w:szCs w:val="16"/>
                <w:color w:val="auto"/>
              </w:rPr>
              <w:t>(o)</w:t>
            </w:r>
          </w:p>
        </w:tc>
        <w:tc>
          <w:tcPr>
            <w:tcW w:w="86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Vote Required.........................................................................</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31</w:t>
            </w:r>
          </w:p>
        </w:tc>
      </w:tr>
      <w:tr>
        <w:trPr>
          <w:trHeight w:val="370"/>
        </w:trPr>
        <w:tc>
          <w:tcPr>
            <w:tcW w:w="1480" w:type="dxa"/>
            <w:vAlign w:val="bottom"/>
          </w:tcPr>
          <w:p>
            <w:pPr>
              <w:spacing w:after="0"/>
              <w:rPr>
                <w:sz w:val="24"/>
                <w:szCs w:val="24"/>
                <w:color w:val="auto"/>
              </w:rPr>
            </w:pPr>
          </w:p>
        </w:tc>
        <w:tc>
          <w:tcPr>
            <w:tcW w:w="820" w:type="dxa"/>
            <w:vAlign w:val="bottom"/>
          </w:tcPr>
          <w:p>
            <w:pPr>
              <w:ind w:left="240"/>
              <w:spacing w:after="0"/>
              <w:rPr>
                <w:sz w:val="20"/>
                <w:szCs w:val="20"/>
                <w:color w:val="auto"/>
              </w:rPr>
            </w:pPr>
            <w:r>
              <w:rPr>
                <w:rFonts w:ascii="Courier New" w:cs="Courier New" w:eastAsia="Courier New" w:hAnsi="Courier New"/>
                <w:sz w:val="16"/>
                <w:szCs w:val="16"/>
                <w:color w:val="auto"/>
              </w:rPr>
              <w:t>(p)</w:t>
            </w:r>
          </w:p>
        </w:tc>
        <w:tc>
          <w:tcPr>
            <w:tcW w:w="86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Accounting Matters....................................................................</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31</w:t>
            </w:r>
          </w:p>
        </w:tc>
      </w:tr>
      <w:tr>
        <w:trPr>
          <w:trHeight w:val="370"/>
        </w:trPr>
        <w:tc>
          <w:tcPr>
            <w:tcW w:w="1480" w:type="dxa"/>
            <w:vAlign w:val="bottom"/>
          </w:tcPr>
          <w:p>
            <w:pPr>
              <w:spacing w:after="0"/>
              <w:rPr>
                <w:sz w:val="24"/>
                <w:szCs w:val="24"/>
                <w:color w:val="auto"/>
              </w:rPr>
            </w:pPr>
          </w:p>
        </w:tc>
        <w:tc>
          <w:tcPr>
            <w:tcW w:w="820" w:type="dxa"/>
            <w:vAlign w:val="bottom"/>
          </w:tcPr>
          <w:p>
            <w:pPr>
              <w:ind w:left="240"/>
              <w:spacing w:after="0"/>
              <w:rPr>
                <w:sz w:val="20"/>
                <w:szCs w:val="20"/>
                <w:color w:val="auto"/>
              </w:rPr>
            </w:pPr>
            <w:r>
              <w:rPr>
                <w:rFonts w:ascii="Courier New" w:cs="Courier New" w:eastAsia="Courier New" w:hAnsi="Courier New"/>
                <w:sz w:val="16"/>
                <w:szCs w:val="16"/>
                <w:color w:val="auto"/>
              </w:rPr>
              <w:t>(q)</w:t>
            </w:r>
          </w:p>
        </w:tc>
        <w:tc>
          <w:tcPr>
            <w:tcW w:w="86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Properties............................................................................</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32</w:t>
            </w:r>
          </w:p>
        </w:tc>
      </w:tr>
      <w:tr>
        <w:trPr>
          <w:trHeight w:val="370"/>
        </w:trPr>
        <w:tc>
          <w:tcPr>
            <w:tcW w:w="1480" w:type="dxa"/>
            <w:vAlign w:val="bottom"/>
          </w:tcPr>
          <w:p>
            <w:pPr>
              <w:spacing w:after="0"/>
              <w:rPr>
                <w:sz w:val="24"/>
                <w:szCs w:val="24"/>
                <w:color w:val="auto"/>
              </w:rPr>
            </w:pPr>
          </w:p>
        </w:tc>
        <w:tc>
          <w:tcPr>
            <w:tcW w:w="820" w:type="dxa"/>
            <w:vAlign w:val="bottom"/>
          </w:tcPr>
          <w:p>
            <w:pPr>
              <w:ind w:left="240"/>
              <w:spacing w:after="0"/>
              <w:rPr>
                <w:sz w:val="20"/>
                <w:szCs w:val="20"/>
                <w:color w:val="auto"/>
              </w:rPr>
            </w:pPr>
            <w:r>
              <w:rPr>
                <w:rFonts w:ascii="Courier New" w:cs="Courier New" w:eastAsia="Courier New" w:hAnsi="Courier New"/>
                <w:sz w:val="16"/>
                <w:szCs w:val="16"/>
                <w:color w:val="auto"/>
              </w:rPr>
              <w:t>(r)</w:t>
            </w:r>
          </w:p>
        </w:tc>
        <w:tc>
          <w:tcPr>
            <w:tcW w:w="86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Interest Rate Risk Management Instruments.............................................</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32</w:t>
            </w:r>
          </w:p>
        </w:tc>
      </w:tr>
      <w:tr>
        <w:trPr>
          <w:trHeight w:val="370"/>
        </w:trPr>
        <w:tc>
          <w:tcPr>
            <w:tcW w:w="1480" w:type="dxa"/>
            <w:vAlign w:val="bottom"/>
          </w:tcPr>
          <w:p>
            <w:pPr>
              <w:spacing w:after="0"/>
              <w:rPr>
                <w:sz w:val="24"/>
                <w:szCs w:val="24"/>
                <w:color w:val="auto"/>
              </w:rPr>
            </w:pPr>
          </w:p>
        </w:tc>
        <w:tc>
          <w:tcPr>
            <w:tcW w:w="820" w:type="dxa"/>
            <w:vAlign w:val="bottom"/>
          </w:tcPr>
          <w:p>
            <w:pPr>
              <w:ind w:left="240"/>
              <w:spacing w:after="0"/>
              <w:rPr>
                <w:sz w:val="20"/>
                <w:szCs w:val="20"/>
                <w:color w:val="auto"/>
              </w:rPr>
            </w:pPr>
            <w:r>
              <w:rPr>
                <w:rFonts w:ascii="Courier New" w:cs="Courier New" w:eastAsia="Courier New" w:hAnsi="Courier New"/>
                <w:sz w:val="16"/>
                <w:szCs w:val="16"/>
                <w:color w:val="auto"/>
              </w:rPr>
              <w:t>(s)</w:t>
            </w:r>
          </w:p>
        </w:tc>
        <w:tc>
          <w:tcPr>
            <w:tcW w:w="86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Intellectual Property.................................................................</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32</w:t>
            </w:r>
          </w:p>
        </w:tc>
      </w:tr>
      <w:tr>
        <w:trPr>
          <w:trHeight w:val="370"/>
        </w:trPr>
        <w:tc>
          <w:tcPr>
            <w:tcW w:w="1480" w:type="dxa"/>
            <w:vAlign w:val="bottom"/>
          </w:tcPr>
          <w:p>
            <w:pPr>
              <w:spacing w:after="0"/>
              <w:rPr>
                <w:sz w:val="24"/>
                <w:szCs w:val="24"/>
                <w:color w:val="auto"/>
              </w:rPr>
            </w:pPr>
          </w:p>
        </w:tc>
        <w:tc>
          <w:tcPr>
            <w:tcW w:w="820" w:type="dxa"/>
            <w:vAlign w:val="bottom"/>
          </w:tcPr>
          <w:p>
            <w:pPr>
              <w:ind w:left="240"/>
              <w:spacing w:after="0"/>
              <w:rPr>
                <w:sz w:val="20"/>
                <w:szCs w:val="20"/>
                <w:color w:val="auto"/>
              </w:rPr>
            </w:pPr>
            <w:r>
              <w:rPr>
                <w:rFonts w:ascii="Courier New" w:cs="Courier New" w:eastAsia="Courier New" w:hAnsi="Courier New"/>
                <w:sz w:val="16"/>
                <w:szCs w:val="16"/>
                <w:color w:val="auto"/>
              </w:rPr>
              <w:t>(t)</w:t>
            </w:r>
          </w:p>
        </w:tc>
        <w:tc>
          <w:tcPr>
            <w:tcW w:w="86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Brokers or Finders....................................................................</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33</w:t>
            </w:r>
          </w:p>
        </w:tc>
      </w:tr>
      <w:tr>
        <w:trPr>
          <w:trHeight w:val="370"/>
        </w:trPr>
        <w:tc>
          <w:tcPr>
            <w:tcW w:w="1480" w:type="dxa"/>
            <w:vAlign w:val="bottom"/>
          </w:tcPr>
          <w:p>
            <w:pPr>
              <w:spacing w:after="0"/>
              <w:rPr>
                <w:sz w:val="24"/>
                <w:szCs w:val="24"/>
                <w:color w:val="auto"/>
              </w:rPr>
            </w:pPr>
          </w:p>
        </w:tc>
        <w:tc>
          <w:tcPr>
            <w:tcW w:w="820" w:type="dxa"/>
            <w:vAlign w:val="bottom"/>
          </w:tcPr>
          <w:p>
            <w:pPr>
              <w:ind w:left="240"/>
              <w:spacing w:after="0"/>
              <w:rPr>
                <w:sz w:val="20"/>
                <w:szCs w:val="20"/>
                <w:color w:val="auto"/>
              </w:rPr>
            </w:pPr>
            <w:r>
              <w:rPr>
                <w:rFonts w:ascii="Courier New" w:cs="Courier New" w:eastAsia="Courier New" w:hAnsi="Courier New"/>
                <w:sz w:val="16"/>
                <w:szCs w:val="16"/>
                <w:color w:val="auto"/>
              </w:rPr>
              <w:t>(u)</w:t>
            </w:r>
          </w:p>
        </w:tc>
        <w:tc>
          <w:tcPr>
            <w:tcW w:w="86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Opinion of Chase Financial Advisor....................................................</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33</w:t>
            </w:r>
          </w:p>
        </w:tc>
      </w:tr>
      <w:tr>
        <w:trPr>
          <w:trHeight w:val="370"/>
        </w:trPr>
        <w:tc>
          <w:tcPr>
            <w:tcW w:w="10960" w:type="dxa"/>
            <w:vAlign w:val="bottom"/>
            <w:gridSpan w:val="3"/>
          </w:tcPr>
          <w:p>
            <w:pPr>
              <w:jc w:val="right"/>
              <w:ind w:right="20"/>
              <w:spacing w:after="0"/>
              <w:rPr>
                <w:sz w:val="20"/>
                <w:szCs w:val="20"/>
                <w:color w:val="auto"/>
              </w:rPr>
            </w:pPr>
            <w:r>
              <w:rPr>
                <w:rFonts w:ascii="Courier New" w:cs="Courier New" w:eastAsia="Courier New" w:hAnsi="Courier New"/>
                <w:sz w:val="16"/>
                <w:szCs w:val="16"/>
                <w:color w:val="auto"/>
                <w:w w:val="99"/>
              </w:rPr>
              <w:t>ARTICLE IV COVENANTS RELATING TO CONDUCT OF BUSINESS.............................................................</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33</w:t>
            </w:r>
          </w:p>
        </w:tc>
      </w:tr>
      <w:tr>
        <w:trPr>
          <w:trHeight w:val="370"/>
        </w:trPr>
        <w:tc>
          <w:tcPr>
            <w:tcW w:w="148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4.1.</w:t>
            </w:r>
          </w:p>
        </w:tc>
        <w:tc>
          <w:tcPr>
            <w:tcW w:w="948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Covenants of Morgan............................................................................</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33</w:t>
            </w:r>
          </w:p>
        </w:tc>
      </w:tr>
      <w:tr>
        <w:trPr>
          <w:trHeight w:val="370"/>
        </w:trPr>
        <w:tc>
          <w:tcPr>
            <w:tcW w:w="1480" w:type="dxa"/>
            <w:vAlign w:val="bottom"/>
          </w:tcPr>
          <w:p>
            <w:pPr>
              <w:spacing w:after="0"/>
              <w:rPr>
                <w:sz w:val="24"/>
                <w:szCs w:val="24"/>
                <w:color w:val="auto"/>
              </w:rPr>
            </w:pPr>
          </w:p>
        </w:tc>
        <w:tc>
          <w:tcPr>
            <w:tcW w:w="820" w:type="dxa"/>
            <w:vAlign w:val="bottom"/>
          </w:tcPr>
          <w:p>
            <w:pPr>
              <w:ind w:left="240"/>
              <w:spacing w:after="0"/>
              <w:rPr>
                <w:sz w:val="20"/>
                <w:szCs w:val="20"/>
                <w:color w:val="auto"/>
              </w:rPr>
            </w:pPr>
            <w:r>
              <w:rPr>
                <w:rFonts w:ascii="Courier New" w:cs="Courier New" w:eastAsia="Courier New" w:hAnsi="Courier New"/>
                <w:sz w:val="16"/>
                <w:szCs w:val="16"/>
                <w:color w:val="auto"/>
              </w:rPr>
              <w:t>(a)</w:t>
            </w:r>
          </w:p>
        </w:tc>
        <w:tc>
          <w:tcPr>
            <w:tcW w:w="86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Ordinary Course.......................................................................</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33</w:t>
            </w:r>
          </w:p>
        </w:tc>
      </w:tr>
      <w:tr>
        <w:trPr>
          <w:trHeight w:val="370"/>
        </w:trPr>
        <w:tc>
          <w:tcPr>
            <w:tcW w:w="1480" w:type="dxa"/>
            <w:vAlign w:val="bottom"/>
          </w:tcPr>
          <w:p>
            <w:pPr>
              <w:spacing w:after="0"/>
              <w:rPr>
                <w:sz w:val="24"/>
                <w:szCs w:val="24"/>
                <w:color w:val="auto"/>
              </w:rPr>
            </w:pPr>
          </w:p>
        </w:tc>
        <w:tc>
          <w:tcPr>
            <w:tcW w:w="820" w:type="dxa"/>
            <w:vAlign w:val="bottom"/>
          </w:tcPr>
          <w:p>
            <w:pPr>
              <w:ind w:left="240"/>
              <w:spacing w:after="0"/>
              <w:rPr>
                <w:sz w:val="20"/>
                <w:szCs w:val="20"/>
                <w:color w:val="auto"/>
              </w:rPr>
            </w:pPr>
            <w:r>
              <w:rPr>
                <w:rFonts w:ascii="Courier New" w:cs="Courier New" w:eastAsia="Courier New" w:hAnsi="Courier New"/>
                <w:sz w:val="16"/>
                <w:szCs w:val="16"/>
                <w:color w:val="auto"/>
              </w:rPr>
              <w:t>(b)</w:t>
            </w:r>
          </w:p>
        </w:tc>
        <w:tc>
          <w:tcPr>
            <w:tcW w:w="86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Dividends; Changes in Stock...........................................................</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33</w:t>
            </w:r>
          </w:p>
        </w:tc>
      </w:tr>
    </w:tbl>
    <w:p>
      <w:pPr>
        <w:sectPr>
          <w:pgSz w:w="11900" w:h="16838" w:orient="portrait"/>
          <w:cols w:equalWidth="0" w:num="1">
            <w:col w:w="11440"/>
          </w:cols>
          <w:pgMar w:left="240" w:top="300" w:right="219" w:bottom="1440" w:gutter="0" w:footer="0" w:header="0"/>
        </w:sectPr>
      </w:pPr>
    </w:p>
    <w:bookmarkStart w:id="9" w:name="page10"/>
    <w:bookmarkEnd w:id="9"/>
    <w:p>
      <w:pPr>
        <w:spacing w:after="0"/>
        <w:rPr>
          <w:sz w:val="20"/>
          <w:szCs w:val="20"/>
          <w:color w:val="auto"/>
        </w:rPr>
      </w:pPr>
      <w:r>
        <w:rPr>
          <w:rFonts w:ascii="Courier New" w:cs="Courier New" w:eastAsia="Courier New" w:hAnsi="Courier New"/>
          <w:sz w:val="16"/>
          <w:szCs w:val="16"/>
          <w:color w:val="auto"/>
        </w:rPr>
        <w:t>5</w:t>
      </w:r>
    </w:p>
    <w:p>
      <w:pPr>
        <w:spacing w:after="0" w:line="373" w:lineRule="exact"/>
        <w:rPr>
          <w:sz w:val="20"/>
          <w:szCs w:val="20"/>
          <w:color w:val="auto"/>
        </w:rPr>
      </w:pPr>
    </w:p>
    <w:p>
      <w:pPr>
        <w:jc w:val="right"/>
        <w:spacing w:after="0"/>
        <w:rPr>
          <w:sz w:val="20"/>
          <w:szCs w:val="20"/>
          <w:color w:val="auto"/>
        </w:rPr>
      </w:pPr>
      <w:r>
        <w:rPr>
          <w:rFonts w:ascii="Courier New" w:cs="Courier New" w:eastAsia="Courier New" w:hAnsi="Courier New"/>
          <w:sz w:val="16"/>
          <w:szCs w:val="16"/>
          <w:color w:val="auto"/>
        </w:rPr>
        <w:t>Page</w:t>
      </w:r>
    </w:p>
    <w:p>
      <w:pPr>
        <w:spacing w:after="0" w:line="4" w:lineRule="exact"/>
        <w:rPr>
          <w:sz w:val="20"/>
          <w:szCs w:val="20"/>
          <w:color w:val="auto"/>
        </w:rPr>
      </w:pPr>
    </w:p>
    <w:p>
      <w:pPr>
        <w:jc w:val="right"/>
        <w:spacing w:after="0"/>
        <w:rPr>
          <w:sz w:val="20"/>
          <w:szCs w:val="20"/>
          <w:color w:val="auto"/>
        </w:rPr>
      </w:pPr>
      <w:r>
        <w:rPr>
          <w:rFonts w:ascii="Courier New" w:cs="Courier New" w:eastAsia="Courier New" w:hAnsi="Courier New"/>
          <w:sz w:val="16"/>
          <w:szCs w:val="16"/>
          <w:color w:val="auto"/>
        </w:rPr>
        <w:t>----</w:t>
      </w:r>
    </w:p>
    <w:p>
      <w:pPr>
        <w:spacing w:after="0" w:line="188" w:lineRule="exact"/>
        <w:rPr>
          <w:sz w:val="20"/>
          <w:szCs w:val="20"/>
          <w:color w:val="auto"/>
        </w:rPr>
      </w:pPr>
    </w:p>
    <w:p>
      <w:pPr>
        <w:jc w:val="right"/>
        <w:spacing w:after="0"/>
        <w:tabs>
          <w:tab w:leader="none" w:pos="8820" w:val="left"/>
          <w:tab w:leader="dot" w:pos="180" w:val="left"/>
        </w:tabs>
        <w:rPr>
          <w:sz w:val="20"/>
          <w:szCs w:val="20"/>
          <w:color w:val="auto"/>
        </w:rPr>
      </w:pPr>
      <w:r>
        <w:rPr>
          <w:rFonts w:ascii="Courier New" w:cs="Courier New" w:eastAsia="Courier New" w:hAnsi="Courier New"/>
          <w:sz w:val="16"/>
          <w:szCs w:val="16"/>
          <w:color w:val="auto"/>
        </w:rPr>
        <w:t>(c)</w:t>
      </w:r>
      <w:r>
        <w:rPr>
          <w:sz w:val="20"/>
          <w:szCs w:val="20"/>
          <w:color w:val="auto"/>
        </w:rPr>
        <w:tab/>
      </w:r>
      <w:r>
        <w:rPr>
          <w:rFonts w:ascii="Courier New" w:cs="Courier New" w:eastAsia="Courier New" w:hAnsi="Courier New"/>
          <w:sz w:val="16"/>
          <w:szCs w:val="16"/>
          <w:color w:val="auto"/>
        </w:rPr>
        <w:t>Issuance of Securities</w:t>
      </w:r>
      <w:r>
        <w:rPr>
          <w:sz w:val="20"/>
          <w:szCs w:val="20"/>
          <w:color w:val="auto"/>
        </w:rPr>
        <w:tab/>
      </w:r>
      <w:r>
        <w:rPr>
          <w:rFonts w:ascii="Courier New" w:cs="Courier New" w:eastAsia="Courier New" w:hAnsi="Courier New"/>
          <w:sz w:val="16"/>
          <w:szCs w:val="16"/>
          <w:color w:val="auto"/>
        </w:rPr>
        <w:t>34</w:t>
      </w:r>
    </w:p>
    <w:p>
      <w:pPr>
        <w:spacing w:after="0" w:line="188" w:lineRule="exact"/>
        <w:rPr>
          <w:sz w:val="20"/>
          <w:szCs w:val="20"/>
          <w:color w:val="auto"/>
        </w:rPr>
      </w:pPr>
    </w:p>
    <w:p>
      <w:pPr>
        <w:jc w:val="right"/>
        <w:spacing w:after="0"/>
        <w:tabs>
          <w:tab w:leader="none" w:pos="8820" w:val="left"/>
          <w:tab w:leader="dot" w:pos="180" w:val="left"/>
        </w:tabs>
        <w:rPr>
          <w:sz w:val="20"/>
          <w:szCs w:val="20"/>
          <w:color w:val="auto"/>
        </w:rPr>
      </w:pPr>
      <w:r>
        <w:rPr>
          <w:rFonts w:ascii="Courier New" w:cs="Courier New" w:eastAsia="Courier New" w:hAnsi="Courier New"/>
          <w:sz w:val="16"/>
          <w:szCs w:val="16"/>
          <w:color w:val="auto"/>
        </w:rPr>
        <w:t>(d)</w:t>
      </w:r>
      <w:r>
        <w:rPr>
          <w:sz w:val="20"/>
          <w:szCs w:val="20"/>
          <w:color w:val="auto"/>
        </w:rPr>
        <w:tab/>
      </w:r>
      <w:r>
        <w:rPr>
          <w:rFonts w:ascii="Courier New" w:cs="Courier New" w:eastAsia="Courier New" w:hAnsi="Courier New"/>
          <w:sz w:val="16"/>
          <w:szCs w:val="16"/>
          <w:color w:val="auto"/>
        </w:rPr>
        <w:t>Governing Documents, Etc</w:t>
      </w:r>
      <w:r>
        <w:rPr>
          <w:sz w:val="20"/>
          <w:szCs w:val="20"/>
          <w:color w:val="auto"/>
        </w:rPr>
        <w:tab/>
      </w:r>
      <w:r>
        <w:rPr>
          <w:rFonts w:ascii="Courier New" w:cs="Courier New" w:eastAsia="Courier New" w:hAnsi="Courier New"/>
          <w:sz w:val="16"/>
          <w:szCs w:val="16"/>
          <w:color w:val="auto"/>
        </w:rPr>
        <w:t>34</w:t>
      </w:r>
    </w:p>
    <w:p>
      <w:pPr>
        <w:spacing w:after="0" w:line="188" w:lineRule="exact"/>
        <w:rPr>
          <w:sz w:val="20"/>
          <w:szCs w:val="20"/>
          <w:color w:val="auto"/>
        </w:rPr>
      </w:pPr>
    </w:p>
    <w:p>
      <w:pPr>
        <w:jc w:val="right"/>
        <w:spacing w:after="0"/>
        <w:tabs>
          <w:tab w:leader="none" w:pos="8820" w:val="left"/>
          <w:tab w:leader="dot" w:pos="180" w:val="left"/>
        </w:tabs>
        <w:rPr>
          <w:sz w:val="20"/>
          <w:szCs w:val="20"/>
          <w:color w:val="auto"/>
        </w:rPr>
      </w:pPr>
      <w:r>
        <w:rPr>
          <w:rFonts w:ascii="Courier New" w:cs="Courier New" w:eastAsia="Courier New" w:hAnsi="Courier New"/>
          <w:sz w:val="16"/>
          <w:szCs w:val="16"/>
          <w:color w:val="auto"/>
        </w:rPr>
        <w:t>(e)</w:t>
      </w:r>
      <w:r>
        <w:rPr>
          <w:sz w:val="20"/>
          <w:szCs w:val="20"/>
          <w:color w:val="auto"/>
        </w:rPr>
        <w:tab/>
      </w:r>
      <w:r>
        <w:rPr>
          <w:rFonts w:ascii="Courier New" w:cs="Courier New" w:eastAsia="Courier New" w:hAnsi="Courier New"/>
          <w:sz w:val="16"/>
          <w:szCs w:val="16"/>
          <w:color w:val="auto"/>
        </w:rPr>
        <w:t>No Acquisitions</w:t>
      </w:r>
      <w:r>
        <w:rPr>
          <w:sz w:val="20"/>
          <w:szCs w:val="20"/>
          <w:color w:val="auto"/>
        </w:rPr>
        <w:tab/>
      </w:r>
      <w:r>
        <w:rPr>
          <w:rFonts w:ascii="Courier New" w:cs="Courier New" w:eastAsia="Courier New" w:hAnsi="Courier New"/>
          <w:sz w:val="16"/>
          <w:szCs w:val="16"/>
          <w:color w:val="auto"/>
        </w:rPr>
        <w:t>34</w:t>
      </w:r>
    </w:p>
    <w:p>
      <w:pPr>
        <w:spacing w:after="0" w:line="188" w:lineRule="exact"/>
        <w:rPr>
          <w:sz w:val="20"/>
          <w:szCs w:val="20"/>
          <w:color w:val="auto"/>
        </w:rPr>
      </w:pPr>
    </w:p>
    <w:p>
      <w:pPr>
        <w:jc w:val="right"/>
        <w:spacing w:after="0"/>
        <w:tabs>
          <w:tab w:leader="none" w:pos="8820" w:val="left"/>
          <w:tab w:leader="dot" w:pos="180" w:val="left"/>
        </w:tabs>
        <w:rPr>
          <w:sz w:val="20"/>
          <w:szCs w:val="20"/>
          <w:color w:val="auto"/>
        </w:rPr>
      </w:pPr>
      <w:r>
        <w:rPr>
          <w:rFonts w:ascii="Courier New" w:cs="Courier New" w:eastAsia="Courier New" w:hAnsi="Courier New"/>
          <w:sz w:val="16"/>
          <w:szCs w:val="16"/>
          <w:color w:val="auto"/>
        </w:rPr>
        <w:t>(f)</w:t>
      </w:r>
      <w:r>
        <w:rPr>
          <w:sz w:val="20"/>
          <w:szCs w:val="20"/>
          <w:color w:val="auto"/>
        </w:rPr>
        <w:tab/>
      </w:r>
      <w:r>
        <w:rPr>
          <w:rFonts w:ascii="Courier New" w:cs="Courier New" w:eastAsia="Courier New" w:hAnsi="Courier New"/>
          <w:sz w:val="16"/>
          <w:szCs w:val="16"/>
          <w:color w:val="auto"/>
        </w:rPr>
        <w:t>No Dispositions</w:t>
      </w:r>
      <w:r>
        <w:rPr>
          <w:sz w:val="20"/>
          <w:szCs w:val="20"/>
          <w:color w:val="auto"/>
        </w:rPr>
        <w:tab/>
      </w:r>
      <w:r>
        <w:rPr>
          <w:rFonts w:ascii="Courier New" w:cs="Courier New" w:eastAsia="Courier New" w:hAnsi="Courier New"/>
          <w:sz w:val="16"/>
          <w:szCs w:val="16"/>
          <w:color w:val="auto"/>
        </w:rPr>
        <w:t>35</w:t>
      </w:r>
    </w:p>
    <w:p>
      <w:pPr>
        <w:spacing w:after="0" w:line="188" w:lineRule="exact"/>
        <w:rPr>
          <w:sz w:val="20"/>
          <w:szCs w:val="20"/>
          <w:color w:val="auto"/>
        </w:rPr>
      </w:pPr>
    </w:p>
    <w:p>
      <w:pPr>
        <w:jc w:val="right"/>
        <w:spacing w:after="0"/>
        <w:tabs>
          <w:tab w:leader="none" w:pos="8820" w:val="left"/>
          <w:tab w:leader="dot" w:pos="180" w:val="left"/>
        </w:tabs>
        <w:rPr>
          <w:sz w:val="20"/>
          <w:szCs w:val="20"/>
          <w:color w:val="auto"/>
        </w:rPr>
      </w:pPr>
      <w:r>
        <w:rPr>
          <w:rFonts w:ascii="Courier New" w:cs="Courier New" w:eastAsia="Courier New" w:hAnsi="Courier New"/>
          <w:sz w:val="16"/>
          <w:szCs w:val="16"/>
          <w:color w:val="auto"/>
        </w:rPr>
        <w:t>(g)</w:t>
      </w:r>
      <w:r>
        <w:rPr>
          <w:sz w:val="20"/>
          <w:szCs w:val="20"/>
          <w:color w:val="auto"/>
        </w:rPr>
        <w:tab/>
      </w:r>
      <w:r>
        <w:rPr>
          <w:rFonts w:ascii="Courier New" w:cs="Courier New" w:eastAsia="Courier New" w:hAnsi="Courier New"/>
          <w:sz w:val="16"/>
          <w:szCs w:val="16"/>
          <w:color w:val="auto"/>
        </w:rPr>
        <w:t>Indebtedness</w:t>
      </w:r>
      <w:r>
        <w:rPr>
          <w:sz w:val="20"/>
          <w:szCs w:val="20"/>
          <w:color w:val="auto"/>
        </w:rPr>
        <w:tab/>
      </w:r>
      <w:r>
        <w:rPr>
          <w:rFonts w:ascii="Courier New" w:cs="Courier New" w:eastAsia="Courier New" w:hAnsi="Courier New"/>
          <w:sz w:val="16"/>
          <w:szCs w:val="16"/>
          <w:color w:val="auto"/>
        </w:rPr>
        <w:t>35</w:t>
      </w:r>
    </w:p>
    <w:p>
      <w:pPr>
        <w:spacing w:after="0" w:line="188" w:lineRule="exact"/>
        <w:rPr>
          <w:sz w:val="20"/>
          <w:szCs w:val="20"/>
          <w:color w:val="auto"/>
        </w:rPr>
      </w:pPr>
    </w:p>
    <w:p>
      <w:pPr>
        <w:jc w:val="right"/>
        <w:spacing w:after="0"/>
        <w:tabs>
          <w:tab w:leader="none" w:pos="8820" w:val="left"/>
          <w:tab w:leader="dot" w:pos="180" w:val="left"/>
        </w:tabs>
        <w:rPr>
          <w:sz w:val="20"/>
          <w:szCs w:val="20"/>
          <w:color w:val="auto"/>
        </w:rPr>
      </w:pPr>
      <w:r>
        <w:rPr>
          <w:rFonts w:ascii="Courier New" w:cs="Courier New" w:eastAsia="Courier New" w:hAnsi="Courier New"/>
          <w:sz w:val="16"/>
          <w:szCs w:val="16"/>
          <w:color w:val="auto"/>
        </w:rPr>
        <w:t>(h)</w:t>
      </w:r>
      <w:r>
        <w:rPr>
          <w:sz w:val="20"/>
          <w:szCs w:val="20"/>
          <w:color w:val="auto"/>
        </w:rPr>
        <w:tab/>
      </w:r>
      <w:r>
        <w:rPr>
          <w:rFonts w:ascii="Courier New" w:cs="Courier New" w:eastAsia="Courier New" w:hAnsi="Courier New"/>
          <w:sz w:val="16"/>
          <w:szCs w:val="16"/>
          <w:color w:val="auto"/>
        </w:rPr>
        <w:t>Other Actions</w:t>
      </w:r>
      <w:r>
        <w:rPr>
          <w:sz w:val="20"/>
          <w:szCs w:val="20"/>
          <w:color w:val="auto"/>
        </w:rPr>
        <w:tab/>
      </w:r>
      <w:r>
        <w:rPr>
          <w:rFonts w:ascii="Courier New" w:cs="Courier New" w:eastAsia="Courier New" w:hAnsi="Courier New"/>
          <w:sz w:val="16"/>
          <w:szCs w:val="16"/>
          <w:color w:val="auto"/>
        </w:rPr>
        <w:t>35</w:t>
      </w:r>
    </w:p>
    <w:p>
      <w:pPr>
        <w:spacing w:after="0" w:line="188" w:lineRule="exact"/>
        <w:rPr>
          <w:sz w:val="20"/>
          <w:szCs w:val="20"/>
          <w:color w:val="auto"/>
        </w:rPr>
      </w:pPr>
    </w:p>
    <w:p>
      <w:pPr>
        <w:jc w:val="right"/>
        <w:spacing w:after="0"/>
        <w:tabs>
          <w:tab w:leader="none" w:pos="8820" w:val="left"/>
          <w:tab w:leader="dot" w:pos="180" w:val="left"/>
        </w:tabs>
        <w:rPr>
          <w:sz w:val="20"/>
          <w:szCs w:val="20"/>
          <w:color w:val="auto"/>
        </w:rPr>
      </w:pPr>
      <w:r>
        <w:rPr>
          <w:rFonts w:ascii="Courier New" w:cs="Courier New" w:eastAsia="Courier New" w:hAnsi="Courier New"/>
          <w:sz w:val="16"/>
          <w:szCs w:val="16"/>
          <w:color w:val="auto"/>
        </w:rPr>
        <w:t>(i)</w:t>
      </w:r>
      <w:r>
        <w:rPr>
          <w:sz w:val="20"/>
          <w:szCs w:val="20"/>
          <w:color w:val="auto"/>
        </w:rPr>
        <w:tab/>
      </w:r>
      <w:r>
        <w:rPr>
          <w:rFonts w:ascii="Courier New" w:cs="Courier New" w:eastAsia="Courier New" w:hAnsi="Courier New"/>
          <w:sz w:val="16"/>
          <w:szCs w:val="16"/>
          <w:color w:val="auto"/>
        </w:rPr>
        <w:t>Accounting Methods</w:t>
      </w:r>
      <w:r>
        <w:rPr>
          <w:sz w:val="20"/>
          <w:szCs w:val="20"/>
          <w:color w:val="auto"/>
        </w:rPr>
        <w:tab/>
      </w:r>
      <w:r>
        <w:rPr>
          <w:rFonts w:ascii="Courier New" w:cs="Courier New" w:eastAsia="Courier New" w:hAnsi="Courier New"/>
          <w:sz w:val="16"/>
          <w:szCs w:val="16"/>
          <w:color w:val="auto"/>
        </w:rPr>
        <w:t>35</w:t>
      </w:r>
    </w:p>
    <w:p>
      <w:pPr>
        <w:spacing w:after="0" w:line="188" w:lineRule="exact"/>
        <w:rPr>
          <w:sz w:val="20"/>
          <w:szCs w:val="20"/>
          <w:color w:val="auto"/>
        </w:rPr>
      </w:pPr>
    </w:p>
    <w:p>
      <w:pPr>
        <w:jc w:val="right"/>
        <w:spacing w:after="0"/>
        <w:tabs>
          <w:tab w:leader="none" w:pos="8820" w:val="left"/>
          <w:tab w:leader="dot" w:pos="180" w:val="left"/>
        </w:tabs>
        <w:rPr>
          <w:sz w:val="20"/>
          <w:szCs w:val="20"/>
          <w:color w:val="auto"/>
        </w:rPr>
      </w:pPr>
      <w:r>
        <w:rPr>
          <w:rFonts w:ascii="Courier New" w:cs="Courier New" w:eastAsia="Courier New" w:hAnsi="Courier New"/>
          <w:sz w:val="16"/>
          <w:szCs w:val="16"/>
          <w:color w:val="auto"/>
        </w:rPr>
        <w:t>(j)</w:t>
      </w:r>
      <w:r>
        <w:rPr>
          <w:sz w:val="20"/>
          <w:szCs w:val="20"/>
          <w:color w:val="auto"/>
        </w:rPr>
        <w:tab/>
      </w:r>
      <w:r>
        <w:rPr>
          <w:rFonts w:ascii="Courier New" w:cs="Courier New" w:eastAsia="Courier New" w:hAnsi="Courier New"/>
          <w:sz w:val="16"/>
          <w:szCs w:val="16"/>
          <w:color w:val="auto"/>
        </w:rPr>
        <w:t>Pooling and Tax-Free Reorganization Treatment</w:t>
      </w:r>
      <w:r>
        <w:rPr>
          <w:sz w:val="20"/>
          <w:szCs w:val="20"/>
          <w:color w:val="auto"/>
        </w:rPr>
        <w:tab/>
      </w:r>
      <w:r>
        <w:rPr>
          <w:rFonts w:ascii="Courier New" w:cs="Courier New" w:eastAsia="Courier New" w:hAnsi="Courier New"/>
          <w:sz w:val="16"/>
          <w:szCs w:val="16"/>
          <w:color w:val="auto"/>
        </w:rPr>
        <w:t>35</w:t>
      </w:r>
    </w:p>
    <w:p>
      <w:pPr>
        <w:spacing w:after="0" w:line="188" w:lineRule="exact"/>
        <w:rPr>
          <w:sz w:val="20"/>
          <w:szCs w:val="20"/>
          <w:color w:val="auto"/>
        </w:rPr>
      </w:pPr>
    </w:p>
    <w:p>
      <w:pPr>
        <w:jc w:val="right"/>
        <w:spacing w:after="0"/>
        <w:tabs>
          <w:tab w:leader="none" w:pos="8820" w:val="left"/>
          <w:tab w:leader="dot" w:pos="180" w:val="left"/>
        </w:tabs>
        <w:rPr>
          <w:sz w:val="20"/>
          <w:szCs w:val="20"/>
          <w:color w:val="auto"/>
        </w:rPr>
      </w:pPr>
      <w:r>
        <w:rPr>
          <w:rFonts w:ascii="Courier New" w:cs="Courier New" w:eastAsia="Courier New" w:hAnsi="Courier New"/>
          <w:sz w:val="16"/>
          <w:szCs w:val="16"/>
          <w:color w:val="auto"/>
        </w:rPr>
        <w:t>(k)</w:t>
      </w:r>
      <w:r>
        <w:rPr>
          <w:sz w:val="20"/>
          <w:szCs w:val="20"/>
          <w:color w:val="auto"/>
        </w:rPr>
        <w:tab/>
      </w:r>
      <w:r>
        <w:rPr>
          <w:rFonts w:ascii="Courier New" w:cs="Courier New" w:eastAsia="Courier New" w:hAnsi="Courier New"/>
          <w:sz w:val="16"/>
          <w:szCs w:val="16"/>
          <w:color w:val="auto"/>
        </w:rPr>
        <w:t>Compensation and Benefit Plans</w:t>
      </w:r>
      <w:r>
        <w:rPr>
          <w:sz w:val="20"/>
          <w:szCs w:val="20"/>
          <w:color w:val="auto"/>
        </w:rPr>
        <w:tab/>
      </w:r>
      <w:r>
        <w:rPr>
          <w:rFonts w:ascii="Courier New" w:cs="Courier New" w:eastAsia="Courier New" w:hAnsi="Courier New"/>
          <w:sz w:val="16"/>
          <w:szCs w:val="16"/>
          <w:color w:val="auto"/>
        </w:rPr>
        <w:t>35</w:t>
      </w:r>
    </w:p>
    <w:p>
      <w:pPr>
        <w:spacing w:after="0" w:line="188" w:lineRule="exact"/>
        <w:rPr>
          <w:sz w:val="20"/>
          <w:szCs w:val="20"/>
          <w:color w:val="auto"/>
        </w:rPr>
      </w:pPr>
    </w:p>
    <w:p>
      <w:pPr>
        <w:jc w:val="right"/>
        <w:spacing w:after="0"/>
        <w:tabs>
          <w:tab w:leader="none" w:pos="8820" w:val="left"/>
          <w:tab w:leader="dot" w:pos="180" w:val="left"/>
        </w:tabs>
        <w:rPr>
          <w:sz w:val="20"/>
          <w:szCs w:val="20"/>
          <w:color w:val="auto"/>
        </w:rPr>
      </w:pPr>
      <w:r>
        <w:rPr>
          <w:rFonts w:ascii="Courier New" w:cs="Courier New" w:eastAsia="Courier New" w:hAnsi="Courier New"/>
          <w:sz w:val="16"/>
          <w:szCs w:val="16"/>
          <w:color w:val="auto"/>
        </w:rPr>
        <w:t>(l)</w:t>
      </w:r>
      <w:r>
        <w:rPr>
          <w:sz w:val="20"/>
          <w:szCs w:val="20"/>
          <w:color w:val="auto"/>
        </w:rPr>
        <w:tab/>
      </w:r>
      <w:r>
        <w:rPr>
          <w:rFonts w:ascii="Courier New" w:cs="Courier New" w:eastAsia="Courier New" w:hAnsi="Courier New"/>
          <w:sz w:val="16"/>
          <w:szCs w:val="16"/>
          <w:color w:val="auto"/>
        </w:rPr>
        <w:t>Tax Elections</w:t>
      </w:r>
      <w:r>
        <w:rPr>
          <w:sz w:val="20"/>
          <w:szCs w:val="20"/>
          <w:color w:val="auto"/>
        </w:rPr>
        <w:tab/>
      </w:r>
      <w:r>
        <w:rPr>
          <w:rFonts w:ascii="Courier New" w:cs="Courier New" w:eastAsia="Courier New" w:hAnsi="Courier New"/>
          <w:sz w:val="16"/>
          <w:szCs w:val="16"/>
          <w:color w:val="auto"/>
        </w:rPr>
        <w:t>36</w:t>
      </w:r>
    </w:p>
    <w:p>
      <w:pPr>
        <w:spacing w:after="0" w:line="188" w:lineRule="exact"/>
        <w:rPr>
          <w:sz w:val="20"/>
          <w:szCs w:val="20"/>
          <w:color w:val="auto"/>
        </w:rPr>
      </w:pPr>
    </w:p>
    <w:p>
      <w:pPr>
        <w:jc w:val="right"/>
        <w:spacing w:after="0"/>
        <w:tabs>
          <w:tab w:leader="none" w:pos="8820" w:val="left"/>
          <w:tab w:leader="dot" w:pos="180" w:val="left"/>
        </w:tabs>
        <w:rPr>
          <w:sz w:val="20"/>
          <w:szCs w:val="20"/>
          <w:color w:val="auto"/>
        </w:rPr>
      </w:pPr>
      <w:r>
        <w:rPr>
          <w:rFonts w:ascii="Courier New" w:cs="Courier New" w:eastAsia="Courier New" w:hAnsi="Courier New"/>
          <w:sz w:val="16"/>
          <w:szCs w:val="16"/>
          <w:color w:val="auto"/>
        </w:rPr>
        <w:t>(m)</w:t>
      </w:r>
      <w:r>
        <w:rPr>
          <w:sz w:val="20"/>
          <w:szCs w:val="20"/>
          <w:color w:val="auto"/>
        </w:rPr>
        <w:tab/>
      </w:r>
      <w:r>
        <w:rPr>
          <w:rFonts w:ascii="Courier New" w:cs="Courier New" w:eastAsia="Courier New" w:hAnsi="Courier New"/>
          <w:sz w:val="16"/>
          <w:szCs w:val="16"/>
          <w:color w:val="auto"/>
        </w:rPr>
        <w:t>Investment Portfolio</w:t>
      </w:r>
      <w:r>
        <w:rPr>
          <w:sz w:val="20"/>
          <w:szCs w:val="20"/>
          <w:color w:val="auto"/>
        </w:rPr>
        <w:tab/>
      </w:r>
      <w:r>
        <w:rPr>
          <w:rFonts w:ascii="Courier New" w:cs="Courier New" w:eastAsia="Courier New" w:hAnsi="Courier New"/>
          <w:sz w:val="16"/>
          <w:szCs w:val="16"/>
          <w:color w:val="auto"/>
        </w:rPr>
        <w:t>36</w:t>
      </w:r>
    </w:p>
    <w:p>
      <w:pPr>
        <w:spacing w:after="0" w:line="188" w:lineRule="exact"/>
        <w:rPr>
          <w:sz w:val="20"/>
          <w:szCs w:val="20"/>
          <w:color w:val="auto"/>
        </w:rPr>
      </w:pPr>
    </w:p>
    <w:p>
      <w:pPr>
        <w:jc w:val="right"/>
        <w:spacing w:after="0"/>
        <w:tabs>
          <w:tab w:leader="none" w:pos="8820" w:val="left"/>
          <w:tab w:leader="dot" w:pos="180" w:val="left"/>
        </w:tabs>
        <w:rPr>
          <w:sz w:val="20"/>
          <w:szCs w:val="20"/>
          <w:color w:val="auto"/>
        </w:rPr>
      </w:pPr>
      <w:r>
        <w:rPr>
          <w:rFonts w:ascii="Courier New" w:cs="Courier New" w:eastAsia="Courier New" w:hAnsi="Courier New"/>
          <w:sz w:val="16"/>
          <w:szCs w:val="16"/>
          <w:color w:val="auto"/>
        </w:rPr>
        <w:t>(n)</w:t>
      </w:r>
      <w:r>
        <w:rPr>
          <w:sz w:val="20"/>
          <w:szCs w:val="20"/>
          <w:color w:val="auto"/>
        </w:rPr>
        <w:tab/>
      </w:r>
      <w:r>
        <w:rPr>
          <w:rFonts w:ascii="Courier New" w:cs="Courier New" w:eastAsia="Courier New" w:hAnsi="Courier New"/>
          <w:sz w:val="16"/>
          <w:szCs w:val="16"/>
          <w:color w:val="auto"/>
        </w:rPr>
        <w:t>No Liquidation</w:t>
      </w:r>
      <w:r>
        <w:rPr>
          <w:sz w:val="20"/>
          <w:szCs w:val="20"/>
          <w:color w:val="auto"/>
        </w:rPr>
        <w:tab/>
      </w:r>
      <w:r>
        <w:rPr>
          <w:rFonts w:ascii="Courier New" w:cs="Courier New" w:eastAsia="Courier New" w:hAnsi="Courier New"/>
          <w:sz w:val="16"/>
          <w:szCs w:val="16"/>
          <w:color w:val="auto"/>
        </w:rPr>
        <w:t>36</w:t>
      </w:r>
    </w:p>
    <w:p>
      <w:pPr>
        <w:spacing w:after="0" w:line="188" w:lineRule="exact"/>
        <w:rPr>
          <w:sz w:val="20"/>
          <w:szCs w:val="20"/>
          <w:color w:val="auto"/>
        </w:rPr>
      </w:pPr>
    </w:p>
    <w:p>
      <w:pPr>
        <w:jc w:val="right"/>
        <w:spacing w:after="0"/>
        <w:tabs>
          <w:tab w:leader="none" w:pos="8820" w:val="left"/>
          <w:tab w:leader="dot" w:pos="180" w:val="left"/>
        </w:tabs>
        <w:rPr>
          <w:sz w:val="20"/>
          <w:szCs w:val="20"/>
          <w:color w:val="auto"/>
        </w:rPr>
      </w:pPr>
      <w:r>
        <w:rPr>
          <w:rFonts w:ascii="Courier New" w:cs="Courier New" w:eastAsia="Courier New" w:hAnsi="Courier New"/>
          <w:sz w:val="16"/>
          <w:szCs w:val="16"/>
          <w:color w:val="auto"/>
        </w:rPr>
        <w:t>(o)</w:t>
      </w:r>
      <w:r>
        <w:rPr>
          <w:sz w:val="20"/>
          <w:szCs w:val="20"/>
          <w:color w:val="auto"/>
        </w:rPr>
        <w:tab/>
      </w:r>
      <w:r>
        <w:rPr>
          <w:rFonts w:ascii="Courier New" w:cs="Courier New" w:eastAsia="Courier New" w:hAnsi="Courier New"/>
          <w:sz w:val="16"/>
          <w:szCs w:val="16"/>
          <w:color w:val="auto"/>
        </w:rPr>
        <w:t>Other Agreements</w:t>
      </w:r>
      <w:r>
        <w:rPr>
          <w:sz w:val="20"/>
          <w:szCs w:val="20"/>
          <w:color w:val="auto"/>
        </w:rPr>
        <w:tab/>
      </w:r>
      <w:r>
        <w:rPr>
          <w:rFonts w:ascii="Courier New" w:cs="Courier New" w:eastAsia="Courier New" w:hAnsi="Courier New"/>
          <w:sz w:val="16"/>
          <w:szCs w:val="16"/>
          <w:color w:val="auto"/>
        </w:rPr>
        <w:t>36</w:t>
      </w:r>
    </w:p>
    <w:p>
      <w:pPr>
        <w:spacing w:after="0" w:line="188" w:lineRule="exact"/>
        <w:rPr>
          <w:sz w:val="20"/>
          <w:szCs w:val="20"/>
          <w:color w:val="auto"/>
        </w:rPr>
      </w:pPr>
    </w:p>
    <w:p>
      <w:pPr>
        <w:ind w:left="580"/>
        <w:spacing w:after="0"/>
        <w:tabs>
          <w:tab w:leader="none" w:pos="1420" w:val="left"/>
          <w:tab w:leader="dot" w:pos="10940" w:val="left"/>
        </w:tabs>
        <w:rPr>
          <w:sz w:val="20"/>
          <w:szCs w:val="20"/>
          <w:color w:val="auto"/>
        </w:rPr>
      </w:pPr>
      <w:r>
        <w:rPr>
          <w:rFonts w:ascii="Courier New" w:cs="Courier New" w:eastAsia="Courier New" w:hAnsi="Courier New"/>
          <w:sz w:val="16"/>
          <w:szCs w:val="16"/>
          <w:color w:val="auto"/>
        </w:rPr>
        <w:t>4.2.</w:t>
      </w:r>
      <w:r>
        <w:rPr>
          <w:sz w:val="20"/>
          <w:szCs w:val="20"/>
          <w:color w:val="auto"/>
        </w:rPr>
        <w:tab/>
      </w:r>
      <w:r>
        <w:rPr>
          <w:rFonts w:ascii="Courier New" w:cs="Courier New" w:eastAsia="Courier New" w:hAnsi="Courier New"/>
          <w:sz w:val="16"/>
          <w:szCs w:val="16"/>
          <w:color w:val="auto"/>
        </w:rPr>
        <w:t>Covenants of Chase</w:t>
      </w:r>
      <w:r>
        <w:rPr>
          <w:sz w:val="20"/>
          <w:szCs w:val="20"/>
          <w:color w:val="auto"/>
        </w:rPr>
        <w:tab/>
      </w:r>
      <w:r>
        <w:rPr>
          <w:rFonts w:ascii="Courier New" w:cs="Courier New" w:eastAsia="Courier New" w:hAnsi="Courier New"/>
          <w:sz w:val="16"/>
          <w:szCs w:val="16"/>
          <w:color w:val="auto"/>
        </w:rPr>
        <w:t>36</w:t>
      </w:r>
    </w:p>
    <w:p>
      <w:pPr>
        <w:spacing w:after="0" w:line="188" w:lineRule="exact"/>
        <w:rPr>
          <w:sz w:val="20"/>
          <w:szCs w:val="20"/>
          <w:color w:val="auto"/>
        </w:rPr>
      </w:pPr>
    </w:p>
    <w:p>
      <w:pPr>
        <w:jc w:val="right"/>
        <w:spacing w:after="0"/>
        <w:tabs>
          <w:tab w:leader="none" w:pos="8820" w:val="left"/>
          <w:tab w:leader="dot" w:pos="180" w:val="left"/>
        </w:tabs>
        <w:rPr>
          <w:sz w:val="20"/>
          <w:szCs w:val="20"/>
          <w:color w:val="auto"/>
        </w:rPr>
      </w:pPr>
      <w:r>
        <w:rPr>
          <w:rFonts w:ascii="Courier New" w:cs="Courier New" w:eastAsia="Courier New" w:hAnsi="Courier New"/>
          <w:sz w:val="16"/>
          <w:szCs w:val="16"/>
          <w:color w:val="auto"/>
        </w:rPr>
        <w:t>(a)</w:t>
      </w:r>
      <w:r>
        <w:rPr>
          <w:sz w:val="20"/>
          <w:szCs w:val="20"/>
          <w:color w:val="auto"/>
        </w:rPr>
        <w:tab/>
      </w:r>
      <w:r>
        <w:rPr>
          <w:rFonts w:ascii="Courier New" w:cs="Courier New" w:eastAsia="Courier New" w:hAnsi="Courier New"/>
          <w:sz w:val="16"/>
          <w:szCs w:val="16"/>
          <w:color w:val="auto"/>
        </w:rPr>
        <w:t>Ordinary Course</w:t>
      </w:r>
      <w:r>
        <w:rPr>
          <w:sz w:val="20"/>
          <w:szCs w:val="20"/>
          <w:color w:val="auto"/>
        </w:rPr>
        <w:tab/>
      </w:r>
      <w:r>
        <w:rPr>
          <w:rFonts w:ascii="Courier New" w:cs="Courier New" w:eastAsia="Courier New" w:hAnsi="Courier New"/>
          <w:sz w:val="16"/>
          <w:szCs w:val="16"/>
          <w:color w:val="auto"/>
        </w:rPr>
        <w:t>36</w:t>
      </w:r>
    </w:p>
    <w:p>
      <w:pPr>
        <w:spacing w:after="0" w:line="188" w:lineRule="exact"/>
        <w:rPr>
          <w:sz w:val="20"/>
          <w:szCs w:val="20"/>
          <w:color w:val="auto"/>
        </w:rPr>
      </w:pPr>
    </w:p>
    <w:p>
      <w:pPr>
        <w:jc w:val="right"/>
        <w:spacing w:after="0"/>
        <w:tabs>
          <w:tab w:leader="none" w:pos="8820" w:val="left"/>
          <w:tab w:leader="dot" w:pos="180" w:val="left"/>
        </w:tabs>
        <w:rPr>
          <w:sz w:val="20"/>
          <w:szCs w:val="20"/>
          <w:color w:val="auto"/>
        </w:rPr>
      </w:pPr>
      <w:r>
        <w:rPr>
          <w:rFonts w:ascii="Courier New" w:cs="Courier New" w:eastAsia="Courier New" w:hAnsi="Courier New"/>
          <w:sz w:val="16"/>
          <w:szCs w:val="16"/>
          <w:color w:val="auto"/>
        </w:rPr>
        <w:t>(b)</w:t>
      </w:r>
      <w:r>
        <w:rPr>
          <w:sz w:val="20"/>
          <w:szCs w:val="20"/>
          <w:color w:val="auto"/>
        </w:rPr>
        <w:tab/>
      </w:r>
      <w:r>
        <w:rPr>
          <w:rFonts w:ascii="Courier New" w:cs="Courier New" w:eastAsia="Courier New" w:hAnsi="Courier New"/>
          <w:sz w:val="16"/>
          <w:szCs w:val="16"/>
          <w:color w:val="auto"/>
        </w:rPr>
        <w:t>Dividends; Changes in Stock</w:t>
      </w:r>
      <w:r>
        <w:rPr>
          <w:sz w:val="20"/>
          <w:szCs w:val="20"/>
          <w:color w:val="auto"/>
        </w:rPr>
        <w:tab/>
      </w:r>
      <w:r>
        <w:rPr>
          <w:rFonts w:ascii="Courier New" w:cs="Courier New" w:eastAsia="Courier New" w:hAnsi="Courier New"/>
          <w:sz w:val="16"/>
          <w:szCs w:val="16"/>
          <w:color w:val="auto"/>
        </w:rPr>
        <w:t>37</w:t>
      </w:r>
    </w:p>
    <w:p>
      <w:pPr>
        <w:spacing w:after="0" w:line="188" w:lineRule="exact"/>
        <w:rPr>
          <w:sz w:val="20"/>
          <w:szCs w:val="20"/>
          <w:color w:val="auto"/>
        </w:rPr>
      </w:pPr>
    </w:p>
    <w:p>
      <w:pPr>
        <w:jc w:val="right"/>
        <w:spacing w:after="0"/>
        <w:tabs>
          <w:tab w:leader="none" w:pos="8820" w:val="left"/>
          <w:tab w:leader="dot" w:pos="180" w:val="left"/>
        </w:tabs>
        <w:rPr>
          <w:sz w:val="20"/>
          <w:szCs w:val="20"/>
          <w:color w:val="auto"/>
        </w:rPr>
      </w:pPr>
      <w:r>
        <w:rPr>
          <w:rFonts w:ascii="Courier New" w:cs="Courier New" w:eastAsia="Courier New" w:hAnsi="Courier New"/>
          <w:sz w:val="16"/>
          <w:szCs w:val="16"/>
          <w:color w:val="auto"/>
        </w:rPr>
        <w:t>(c)</w:t>
      </w:r>
      <w:r>
        <w:rPr>
          <w:sz w:val="20"/>
          <w:szCs w:val="20"/>
          <w:color w:val="auto"/>
        </w:rPr>
        <w:tab/>
      </w:r>
      <w:r>
        <w:rPr>
          <w:rFonts w:ascii="Courier New" w:cs="Courier New" w:eastAsia="Courier New" w:hAnsi="Courier New"/>
          <w:sz w:val="16"/>
          <w:szCs w:val="16"/>
          <w:color w:val="auto"/>
        </w:rPr>
        <w:t>Issuance of Securities</w:t>
      </w:r>
      <w:r>
        <w:rPr>
          <w:sz w:val="20"/>
          <w:szCs w:val="20"/>
          <w:color w:val="auto"/>
        </w:rPr>
        <w:tab/>
      </w:r>
      <w:r>
        <w:rPr>
          <w:rFonts w:ascii="Courier New" w:cs="Courier New" w:eastAsia="Courier New" w:hAnsi="Courier New"/>
          <w:sz w:val="16"/>
          <w:szCs w:val="16"/>
          <w:color w:val="auto"/>
        </w:rPr>
        <w:t>37</w:t>
      </w:r>
    </w:p>
    <w:p>
      <w:pPr>
        <w:spacing w:after="0" w:line="188" w:lineRule="exact"/>
        <w:rPr>
          <w:sz w:val="20"/>
          <w:szCs w:val="20"/>
          <w:color w:val="auto"/>
        </w:rPr>
      </w:pPr>
    </w:p>
    <w:p>
      <w:pPr>
        <w:jc w:val="right"/>
        <w:spacing w:after="0"/>
        <w:tabs>
          <w:tab w:leader="none" w:pos="8820" w:val="left"/>
          <w:tab w:leader="dot" w:pos="180" w:val="left"/>
        </w:tabs>
        <w:rPr>
          <w:sz w:val="20"/>
          <w:szCs w:val="20"/>
          <w:color w:val="auto"/>
        </w:rPr>
      </w:pPr>
      <w:r>
        <w:rPr>
          <w:rFonts w:ascii="Courier New" w:cs="Courier New" w:eastAsia="Courier New" w:hAnsi="Courier New"/>
          <w:sz w:val="16"/>
          <w:szCs w:val="16"/>
          <w:color w:val="auto"/>
        </w:rPr>
        <w:t>(d)</w:t>
      </w:r>
      <w:r>
        <w:rPr>
          <w:sz w:val="20"/>
          <w:szCs w:val="20"/>
          <w:color w:val="auto"/>
        </w:rPr>
        <w:tab/>
      </w:r>
      <w:r>
        <w:rPr>
          <w:rFonts w:ascii="Courier New" w:cs="Courier New" w:eastAsia="Courier New" w:hAnsi="Courier New"/>
          <w:sz w:val="16"/>
          <w:szCs w:val="16"/>
          <w:color w:val="auto"/>
        </w:rPr>
        <w:t>Governing Documents</w:t>
      </w:r>
      <w:r>
        <w:rPr>
          <w:sz w:val="20"/>
          <w:szCs w:val="20"/>
          <w:color w:val="auto"/>
        </w:rPr>
        <w:tab/>
      </w:r>
      <w:r>
        <w:rPr>
          <w:rFonts w:ascii="Courier New" w:cs="Courier New" w:eastAsia="Courier New" w:hAnsi="Courier New"/>
          <w:sz w:val="16"/>
          <w:szCs w:val="16"/>
          <w:color w:val="auto"/>
        </w:rPr>
        <w:t>37</w:t>
      </w:r>
    </w:p>
    <w:p>
      <w:pPr>
        <w:spacing w:after="0" w:line="188" w:lineRule="exact"/>
        <w:rPr>
          <w:sz w:val="20"/>
          <w:szCs w:val="20"/>
          <w:color w:val="auto"/>
        </w:rPr>
      </w:pPr>
    </w:p>
    <w:p>
      <w:pPr>
        <w:jc w:val="right"/>
        <w:spacing w:after="0"/>
        <w:tabs>
          <w:tab w:leader="none" w:pos="8820" w:val="left"/>
          <w:tab w:leader="dot" w:pos="180" w:val="left"/>
        </w:tabs>
        <w:rPr>
          <w:sz w:val="20"/>
          <w:szCs w:val="20"/>
          <w:color w:val="auto"/>
        </w:rPr>
      </w:pPr>
      <w:r>
        <w:rPr>
          <w:rFonts w:ascii="Courier New" w:cs="Courier New" w:eastAsia="Courier New" w:hAnsi="Courier New"/>
          <w:sz w:val="16"/>
          <w:szCs w:val="16"/>
          <w:color w:val="auto"/>
        </w:rPr>
        <w:t>(e)</w:t>
      </w:r>
      <w:r>
        <w:rPr>
          <w:sz w:val="20"/>
          <w:szCs w:val="20"/>
          <w:color w:val="auto"/>
        </w:rPr>
        <w:tab/>
      </w:r>
      <w:r>
        <w:rPr>
          <w:rFonts w:ascii="Courier New" w:cs="Courier New" w:eastAsia="Courier New" w:hAnsi="Courier New"/>
          <w:sz w:val="16"/>
          <w:szCs w:val="16"/>
          <w:color w:val="auto"/>
        </w:rPr>
        <w:t>No Acquisitions</w:t>
      </w:r>
      <w:r>
        <w:rPr>
          <w:sz w:val="20"/>
          <w:szCs w:val="20"/>
          <w:color w:val="auto"/>
        </w:rPr>
        <w:tab/>
      </w:r>
      <w:r>
        <w:rPr>
          <w:rFonts w:ascii="Courier New" w:cs="Courier New" w:eastAsia="Courier New" w:hAnsi="Courier New"/>
          <w:sz w:val="16"/>
          <w:szCs w:val="16"/>
          <w:color w:val="auto"/>
        </w:rPr>
        <w:t>38</w:t>
      </w:r>
    </w:p>
    <w:p>
      <w:pPr>
        <w:spacing w:after="0" w:line="188" w:lineRule="exact"/>
        <w:rPr>
          <w:sz w:val="20"/>
          <w:szCs w:val="20"/>
          <w:color w:val="auto"/>
        </w:rPr>
      </w:pPr>
    </w:p>
    <w:p>
      <w:pPr>
        <w:jc w:val="right"/>
        <w:spacing w:after="0"/>
        <w:tabs>
          <w:tab w:leader="none" w:pos="8820" w:val="left"/>
          <w:tab w:leader="dot" w:pos="180" w:val="left"/>
        </w:tabs>
        <w:rPr>
          <w:sz w:val="20"/>
          <w:szCs w:val="20"/>
          <w:color w:val="auto"/>
        </w:rPr>
      </w:pPr>
      <w:r>
        <w:rPr>
          <w:rFonts w:ascii="Courier New" w:cs="Courier New" w:eastAsia="Courier New" w:hAnsi="Courier New"/>
          <w:sz w:val="16"/>
          <w:szCs w:val="16"/>
          <w:color w:val="auto"/>
        </w:rPr>
        <w:t>(f)</w:t>
      </w:r>
      <w:r>
        <w:rPr>
          <w:sz w:val="20"/>
          <w:szCs w:val="20"/>
          <w:color w:val="auto"/>
        </w:rPr>
        <w:tab/>
      </w:r>
      <w:r>
        <w:rPr>
          <w:rFonts w:ascii="Courier New" w:cs="Courier New" w:eastAsia="Courier New" w:hAnsi="Courier New"/>
          <w:sz w:val="16"/>
          <w:szCs w:val="16"/>
          <w:color w:val="auto"/>
        </w:rPr>
        <w:t>No Dispositions</w:t>
      </w:r>
      <w:r>
        <w:rPr>
          <w:sz w:val="20"/>
          <w:szCs w:val="20"/>
          <w:color w:val="auto"/>
        </w:rPr>
        <w:tab/>
      </w:r>
      <w:r>
        <w:rPr>
          <w:rFonts w:ascii="Courier New" w:cs="Courier New" w:eastAsia="Courier New" w:hAnsi="Courier New"/>
          <w:sz w:val="16"/>
          <w:szCs w:val="16"/>
          <w:color w:val="auto"/>
        </w:rPr>
        <w:t>38</w:t>
      </w:r>
    </w:p>
    <w:p>
      <w:pPr>
        <w:spacing w:after="0" w:line="188" w:lineRule="exact"/>
        <w:rPr>
          <w:sz w:val="20"/>
          <w:szCs w:val="20"/>
          <w:color w:val="auto"/>
        </w:rPr>
      </w:pPr>
    </w:p>
    <w:p>
      <w:pPr>
        <w:jc w:val="right"/>
        <w:spacing w:after="0"/>
        <w:tabs>
          <w:tab w:leader="none" w:pos="8820" w:val="left"/>
          <w:tab w:leader="dot" w:pos="180" w:val="left"/>
        </w:tabs>
        <w:rPr>
          <w:sz w:val="20"/>
          <w:szCs w:val="20"/>
          <w:color w:val="auto"/>
        </w:rPr>
      </w:pPr>
      <w:r>
        <w:rPr>
          <w:rFonts w:ascii="Courier New" w:cs="Courier New" w:eastAsia="Courier New" w:hAnsi="Courier New"/>
          <w:sz w:val="16"/>
          <w:szCs w:val="16"/>
          <w:color w:val="auto"/>
        </w:rPr>
        <w:t>(g)</w:t>
      </w:r>
      <w:r>
        <w:rPr>
          <w:sz w:val="20"/>
          <w:szCs w:val="20"/>
          <w:color w:val="auto"/>
        </w:rPr>
        <w:tab/>
      </w:r>
      <w:r>
        <w:rPr>
          <w:rFonts w:ascii="Courier New" w:cs="Courier New" w:eastAsia="Courier New" w:hAnsi="Courier New"/>
          <w:sz w:val="16"/>
          <w:szCs w:val="16"/>
          <w:color w:val="auto"/>
        </w:rPr>
        <w:t>Indebtedness</w:t>
      </w:r>
      <w:r>
        <w:rPr>
          <w:sz w:val="20"/>
          <w:szCs w:val="20"/>
          <w:color w:val="auto"/>
        </w:rPr>
        <w:tab/>
      </w:r>
      <w:r>
        <w:rPr>
          <w:rFonts w:ascii="Courier New" w:cs="Courier New" w:eastAsia="Courier New" w:hAnsi="Courier New"/>
          <w:sz w:val="16"/>
          <w:szCs w:val="16"/>
          <w:color w:val="auto"/>
        </w:rPr>
        <w:t>38</w:t>
      </w:r>
    </w:p>
    <w:p>
      <w:pPr>
        <w:spacing w:after="0" w:line="188" w:lineRule="exact"/>
        <w:rPr>
          <w:sz w:val="20"/>
          <w:szCs w:val="20"/>
          <w:color w:val="auto"/>
        </w:rPr>
      </w:pPr>
    </w:p>
    <w:p>
      <w:pPr>
        <w:jc w:val="right"/>
        <w:spacing w:after="0"/>
        <w:tabs>
          <w:tab w:leader="none" w:pos="8820" w:val="left"/>
          <w:tab w:leader="dot" w:pos="180" w:val="left"/>
        </w:tabs>
        <w:rPr>
          <w:sz w:val="20"/>
          <w:szCs w:val="20"/>
          <w:color w:val="auto"/>
        </w:rPr>
      </w:pPr>
      <w:r>
        <w:rPr>
          <w:rFonts w:ascii="Courier New" w:cs="Courier New" w:eastAsia="Courier New" w:hAnsi="Courier New"/>
          <w:sz w:val="16"/>
          <w:szCs w:val="16"/>
          <w:color w:val="auto"/>
        </w:rPr>
        <w:t>(h)</w:t>
      </w:r>
      <w:r>
        <w:rPr>
          <w:sz w:val="20"/>
          <w:szCs w:val="20"/>
          <w:color w:val="auto"/>
        </w:rPr>
        <w:tab/>
      </w:r>
      <w:r>
        <w:rPr>
          <w:rFonts w:ascii="Courier New" w:cs="Courier New" w:eastAsia="Courier New" w:hAnsi="Courier New"/>
          <w:sz w:val="16"/>
          <w:szCs w:val="16"/>
          <w:color w:val="auto"/>
        </w:rPr>
        <w:t>Other Actions</w:t>
      </w:r>
      <w:r>
        <w:rPr>
          <w:sz w:val="20"/>
          <w:szCs w:val="20"/>
          <w:color w:val="auto"/>
        </w:rPr>
        <w:tab/>
      </w:r>
      <w:r>
        <w:rPr>
          <w:rFonts w:ascii="Courier New" w:cs="Courier New" w:eastAsia="Courier New" w:hAnsi="Courier New"/>
          <w:sz w:val="16"/>
          <w:szCs w:val="16"/>
          <w:color w:val="auto"/>
        </w:rPr>
        <w:t>39</w:t>
      </w:r>
    </w:p>
    <w:p>
      <w:pPr>
        <w:spacing w:after="0" w:line="188" w:lineRule="exact"/>
        <w:rPr>
          <w:sz w:val="20"/>
          <w:szCs w:val="20"/>
          <w:color w:val="auto"/>
        </w:rPr>
      </w:pPr>
    </w:p>
    <w:p>
      <w:pPr>
        <w:jc w:val="right"/>
        <w:spacing w:after="0"/>
        <w:tabs>
          <w:tab w:leader="none" w:pos="8820" w:val="left"/>
          <w:tab w:leader="dot" w:pos="180" w:val="left"/>
        </w:tabs>
        <w:rPr>
          <w:sz w:val="20"/>
          <w:szCs w:val="20"/>
          <w:color w:val="auto"/>
        </w:rPr>
      </w:pPr>
      <w:r>
        <w:rPr>
          <w:rFonts w:ascii="Courier New" w:cs="Courier New" w:eastAsia="Courier New" w:hAnsi="Courier New"/>
          <w:sz w:val="16"/>
          <w:szCs w:val="16"/>
          <w:color w:val="auto"/>
        </w:rPr>
        <w:t>(i)</w:t>
      </w:r>
      <w:r>
        <w:rPr>
          <w:sz w:val="20"/>
          <w:szCs w:val="20"/>
          <w:color w:val="auto"/>
        </w:rPr>
        <w:tab/>
      </w:r>
      <w:r>
        <w:rPr>
          <w:rFonts w:ascii="Courier New" w:cs="Courier New" w:eastAsia="Courier New" w:hAnsi="Courier New"/>
          <w:sz w:val="16"/>
          <w:szCs w:val="16"/>
          <w:color w:val="auto"/>
        </w:rPr>
        <w:t>Accounting Methods</w:t>
      </w:r>
      <w:r>
        <w:rPr>
          <w:sz w:val="20"/>
          <w:szCs w:val="20"/>
          <w:color w:val="auto"/>
        </w:rPr>
        <w:tab/>
      </w:r>
      <w:r>
        <w:rPr>
          <w:rFonts w:ascii="Courier New" w:cs="Courier New" w:eastAsia="Courier New" w:hAnsi="Courier New"/>
          <w:sz w:val="16"/>
          <w:szCs w:val="16"/>
          <w:color w:val="auto"/>
        </w:rPr>
        <w:t>39</w:t>
      </w:r>
    </w:p>
    <w:p>
      <w:pPr>
        <w:spacing w:after="0" w:line="188" w:lineRule="exact"/>
        <w:rPr>
          <w:sz w:val="20"/>
          <w:szCs w:val="20"/>
          <w:color w:val="auto"/>
        </w:rPr>
      </w:pPr>
    </w:p>
    <w:p>
      <w:pPr>
        <w:jc w:val="right"/>
        <w:spacing w:after="0"/>
        <w:tabs>
          <w:tab w:leader="none" w:pos="8820" w:val="left"/>
          <w:tab w:leader="dot" w:pos="180" w:val="left"/>
        </w:tabs>
        <w:rPr>
          <w:sz w:val="20"/>
          <w:szCs w:val="20"/>
          <w:color w:val="auto"/>
        </w:rPr>
      </w:pPr>
      <w:r>
        <w:rPr>
          <w:rFonts w:ascii="Courier New" w:cs="Courier New" w:eastAsia="Courier New" w:hAnsi="Courier New"/>
          <w:sz w:val="16"/>
          <w:szCs w:val="16"/>
          <w:color w:val="auto"/>
        </w:rPr>
        <w:t>(j)</w:t>
      </w:r>
      <w:r>
        <w:rPr>
          <w:sz w:val="20"/>
          <w:szCs w:val="20"/>
          <w:color w:val="auto"/>
        </w:rPr>
        <w:tab/>
      </w:r>
      <w:r>
        <w:rPr>
          <w:rFonts w:ascii="Courier New" w:cs="Courier New" w:eastAsia="Courier New" w:hAnsi="Courier New"/>
          <w:sz w:val="16"/>
          <w:szCs w:val="16"/>
          <w:color w:val="auto"/>
        </w:rPr>
        <w:t>Pooling and Tax-Free Reorganization Treatment</w:t>
      </w:r>
      <w:r>
        <w:rPr>
          <w:sz w:val="20"/>
          <w:szCs w:val="20"/>
          <w:color w:val="auto"/>
        </w:rPr>
        <w:tab/>
      </w:r>
      <w:r>
        <w:rPr>
          <w:rFonts w:ascii="Courier New" w:cs="Courier New" w:eastAsia="Courier New" w:hAnsi="Courier New"/>
          <w:sz w:val="16"/>
          <w:szCs w:val="16"/>
          <w:color w:val="auto"/>
        </w:rPr>
        <w:t>39</w:t>
      </w:r>
    </w:p>
    <w:p>
      <w:pPr>
        <w:spacing w:after="0" w:line="188" w:lineRule="exact"/>
        <w:rPr>
          <w:sz w:val="20"/>
          <w:szCs w:val="20"/>
          <w:color w:val="auto"/>
        </w:rPr>
      </w:pPr>
    </w:p>
    <w:p>
      <w:pPr>
        <w:jc w:val="right"/>
        <w:spacing w:after="0"/>
        <w:tabs>
          <w:tab w:leader="none" w:pos="8820" w:val="left"/>
          <w:tab w:leader="dot" w:pos="180" w:val="left"/>
        </w:tabs>
        <w:rPr>
          <w:sz w:val="20"/>
          <w:szCs w:val="20"/>
          <w:color w:val="auto"/>
        </w:rPr>
      </w:pPr>
      <w:r>
        <w:rPr>
          <w:rFonts w:ascii="Courier New" w:cs="Courier New" w:eastAsia="Courier New" w:hAnsi="Courier New"/>
          <w:sz w:val="16"/>
          <w:szCs w:val="16"/>
          <w:color w:val="auto"/>
        </w:rPr>
        <w:t>(k)</w:t>
      </w:r>
      <w:r>
        <w:rPr>
          <w:sz w:val="20"/>
          <w:szCs w:val="20"/>
          <w:color w:val="auto"/>
        </w:rPr>
        <w:tab/>
      </w:r>
      <w:r>
        <w:rPr>
          <w:rFonts w:ascii="Courier New" w:cs="Courier New" w:eastAsia="Courier New" w:hAnsi="Courier New"/>
          <w:sz w:val="16"/>
          <w:szCs w:val="16"/>
          <w:color w:val="auto"/>
        </w:rPr>
        <w:t>No Liquidation</w:t>
      </w:r>
      <w:r>
        <w:rPr>
          <w:sz w:val="20"/>
          <w:szCs w:val="20"/>
          <w:color w:val="auto"/>
        </w:rPr>
        <w:tab/>
      </w:r>
      <w:r>
        <w:rPr>
          <w:rFonts w:ascii="Courier New" w:cs="Courier New" w:eastAsia="Courier New" w:hAnsi="Courier New"/>
          <w:sz w:val="16"/>
          <w:szCs w:val="16"/>
          <w:color w:val="auto"/>
        </w:rPr>
        <w:t>39</w:t>
      </w:r>
    </w:p>
    <w:p>
      <w:pPr>
        <w:sectPr>
          <w:pgSz w:w="11900" w:h="16838" w:orient="portrait"/>
          <w:cols w:equalWidth="0" w:num="1">
            <w:col w:w="11160"/>
          </w:cols>
          <w:pgMar w:left="520" w:top="300" w:right="21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81"/>
        </w:trPr>
        <w:tc>
          <w:tcPr>
            <w:tcW w:w="1540" w:type="dxa"/>
            <w:vAlign w:val="bottom"/>
          </w:tcPr>
          <w:p>
            <w:pPr>
              <w:ind w:left="280"/>
              <w:spacing w:after="0"/>
              <w:rPr>
                <w:sz w:val="20"/>
                <w:szCs w:val="20"/>
                <w:color w:val="auto"/>
              </w:rPr>
            </w:pPr>
            <w:r>
              <w:rPr>
                <w:rFonts w:ascii="Courier New" w:cs="Courier New" w:eastAsia="Courier New" w:hAnsi="Courier New"/>
                <w:sz w:val="16"/>
                <w:szCs w:val="16"/>
                <w:color w:val="auto"/>
              </w:rPr>
              <w:t>6</w:t>
            </w:r>
          </w:p>
        </w:tc>
        <w:tc>
          <w:tcPr>
            <w:tcW w:w="1060" w:type="dxa"/>
            <w:vAlign w:val="bottom"/>
          </w:tcPr>
          <w:p>
            <w:pPr>
              <w:spacing w:after="0"/>
              <w:rPr>
                <w:sz w:val="15"/>
                <w:szCs w:val="15"/>
                <w:color w:val="auto"/>
              </w:rPr>
            </w:pPr>
          </w:p>
        </w:tc>
        <w:tc>
          <w:tcPr>
            <w:tcW w:w="8360" w:type="dxa"/>
            <w:vAlign w:val="bottom"/>
          </w:tcPr>
          <w:p>
            <w:pPr>
              <w:spacing w:after="0"/>
              <w:rPr>
                <w:sz w:val="15"/>
                <w:szCs w:val="15"/>
                <w:color w:val="auto"/>
              </w:rPr>
            </w:pPr>
          </w:p>
        </w:tc>
        <w:tc>
          <w:tcPr>
            <w:tcW w:w="480" w:type="dxa"/>
            <w:vAlign w:val="bottom"/>
          </w:tcPr>
          <w:p>
            <w:pPr>
              <w:spacing w:after="0"/>
              <w:rPr>
                <w:sz w:val="15"/>
                <w:szCs w:val="15"/>
                <w:color w:val="auto"/>
              </w:rPr>
            </w:pPr>
          </w:p>
        </w:tc>
      </w:tr>
      <w:tr>
        <w:trPr>
          <w:trHeight w:val="739"/>
        </w:trPr>
        <w:tc>
          <w:tcPr>
            <w:tcW w:w="15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36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Page</w:t>
            </w:r>
          </w:p>
        </w:tc>
      </w:tr>
      <w:tr>
        <w:trPr>
          <w:trHeight w:val="185"/>
        </w:trPr>
        <w:tc>
          <w:tcPr>
            <w:tcW w:w="15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36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554"/>
        </w:trPr>
        <w:tc>
          <w:tcPr>
            <w:tcW w:w="1540" w:type="dxa"/>
            <w:vAlign w:val="bottom"/>
          </w:tcPr>
          <w:p>
            <w:pPr>
              <w:spacing w:after="0"/>
              <w:rPr>
                <w:sz w:val="24"/>
                <w:szCs w:val="24"/>
                <w:color w:val="auto"/>
              </w:rPr>
            </w:pPr>
          </w:p>
        </w:tc>
        <w:tc>
          <w:tcPr>
            <w:tcW w:w="1060" w:type="dxa"/>
            <w:vAlign w:val="bottom"/>
          </w:tcPr>
          <w:p>
            <w:pPr>
              <w:ind w:left="180"/>
              <w:spacing w:after="0"/>
              <w:rPr>
                <w:sz w:val="20"/>
                <w:szCs w:val="20"/>
                <w:color w:val="auto"/>
              </w:rPr>
            </w:pPr>
            <w:r>
              <w:rPr>
                <w:rFonts w:ascii="Courier New" w:cs="Courier New" w:eastAsia="Courier New" w:hAnsi="Courier New"/>
                <w:sz w:val="16"/>
                <w:szCs w:val="16"/>
                <w:color w:val="auto"/>
              </w:rPr>
              <w:t>(l)</w:t>
            </w:r>
          </w:p>
        </w:tc>
        <w:tc>
          <w:tcPr>
            <w:tcW w:w="836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9"/>
              </w:rPr>
              <w:t>Other Agreements......................................................................</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39</w:t>
            </w:r>
          </w:p>
        </w:tc>
      </w:tr>
      <w:tr>
        <w:trPr>
          <w:trHeight w:val="370"/>
        </w:trPr>
        <w:tc>
          <w:tcPr>
            <w:tcW w:w="1540" w:type="dxa"/>
            <w:vAlign w:val="bottom"/>
          </w:tcPr>
          <w:p>
            <w:pPr>
              <w:ind w:left="860"/>
              <w:spacing w:after="0"/>
              <w:rPr>
                <w:sz w:val="20"/>
                <w:szCs w:val="20"/>
                <w:color w:val="auto"/>
              </w:rPr>
            </w:pPr>
            <w:r>
              <w:rPr>
                <w:rFonts w:ascii="Courier New" w:cs="Courier New" w:eastAsia="Courier New" w:hAnsi="Courier New"/>
                <w:sz w:val="16"/>
                <w:szCs w:val="16"/>
                <w:color w:val="auto"/>
              </w:rPr>
              <w:t>4.3.</w:t>
            </w:r>
          </w:p>
        </w:tc>
        <w:tc>
          <w:tcPr>
            <w:tcW w:w="942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Transition.....................................................................................</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39</w:t>
            </w:r>
          </w:p>
        </w:tc>
      </w:tr>
      <w:tr>
        <w:trPr>
          <w:trHeight w:val="370"/>
        </w:trPr>
        <w:tc>
          <w:tcPr>
            <w:tcW w:w="1540" w:type="dxa"/>
            <w:vAlign w:val="bottom"/>
          </w:tcPr>
          <w:p>
            <w:pPr>
              <w:ind w:left="860"/>
              <w:spacing w:after="0"/>
              <w:rPr>
                <w:sz w:val="20"/>
                <w:szCs w:val="20"/>
                <w:color w:val="auto"/>
              </w:rPr>
            </w:pPr>
            <w:r>
              <w:rPr>
                <w:rFonts w:ascii="Courier New" w:cs="Courier New" w:eastAsia="Courier New" w:hAnsi="Courier New"/>
                <w:sz w:val="16"/>
                <w:szCs w:val="16"/>
                <w:color w:val="auto"/>
              </w:rPr>
              <w:t>4.4.</w:t>
            </w:r>
          </w:p>
        </w:tc>
        <w:tc>
          <w:tcPr>
            <w:tcW w:w="942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Advice of Changes; Government Filings..........................................................</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40</w:t>
            </w:r>
          </w:p>
        </w:tc>
      </w:tr>
      <w:tr>
        <w:trPr>
          <w:trHeight w:val="370"/>
        </w:trPr>
        <w:tc>
          <w:tcPr>
            <w:tcW w:w="1540" w:type="dxa"/>
            <w:vAlign w:val="bottom"/>
          </w:tcPr>
          <w:p>
            <w:pPr>
              <w:ind w:left="860"/>
              <w:spacing w:after="0"/>
              <w:rPr>
                <w:sz w:val="20"/>
                <w:szCs w:val="20"/>
                <w:color w:val="auto"/>
              </w:rPr>
            </w:pPr>
            <w:r>
              <w:rPr>
                <w:rFonts w:ascii="Courier New" w:cs="Courier New" w:eastAsia="Courier New" w:hAnsi="Courier New"/>
                <w:sz w:val="16"/>
                <w:szCs w:val="16"/>
                <w:color w:val="auto"/>
              </w:rPr>
              <w:t>4.5.</w:t>
            </w:r>
          </w:p>
        </w:tc>
        <w:tc>
          <w:tcPr>
            <w:tcW w:w="942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Control of Other Party's Business..............................................................</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40</w:t>
            </w:r>
          </w:p>
        </w:tc>
      </w:tr>
      <w:tr>
        <w:trPr>
          <w:trHeight w:val="370"/>
        </w:trPr>
        <w:tc>
          <w:tcPr>
            <w:tcW w:w="10960" w:type="dxa"/>
            <w:vAlign w:val="bottom"/>
            <w:gridSpan w:val="3"/>
          </w:tcPr>
          <w:p>
            <w:pPr>
              <w:jc w:val="right"/>
              <w:ind w:right="20"/>
              <w:spacing w:after="0"/>
              <w:rPr>
                <w:sz w:val="20"/>
                <w:szCs w:val="20"/>
                <w:color w:val="auto"/>
              </w:rPr>
            </w:pPr>
            <w:r>
              <w:rPr>
                <w:rFonts w:ascii="Courier New" w:cs="Courier New" w:eastAsia="Courier New" w:hAnsi="Courier New"/>
                <w:sz w:val="16"/>
                <w:szCs w:val="16"/>
                <w:color w:val="auto"/>
                <w:w w:val="99"/>
              </w:rPr>
              <w:t>ARTICLE V ADDITIONAL AGREEMENTS..................................................................................</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40</w:t>
            </w:r>
          </w:p>
        </w:tc>
      </w:tr>
      <w:tr>
        <w:trPr>
          <w:trHeight w:val="370"/>
        </w:trPr>
        <w:tc>
          <w:tcPr>
            <w:tcW w:w="1540" w:type="dxa"/>
            <w:vAlign w:val="bottom"/>
          </w:tcPr>
          <w:p>
            <w:pPr>
              <w:ind w:left="860"/>
              <w:spacing w:after="0"/>
              <w:rPr>
                <w:sz w:val="20"/>
                <w:szCs w:val="20"/>
                <w:color w:val="auto"/>
              </w:rPr>
            </w:pPr>
            <w:r>
              <w:rPr>
                <w:rFonts w:ascii="Courier New" w:cs="Courier New" w:eastAsia="Courier New" w:hAnsi="Courier New"/>
                <w:sz w:val="16"/>
                <w:szCs w:val="16"/>
                <w:color w:val="auto"/>
              </w:rPr>
              <w:t>5.1.</w:t>
            </w:r>
          </w:p>
        </w:tc>
        <w:tc>
          <w:tcPr>
            <w:tcW w:w="942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Preparation of Proxy Statement; Stockholders Meetings..........................................</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40</w:t>
            </w:r>
          </w:p>
        </w:tc>
      </w:tr>
      <w:tr>
        <w:trPr>
          <w:trHeight w:val="370"/>
        </w:trPr>
        <w:tc>
          <w:tcPr>
            <w:tcW w:w="1540" w:type="dxa"/>
            <w:vAlign w:val="bottom"/>
          </w:tcPr>
          <w:p>
            <w:pPr>
              <w:ind w:left="860"/>
              <w:spacing w:after="0"/>
              <w:rPr>
                <w:sz w:val="20"/>
                <w:szCs w:val="20"/>
                <w:color w:val="auto"/>
              </w:rPr>
            </w:pPr>
            <w:r>
              <w:rPr>
                <w:rFonts w:ascii="Courier New" w:cs="Courier New" w:eastAsia="Courier New" w:hAnsi="Courier New"/>
                <w:sz w:val="16"/>
                <w:szCs w:val="16"/>
                <w:color w:val="auto"/>
              </w:rPr>
              <w:t>5.2.</w:t>
            </w:r>
          </w:p>
        </w:tc>
        <w:tc>
          <w:tcPr>
            <w:tcW w:w="942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Access to Information..........................................................................</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42</w:t>
            </w:r>
          </w:p>
        </w:tc>
      </w:tr>
      <w:tr>
        <w:trPr>
          <w:trHeight w:val="370"/>
        </w:trPr>
        <w:tc>
          <w:tcPr>
            <w:tcW w:w="1540" w:type="dxa"/>
            <w:vAlign w:val="bottom"/>
          </w:tcPr>
          <w:p>
            <w:pPr>
              <w:ind w:left="860"/>
              <w:spacing w:after="0"/>
              <w:rPr>
                <w:sz w:val="20"/>
                <w:szCs w:val="20"/>
                <w:color w:val="auto"/>
              </w:rPr>
            </w:pPr>
            <w:r>
              <w:rPr>
                <w:rFonts w:ascii="Courier New" w:cs="Courier New" w:eastAsia="Courier New" w:hAnsi="Courier New"/>
                <w:sz w:val="16"/>
                <w:szCs w:val="16"/>
                <w:color w:val="auto"/>
              </w:rPr>
              <w:t>5.3.</w:t>
            </w:r>
          </w:p>
        </w:tc>
        <w:tc>
          <w:tcPr>
            <w:tcW w:w="942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Reasonable Best Efforts........................................................................</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43</w:t>
            </w:r>
          </w:p>
        </w:tc>
      </w:tr>
      <w:tr>
        <w:trPr>
          <w:trHeight w:val="370"/>
        </w:trPr>
        <w:tc>
          <w:tcPr>
            <w:tcW w:w="1540" w:type="dxa"/>
            <w:vAlign w:val="bottom"/>
          </w:tcPr>
          <w:p>
            <w:pPr>
              <w:ind w:left="860"/>
              <w:spacing w:after="0"/>
              <w:rPr>
                <w:sz w:val="20"/>
                <w:szCs w:val="20"/>
                <w:color w:val="auto"/>
              </w:rPr>
            </w:pPr>
            <w:r>
              <w:rPr>
                <w:rFonts w:ascii="Courier New" w:cs="Courier New" w:eastAsia="Courier New" w:hAnsi="Courier New"/>
                <w:sz w:val="16"/>
                <w:szCs w:val="16"/>
                <w:color w:val="auto"/>
              </w:rPr>
              <w:t>5.4.</w:t>
            </w:r>
          </w:p>
        </w:tc>
        <w:tc>
          <w:tcPr>
            <w:tcW w:w="942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Acquisition Proposals..........................................................................</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43</w:t>
            </w:r>
          </w:p>
        </w:tc>
      </w:tr>
      <w:tr>
        <w:trPr>
          <w:trHeight w:val="370"/>
        </w:trPr>
        <w:tc>
          <w:tcPr>
            <w:tcW w:w="1540" w:type="dxa"/>
            <w:vAlign w:val="bottom"/>
          </w:tcPr>
          <w:p>
            <w:pPr>
              <w:ind w:left="860"/>
              <w:spacing w:after="0"/>
              <w:rPr>
                <w:sz w:val="20"/>
                <w:szCs w:val="20"/>
                <w:color w:val="auto"/>
              </w:rPr>
            </w:pPr>
            <w:r>
              <w:rPr>
                <w:rFonts w:ascii="Courier New" w:cs="Courier New" w:eastAsia="Courier New" w:hAnsi="Courier New"/>
                <w:sz w:val="16"/>
                <w:szCs w:val="16"/>
                <w:color w:val="auto"/>
              </w:rPr>
              <w:t>5.5.</w:t>
            </w:r>
          </w:p>
        </w:tc>
        <w:tc>
          <w:tcPr>
            <w:tcW w:w="942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Affiliates.....................................................................................</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46</w:t>
            </w:r>
          </w:p>
        </w:tc>
      </w:tr>
      <w:tr>
        <w:trPr>
          <w:trHeight w:val="370"/>
        </w:trPr>
        <w:tc>
          <w:tcPr>
            <w:tcW w:w="1540" w:type="dxa"/>
            <w:vAlign w:val="bottom"/>
          </w:tcPr>
          <w:p>
            <w:pPr>
              <w:ind w:left="860"/>
              <w:spacing w:after="0"/>
              <w:rPr>
                <w:sz w:val="20"/>
                <w:szCs w:val="20"/>
                <w:color w:val="auto"/>
              </w:rPr>
            </w:pPr>
            <w:r>
              <w:rPr>
                <w:rFonts w:ascii="Courier New" w:cs="Courier New" w:eastAsia="Courier New" w:hAnsi="Courier New"/>
                <w:sz w:val="16"/>
                <w:szCs w:val="16"/>
                <w:color w:val="auto"/>
              </w:rPr>
              <w:t>5.6.</w:t>
            </w:r>
          </w:p>
        </w:tc>
        <w:tc>
          <w:tcPr>
            <w:tcW w:w="942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Stock Exchange Listing.........................................................................</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46</w:t>
            </w:r>
          </w:p>
        </w:tc>
      </w:tr>
      <w:tr>
        <w:trPr>
          <w:trHeight w:val="370"/>
        </w:trPr>
        <w:tc>
          <w:tcPr>
            <w:tcW w:w="1540" w:type="dxa"/>
            <w:vAlign w:val="bottom"/>
          </w:tcPr>
          <w:p>
            <w:pPr>
              <w:ind w:left="860"/>
              <w:spacing w:after="0"/>
              <w:rPr>
                <w:sz w:val="20"/>
                <w:szCs w:val="20"/>
                <w:color w:val="auto"/>
              </w:rPr>
            </w:pPr>
            <w:r>
              <w:rPr>
                <w:rFonts w:ascii="Courier New" w:cs="Courier New" w:eastAsia="Courier New" w:hAnsi="Courier New"/>
                <w:sz w:val="16"/>
                <w:szCs w:val="16"/>
                <w:color w:val="auto"/>
              </w:rPr>
              <w:t>5.7.</w:t>
            </w:r>
          </w:p>
        </w:tc>
        <w:tc>
          <w:tcPr>
            <w:tcW w:w="942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Employee Benefit Plans.........................................................................</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46</w:t>
            </w:r>
          </w:p>
        </w:tc>
      </w:tr>
      <w:tr>
        <w:trPr>
          <w:trHeight w:val="370"/>
        </w:trPr>
        <w:tc>
          <w:tcPr>
            <w:tcW w:w="1540" w:type="dxa"/>
            <w:vAlign w:val="bottom"/>
          </w:tcPr>
          <w:p>
            <w:pPr>
              <w:ind w:left="860"/>
              <w:spacing w:after="0"/>
              <w:rPr>
                <w:sz w:val="20"/>
                <w:szCs w:val="20"/>
                <w:color w:val="auto"/>
              </w:rPr>
            </w:pPr>
            <w:r>
              <w:rPr>
                <w:rFonts w:ascii="Courier New" w:cs="Courier New" w:eastAsia="Courier New" w:hAnsi="Courier New"/>
                <w:sz w:val="16"/>
                <w:szCs w:val="16"/>
                <w:color w:val="auto"/>
              </w:rPr>
              <w:t>5.8.</w:t>
            </w:r>
          </w:p>
        </w:tc>
        <w:tc>
          <w:tcPr>
            <w:tcW w:w="942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Stock Options, SARs and Restricted Stock Units.................................................</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47</w:t>
            </w:r>
          </w:p>
        </w:tc>
      </w:tr>
      <w:tr>
        <w:trPr>
          <w:trHeight w:val="370"/>
        </w:trPr>
        <w:tc>
          <w:tcPr>
            <w:tcW w:w="1540" w:type="dxa"/>
            <w:vAlign w:val="bottom"/>
          </w:tcPr>
          <w:p>
            <w:pPr>
              <w:ind w:left="860"/>
              <w:spacing w:after="0"/>
              <w:rPr>
                <w:sz w:val="20"/>
                <w:szCs w:val="20"/>
                <w:color w:val="auto"/>
              </w:rPr>
            </w:pPr>
            <w:r>
              <w:rPr>
                <w:rFonts w:ascii="Courier New" w:cs="Courier New" w:eastAsia="Courier New" w:hAnsi="Courier New"/>
                <w:sz w:val="16"/>
                <w:szCs w:val="16"/>
                <w:color w:val="auto"/>
              </w:rPr>
              <w:t>5.9.</w:t>
            </w:r>
          </w:p>
        </w:tc>
        <w:tc>
          <w:tcPr>
            <w:tcW w:w="942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Fees and Expenses..............................................................................</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48</w:t>
            </w:r>
          </w:p>
        </w:tc>
      </w:tr>
      <w:tr>
        <w:trPr>
          <w:trHeight w:val="370"/>
        </w:trPr>
        <w:tc>
          <w:tcPr>
            <w:tcW w:w="1540" w:type="dxa"/>
            <w:vAlign w:val="bottom"/>
          </w:tcPr>
          <w:p>
            <w:pPr>
              <w:ind w:left="860"/>
              <w:spacing w:after="0"/>
              <w:rPr>
                <w:sz w:val="20"/>
                <w:szCs w:val="20"/>
                <w:color w:val="auto"/>
              </w:rPr>
            </w:pPr>
            <w:r>
              <w:rPr>
                <w:rFonts w:ascii="Courier New" w:cs="Courier New" w:eastAsia="Courier New" w:hAnsi="Courier New"/>
                <w:sz w:val="16"/>
                <w:szCs w:val="16"/>
                <w:color w:val="auto"/>
              </w:rPr>
              <w:t>5.10.</w:t>
            </w:r>
          </w:p>
        </w:tc>
        <w:tc>
          <w:tcPr>
            <w:tcW w:w="942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Governance; Name...............................................................................</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48</w:t>
            </w:r>
          </w:p>
        </w:tc>
      </w:tr>
      <w:tr>
        <w:trPr>
          <w:trHeight w:val="370"/>
        </w:trPr>
        <w:tc>
          <w:tcPr>
            <w:tcW w:w="1540" w:type="dxa"/>
            <w:vAlign w:val="bottom"/>
          </w:tcPr>
          <w:p>
            <w:pPr>
              <w:ind w:left="860"/>
              <w:spacing w:after="0"/>
              <w:rPr>
                <w:sz w:val="20"/>
                <w:szCs w:val="20"/>
                <w:color w:val="auto"/>
              </w:rPr>
            </w:pPr>
            <w:r>
              <w:rPr>
                <w:rFonts w:ascii="Courier New" w:cs="Courier New" w:eastAsia="Courier New" w:hAnsi="Courier New"/>
                <w:sz w:val="16"/>
                <w:szCs w:val="16"/>
                <w:color w:val="auto"/>
              </w:rPr>
              <w:t>5.11.</w:t>
            </w:r>
          </w:p>
        </w:tc>
        <w:tc>
          <w:tcPr>
            <w:tcW w:w="942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Indemnification; Directors' and Officers' Insurance............................................</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48</w:t>
            </w:r>
          </w:p>
        </w:tc>
      </w:tr>
      <w:tr>
        <w:trPr>
          <w:trHeight w:val="370"/>
        </w:trPr>
        <w:tc>
          <w:tcPr>
            <w:tcW w:w="1540" w:type="dxa"/>
            <w:vAlign w:val="bottom"/>
          </w:tcPr>
          <w:p>
            <w:pPr>
              <w:ind w:left="860"/>
              <w:spacing w:after="0"/>
              <w:rPr>
                <w:sz w:val="20"/>
                <w:szCs w:val="20"/>
                <w:color w:val="auto"/>
              </w:rPr>
            </w:pPr>
            <w:r>
              <w:rPr>
                <w:rFonts w:ascii="Courier New" w:cs="Courier New" w:eastAsia="Courier New" w:hAnsi="Courier New"/>
                <w:sz w:val="16"/>
                <w:szCs w:val="16"/>
                <w:color w:val="auto"/>
              </w:rPr>
              <w:t>5.12.</w:t>
            </w:r>
          </w:p>
        </w:tc>
        <w:tc>
          <w:tcPr>
            <w:tcW w:w="1060" w:type="dxa"/>
            <w:vAlign w:val="bottom"/>
          </w:tcPr>
          <w:p>
            <w:pPr>
              <w:ind w:left="180"/>
              <w:spacing w:after="0"/>
              <w:rPr>
                <w:sz w:val="20"/>
                <w:szCs w:val="20"/>
                <w:color w:val="auto"/>
              </w:rPr>
            </w:pPr>
            <w:r>
              <w:rPr>
                <w:rFonts w:ascii="Courier New" w:cs="Courier New" w:eastAsia="Courier New" w:hAnsi="Courier New"/>
                <w:sz w:val="16"/>
                <w:szCs w:val="16"/>
                <w:color w:val="auto"/>
                <w:w w:val="99"/>
              </w:rPr>
              <w:t>Dividends</w:t>
            </w:r>
          </w:p>
        </w:tc>
        <w:tc>
          <w:tcPr>
            <w:tcW w:w="836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9"/>
              </w:rPr>
              <w:t>......................................................................................</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49</w:t>
            </w:r>
          </w:p>
        </w:tc>
      </w:tr>
      <w:tr>
        <w:trPr>
          <w:trHeight w:val="370"/>
        </w:trPr>
        <w:tc>
          <w:tcPr>
            <w:tcW w:w="1540" w:type="dxa"/>
            <w:vAlign w:val="bottom"/>
          </w:tcPr>
          <w:p>
            <w:pPr>
              <w:ind w:left="860"/>
              <w:spacing w:after="0"/>
              <w:rPr>
                <w:sz w:val="20"/>
                <w:szCs w:val="20"/>
                <w:color w:val="auto"/>
              </w:rPr>
            </w:pPr>
            <w:r>
              <w:rPr>
                <w:rFonts w:ascii="Courier New" w:cs="Courier New" w:eastAsia="Courier New" w:hAnsi="Courier New"/>
                <w:sz w:val="16"/>
                <w:szCs w:val="16"/>
                <w:color w:val="auto"/>
              </w:rPr>
              <w:t>5.13.</w:t>
            </w:r>
          </w:p>
        </w:tc>
        <w:tc>
          <w:tcPr>
            <w:tcW w:w="942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Public Announcements...........................................................................</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50</w:t>
            </w:r>
          </w:p>
        </w:tc>
      </w:tr>
      <w:tr>
        <w:trPr>
          <w:trHeight w:val="370"/>
        </w:trPr>
        <w:tc>
          <w:tcPr>
            <w:tcW w:w="1540" w:type="dxa"/>
            <w:vAlign w:val="bottom"/>
          </w:tcPr>
          <w:p>
            <w:pPr>
              <w:ind w:left="860"/>
              <w:spacing w:after="0"/>
              <w:rPr>
                <w:sz w:val="20"/>
                <w:szCs w:val="20"/>
                <w:color w:val="auto"/>
              </w:rPr>
            </w:pPr>
            <w:r>
              <w:rPr>
                <w:rFonts w:ascii="Courier New" w:cs="Courier New" w:eastAsia="Courier New" w:hAnsi="Courier New"/>
                <w:sz w:val="16"/>
                <w:szCs w:val="16"/>
                <w:color w:val="auto"/>
              </w:rPr>
              <w:t>5.14.</w:t>
            </w:r>
          </w:p>
        </w:tc>
        <w:tc>
          <w:tcPr>
            <w:tcW w:w="942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Additional Agreements..........................................................................</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50</w:t>
            </w:r>
          </w:p>
        </w:tc>
      </w:tr>
      <w:tr>
        <w:trPr>
          <w:trHeight w:val="370"/>
        </w:trPr>
        <w:tc>
          <w:tcPr>
            <w:tcW w:w="10960" w:type="dxa"/>
            <w:vAlign w:val="bottom"/>
            <w:gridSpan w:val="3"/>
          </w:tcPr>
          <w:p>
            <w:pPr>
              <w:jc w:val="right"/>
              <w:ind w:right="20"/>
              <w:spacing w:after="0"/>
              <w:rPr>
                <w:sz w:val="20"/>
                <w:szCs w:val="20"/>
                <w:color w:val="auto"/>
              </w:rPr>
            </w:pPr>
            <w:r>
              <w:rPr>
                <w:rFonts w:ascii="Courier New" w:cs="Courier New" w:eastAsia="Courier New" w:hAnsi="Courier New"/>
                <w:sz w:val="16"/>
                <w:szCs w:val="16"/>
                <w:color w:val="auto"/>
                <w:w w:val="99"/>
              </w:rPr>
              <w:t>ARTICLE VI CONDITIONS PRECEDENT..................................................................................</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50</w:t>
            </w:r>
          </w:p>
        </w:tc>
      </w:tr>
      <w:tr>
        <w:trPr>
          <w:trHeight w:val="370"/>
        </w:trPr>
        <w:tc>
          <w:tcPr>
            <w:tcW w:w="1540" w:type="dxa"/>
            <w:vAlign w:val="bottom"/>
          </w:tcPr>
          <w:p>
            <w:pPr>
              <w:ind w:left="860"/>
              <w:spacing w:after="0"/>
              <w:rPr>
                <w:sz w:val="20"/>
                <w:szCs w:val="20"/>
                <w:color w:val="auto"/>
              </w:rPr>
            </w:pPr>
            <w:r>
              <w:rPr>
                <w:rFonts w:ascii="Courier New" w:cs="Courier New" w:eastAsia="Courier New" w:hAnsi="Courier New"/>
                <w:sz w:val="16"/>
                <w:szCs w:val="16"/>
                <w:color w:val="auto"/>
              </w:rPr>
              <w:t>6.1.</w:t>
            </w:r>
          </w:p>
        </w:tc>
        <w:tc>
          <w:tcPr>
            <w:tcW w:w="942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Conditions to Each Party's Obligation To Effect the Merger.....................................</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50</w:t>
            </w:r>
          </w:p>
        </w:tc>
      </w:tr>
      <w:tr>
        <w:trPr>
          <w:trHeight w:val="370"/>
        </w:trPr>
        <w:tc>
          <w:tcPr>
            <w:tcW w:w="1540" w:type="dxa"/>
            <w:vAlign w:val="bottom"/>
          </w:tcPr>
          <w:p>
            <w:pPr>
              <w:spacing w:after="0"/>
              <w:rPr>
                <w:sz w:val="24"/>
                <w:szCs w:val="24"/>
                <w:color w:val="auto"/>
              </w:rPr>
            </w:pPr>
          </w:p>
        </w:tc>
        <w:tc>
          <w:tcPr>
            <w:tcW w:w="1060" w:type="dxa"/>
            <w:vAlign w:val="bottom"/>
          </w:tcPr>
          <w:p>
            <w:pPr>
              <w:ind w:left="180"/>
              <w:spacing w:after="0"/>
              <w:rPr>
                <w:sz w:val="20"/>
                <w:szCs w:val="20"/>
                <w:color w:val="auto"/>
              </w:rPr>
            </w:pPr>
            <w:r>
              <w:rPr>
                <w:rFonts w:ascii="Courier New" w:cs="Courier New" w:eastAsia="Courier New" w:hAnsi="Courier New"/>
                <w:sz w:val="16"/>
                <w:szCs w:val="16"/>
                <w:color w:val="auto"/>
              </w:rPr>
              <w:t>(a)</w:t>
            </w:r>
          </w:p>
        </w:tc>
        <w:tc>
          <w:tcPr>
            <w:tcW w:w="836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9"/>
              </w:rPr>
              <w:t>Stockholder Approval..................................................................</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50</w:t>
            </w:r>
          </w:p>
        </w:tc>
      </w:tr>
      <w:tr>
        <w:trPr>
          <w:trHeight w:val="370"/>
        </w:trPr>
        <w:tc>
          <w:tcPr>
            <w:tcW w:w="1540" w:type="dxa"/>
            <w:vAlign w:val="bottom"/>
          </w:tcPr>
          <w:p>
            <w:pPr>
              <w:spacing w:after="0"/>
              <w:rPr>
                <w:sz w:val="24"/>
                <w:szCs w:val="24"/>
                <w:color w:val="auto"/>
              </w:rPr>
            </w:pPr>
          </w:p>
        </w:tc>
        <w:tc>
          <w:tcPr>
            <w:tcW w:w="1060" w:type="dxa"/>
            <w:vAlign w:val="bottom"/>
          </w:tcPr>
          <w:p>
            <w:pPr>
              <w:ind w:left="180"/>
              <w:spacing w:after="0"/>
              <w:rPr>
                <w:sz w:val="20"/>
                <w:szCs w:val="20"/>
                <w:color w:val="auto"/>
              </w:rPr>
            </w:pPr>
            <w:r>
              <w:rPr>
                <w:rFonts w:ascii="Courier New" w:cs="Courier New" w:eastAsia="Courier New" w:hAnsi="Courier New"/>
                <w:sz w:val="16"/>
                <w:szCs w:val="16"/>
                <w:color w:val="auto"/>
              </w:rPr>
              <w:t>(b)</w:t>
            </w:r>
          </w:p>
        </w:tc>
        <w:tc>
          <w:tcPr>
            <w:tcW w:w="836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9"/>
              </w:rPr>
              <w:t>NYSE Listing..........................................................................</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50</w:t>
            </w:r>
          </w:p>
        </w:tc>
      </w:tr>
      <w:tr>
        <w:trPr>
          <w:trHeight w:val="370"/>
        </w:trPr>
        <w:tc>
          <w:tcPr>
            <w:tcW w:w="1540" w:type="dxa"/>
            <w:vAlign w:val="bottom"/>
          </w:tcPr>
          <w:p>
            <w:pPr>
              <w:spacing w:after="0"/>
              <w:rPr>
                <w:sz w:val="24"/>
                <w:szCs w:val="24"/>
                <w:color w:val="auto"/>
              </w:rPr>
            </w:pPr>
          </w:p>
        </w:tc>
        <w:tc>
          <w:tcPr>
            <w:tcW w:w="1060" w:type="dxa"/>
            <w:vAlign w:val="bottom"/>
          </w:tcPr>
          <w:p>
            <w:pPr>
              <w:ind w:left="180"/>
              <w:spacing w:after="0"/>
              <w:rPr>
                <w:sz w:val="20"/>
                <w:szCs w:val="20"/>
                <w:color w:val="auto"/>
              </w:rPr>
            </w:pPr>
            <w:r>
              <w:rPr>
                <w:rFonts w:ascii="Courier New" w:cs="Courier New" w:eastAsia="Courier New" w:hAnsi="Courier New"/>
                <w:sz w:val="16"/>
                <w:szCs w:val="16"/>
                <w:color w:val="auto"/>
              </w:rPr>
              <w:t>(c)</w:t>
            </w:r>
          </w:p>
        </w:tc>
        <w:tc>
          <w:tcPr>
            <w:tcW w:w="836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9"/>
              </w:rPr>
              <w:t>Other Approvals.......................................................................</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50</w:t>
            </w:r>
          </w:p>
        </w:tc>
      </w:tr>
      <w:tr>
        <w:trPr>
          <w:trHeight w:val="370"/>
        </w:trPr>
        <w:tc>
          <w:tcPr>
            <w:tcW w:w="1540" w:type="dxa"/>
            <w:vAlign w:val="bottom"/>
          </w:tcPr>
          <w:p>
            <w:pPr>
              <w:spacing w:after="0"/>
              <w:rPr>
                <w:sz w:val="24"/>
                <w:szCs w:val="24"/>
                <w:color w:val="auto"/>
              </w:rPr>
            </w:pPr>
          </w:p>
        </w:tc>
        <w:tc>
          <w:tcPr>
            <w:tcW w:w="1060" w:type="dxa"/>
            <w:vAlign w:val="bottom"/>
          </w:tcPr>
          <w:p>
            <w:pPr>
              <w:ind w:left="180"/>
              <w:spacing w:after="0"/>
              <w:rPr>
                <w:sz w:val="20"/>
                <w:szCs w:val="20"/>
                <w:color w:val="auto"/>
              </w:rPr>
            </w:pPr>
            <w:r>
              <w:rPr>
                <w:rFonts w:ascii="Courier New" w:cs="Courier New" w:eastAsia="Courier New" w:hAnsi="Courier New"/>
                <w:sz w:val="16"/>
                <w:szCs w:val="16"/>
                <w:color w:val="auto"/>
              </w:rPr>
              <w:t>(d)</w:t>
            </w:r>
          </w:p>
        </w:tc>
        <w:tc>
          <w:tcPr>
            <w:tcW w:w="836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9"/>
              </w:rPr>
              <w:t>Form S-4..............................................................................</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51</w:t>
            </w:r>
          </w:p>
        </w:tc>
      </w:tr>
    </w:tbl>
    <w:p>
      <w:pPr>
        <w:sectPr>
          <w:pgSz w:w="11900" w:h="16838" w:orient="portrait"/>
          <w:cols w:equalWidth="0" w:num="1">
            <w:col w:w="11440"/>
          </w:cols>
          <w:pgMar w:left="240" w:top="300" w:right="219" w:bottom="144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480" w:type="dxa"/>
            <w:vAlign w:val="bottom"/>
          </w:tcPr>
          <w:p>
            <w:pPr>
              <w:jc w:val="right"/>
              <w:ind w:right="1020"/>
              <w:spacing w:after="0"/>
              <w:rPr>
                <w:sz w:val="20"/>
                <w:szCs w:val="20"/>
                <w:color w:val="auto"/>
              </w:rPr>
            </w:pPr>
            <w:r>
              <w:rPr>
                <w:rFonts w:ascii="Courier New" w:cs="Courier New" w:eastAsia="Courier New" w:hAnsi="Courier New"/>
                <w:sz w:val="16"/>
                <w:szCs w:val="16"/>
                <w:color w:val="auto"/>
              </w:rPr>
              <w:t>7</w:t>
            </w:r>
          </w:p>
        </w:tc>
        <w:tc>
          <w:tcPr>
            <w:tcW w:w="1120" w:type="dxa"/>
            <w:vAlign w:val="bottom"/>
          </w:tcPr>
          <w:p>
            <w:pPr>
              <w:spacing w:after="0"/>
              <w:rPr>
                <w:sz w:val="15"/>
                <w:szCs w:val="15"/>
                <w:color w:val="auto"/>
              </w:rPr>
            </w:pPr>
          </w:p>
        </w:tc>
        <w:tc>
          <w:tcPr>
            <w:tcW w:w="8360" w:type="dxa"/>
            <w:vAlign w:val="bottom"/>
          </w:tcPr>
          <w:p>
            <w:pPr>
              <w:spacing w:after="0"/>
              <w:rPr>
                <w:sz w:val="15"/>
                <w:szCs w:val="15"/>
                <w:color w:val="auto"/>
              </w:rPr>
            </w:pPr>
          </w:p>
        </w:tc>
        <w:tc>
          <w:tcPr>
            <w:tcW w:w="480" w:type="dxa"/>
            <w:vAlign w:val="bottom"/>
          </w:tcPr>
          <w:p>
            <w:pPr>
              <w:spacing w:after="0"/>
              <w:rPr>
                <w:sz w:val="15"/>
                <w:szCs w:val="15"/>
                <w:color w:val="auto"/>
              </w:rPr>
            </w:pPr>
          </w:p>
        </w:tc>
      </w:tr>
      <w:tr>
        <w:trPr>
          <w:trHeight w:val="739"/>
        </w:trPr>
        <w:tc>
          <w:tcPr>
            <w:tcW w:w="14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36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Page</w:t>
            </w:r>
          </w:p>
        </w:tc>
      </w:tr>
      <w:tr>
        <w:trPr>
          <w:trHeight w:val="185"/>
        </w:trPr>
        <w:tc>
          <w:tcPr>
            <w:tcW w:w="14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36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0"/>
        </w:trPr>
        <w:tc>
          <w:tcPr>
            <w:tcW w:w="1480" w:type="dxa"/>
            <w:vAlign w:val="bottom"/>
          </w:tcPr>
          <w:p>
            <w:pPr>
              <w:spacing w:after="0"/>
              <w:rPr>
                <w:sz w:val="24"/>
                <w:szCs w:val="24"/>
                <w:color w:val="auto"/>
              </w:rPr>
            </w:pPr>
          </w:p>
        </w:tc>
        <w:tc>
          <w:tcPr>
            <w:tcW w:w="1120" w:type="dxa"/>
            <w:vAlign w:val="bottom"/>
          </w:tcPr>
          <w:p>
            <w:pPr>
              <w:ind w:left="240"/>
              <w:spacing w:after="0"/>
              <w:rPr>
                <w:sz w:val="20"/>
                <w:szCs w:val="20"/>
                <w:color w:val="auto"/>
              </w:rPr>
            </w:pPr>
            <w:r>
              <w:rPr>
                <w:rFonts w:ascii="Courier New" w:cs="Courier New" w:eastAsia="Courier New" w:hAnsi="Courier New"/>
                <w:sz w:val="16"/>
                <w:szCs w:val="16"/>
                <w:color w:val="auto"/>
              </w:rPr>
              <w:t>(e)</w:t>
            </w:r>
          </w:p>
        </w:tc>
        <w:tc>
          <w:tcPr>
            <w:tcW w:w="836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9"/>
              </w:rPr>
              <w:t>No Injunctions or Restraints; Illegality..............................................</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51</w:t>
            </w:r>
          </w:p>
        </w:tc>
      </w:tr>
      <w:tr>
        <w:trPr>
          <w:trHeight w:val="370"/>
        </w:trPr>
        <w:tc>
          <w:tcPr>
            <w:tcW w:w="1480" w:type="dxa"/>
            <w:vAlign w:val="bottom"/>
          </w:tcPr>
          <w:p>
            <w:pPr>
              <w:spacing w:after="0"/>
              <w:rPr>
                <w:sz w:val="24"/>
                <w:szCs w:val="24"/>
                <w:color w:val="auto"/>
              </w:rPr>
            </w:pPr>
          </w:p>
        </w:tc>
        <w:tc>
          <w:tcPr>
            <w:tcW w:w="1120" w:type="dxa"/>
            <w:vAlign w:val="bottom"/>
          </w:tcPr>
          <w:p>
            <w:pPr>
              <w:ind w:left="240"/>
              <w:spacing w:after="0"/>
              <w:rPr>
                <w:sz w:val="20"/>
                <w:szCs w:val="20"/>
                <w:color w:val="auto"/>
              </w:rPr>
            </w:pPr>
            <w:r>
              <w:rPr>
                <w:rFonts w:ascii="Courier New" w:cs="Courier New" w:eastAsia="Courier New" w:hAnsi="Courier New"/>
                <w:sz w:val="16"/>
                <w:szCs w:val="16"/>
                <w:color w:val="auto"/>
              </w:rPr>
              <w:t>(f)</w:t>
            </w:r>
          </w:p>
        </w:tc>
        <w:tc>
          <w:tcPr>
            <w:tcW w:w="836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9"/>
              </w:rPr>
              <w:t>Pooling...............................................................................</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51</w:t>
            </w:r>
          </w:p>
        </w:tc>
      </w:tr>
      <w:tr>
        <w:trPr>
          <w:trHeight w:val="370"/>
        </w:trPr>
        <w:tc>
          <w:tcPr>
            <w:tcW w:w="1480" w:type="dxa"/>
            <w:vAlign w:val="bottom"/>
          </w:tcPr>
          <w:p>
            <w:pPr>
              <w:spacing w:after="0"/>
              <w:rPr>
                <w:sz w:val="24"/>
                <w:szCs w:val="24"/>
                <w:color w:val="auto"/>
              </w:rPr>
            </w:pPr>
          </w:p>
        </w:tc>
        <w:tc>
          <w:tcPr>
            <w:tcW w:w="1120" w:type="dxa"/>
            <w:vAlign w:val="bottom"/>
          </w:tcPr>
          <w:p>
            <w:pPr>
              <w:ind w:left="240"/>
              <w:spacing w:after="0"/>
              <w:rPr>
                <w:sz w:val="20"/>
                <w:szCs w:val="20"/>
                <w:color w:val="auto"/>
              </w:rPr>
            </w:pPr>
            <w:r>
              <w:rPr>
                <w:rFonts w:ascii="Courier New" w:cs="Courier New" w:eastAsia="Courier New" w:hAnsi="Courier New"/>
                <w:sz w:val="16"/>
                <w:szCs w:val="16"/>
                <w:color w:val="auto"/>
              </w:rPr>
              <w:t>(g)</w:t>
            </w:r>
          </w:p>
        </w:tc>
        <w:tc>
          <w:tcPr>
            <w:tcW w:w="836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9"/>
              </w:rPr>
              <w:t>Burdensome Condition..................................................................</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51</w:t>
            </w:r>
          </w:p>
        </w:tc>
      </w:tr>
      <w:tr>
        <w:trPr>
          <w:trHeight w:val="370"/>
        </w:trPr>
        <w:tc>
          <w:tcPr>
            <w:tcW w:w="148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6.2.</w:t>
            </w:r>
          </w:p>
        </w:tc>
        <w:tc>
          <w:tcPr>
            <w:tcW w:w="948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Conditions to Obligations of Chase.............................................................</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51</w:t>
            </w:r>
          </w:p>
        </w:tc>
      </w:tr>
      <w:tr>
        <w:trPr>
          <w:trHeight w:val="370"/>
        </w:trPr>
        <w:tc>
          <w:tcPr>
            <w:tcW w:w="1480" w:type="dxa"/>
            <w:vAlign w:val="bottom"/>
          </w:tcPr>
          <w:p>
            <w:pPr>
              <w:spacing w:after="0"/>
              <w:rPr>
                <w:sz w:val="24"/>
                <w:szCs w:val="24"/>
                <w:color w:val="auto"/>
              </w:rPr>
            </w:pPr>
          </w:p>
        </w:tc>
        <w:tc>
          <w:tcPr>
            <w:tcW w:w="1120" w:type="dxa"/>
            <w:vAlign w:val="bottom"/>
          </w:tcPr>
          <w:p>
            <w:pPr>
              <w:ind w:left="240"/>
              <w:spacing w:after="0"/>
              <w:rPr>
                <w:sz w:val="20"/>
                <w:szCs w:val="20"/>
                <w:color w:val="auto"/>
              </w:rPr>
            </w:pPr>
            <w:r>
              <w:rPr>
                <w:rFonts w:ascii="Courier New" w:cs="Courier New" w:eastAsia="Courier New" w:hAnsi="Courier New"/>
                <w:sz w:val="16"/>
                <w:szCs w:val="16"/>
                <w:color w:val="auto"/>
              </w:rPr>
              <w:t>(a)</w:t>
            </w:r>
          </w:p>
        </w:tc>
        <w:tc>
          <w:tcPr>
            <w:tcW w:w="836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9"/>
              </w:rPr>
              <w:t>Representations and Warranties........................................................</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51</w:t>
            </w:r>
          </w:p>
        </w:tc>
      </w:tr>
      <w:tr>
        <w:trPr>
          <w:trHeight w:val="370"/>
        </w:trPr>
        <w:tc>
          <w:tcPr>
            <w:tcW w:w="1480" w:type="dxa"/>
            <w:vAlign w:val="bottom"/>
          </w:tcPr>
          <w:p>
            <w:pPr>
              <w:spacing w:after="0"/>
              <w:rPr>
                <w:sz w:val="24"/>
                <w:szCs w:val="24"/>
                <w:color w:val="auto"/>
              </w:rPr>
            </w:pPr>
          </w:p>
        </w:tc>
        <w:tc>
          <w:tcPr>
            <w:tcW w:w="1120" w:type="dxa"/>
            <w:vAlign w:val="bottom"/>
          </w:tcPr>
          <w:p>
            <w:pPr>
              <w:ind w:left="240"/>
              <w:spacing w:after="0"/>
              <w:rPr>
                <w:sz w:val="20"/>
                <w:szCs w:val="20"/>
                <w:color w:val="auto"/>
              </w:rPr>
            </w:pPr>
            <w:r>
              <w:rPr>
                <w:rFonts w:ascii="Courier New" w:cs="Courier New" w:eastAsia="Courier New" w:hAnsi="Courier New"/>
                <w:sz w:val="16"/>
                <w:szCs w:val="16"/>
                <w:color w:val="auto"/>
              </w:rPr>
              <w:t>(b)</w:t>
            </w:r>
          </w:p>
        </w:tc>
        <w:tc>
          <w:tcPr>
            <w:tcW w:w="836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9"/>
              </w:rPr>
              <w:t>Performance of Obligations of Morgan..................................................</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51</w:t>
            </w:r>
          </w:p>
        </w:tc>
      </w:tr>
      <w:tr>
        <w:trPr>
          <w:trHeight w:val="370"/>
        </w:trPr>
        <w:tc>
          <w:tcPr>
            <w:tcW w:w="1480" w:type="dxa"/>
            <w:vAlign w:val="bottom"/>
          </w:tcPr>
          <w:p>
            <w:pPr>
              <w:spacing w:after="0"/>
              <w:rPr>
                <w:sz w:val="24"/>
                <w:szCs w:val="24"/>
                <w:color w:val="auto"/>
              </w:rPr>
            </w:pPr>
          </w:p>
        </w:tc>
        <w:tc>
          <w:tcPr>
            <w:tcW w:w="1120" w:type="dxa"/>
            <w:vAlign w:val="bottom"/>
          </w:tcPr>
          <w:p>
            <w:pPr>
              <w:ind w:left="240"/>
              <w:spacing w:after="0"/>
              <w:rPr>
                <w:sz w:val="20"/>
                <w:szCs w:val="20"/>
                <w:color w:val="auto"/>
              </w:rPr>
            </w:pPr>
            <w:r>
              <w:rPr>
                <w:rFonts w:ascii="Courier New" w:cs="Courier New" w:eastAsia="Courier New" w:hAnsi="Courier New"/>
                <w:sz w:val="16"/>
                <w:szCs w:val="16"/>
                <w:color w:val="auto"/>
              </w:rPr>
              <w:t>(c)</w:t>
            </w:r>
          </w:p>
        </w:tc>
        <w:tc>
          <w:tcPr>
            <w:tcW w:w="836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9"/>
              </w:rPr>
              <w:t>Tax Opinion...........................................................................</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51</w:t>
            </w:r>
          </w:p>
        </w:tc>
      </w:tr>
      <w:tr>
        <w:trPr>
          <w:trHeight w:val="370"/>
        </w:trPr>
        <w:tc>
          <w:tcPr>
            <w:tcW w:w="148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6.3.</w:t>
            </w:r>
          </w:p>
        </w:tc>
        <w:tc>
          <w:tcPr>
            <w:tcW w:w="948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Conditions to Obligations of Morgan............................................................</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52</w:t>
            </w:r>
          </w:p>
        </w:tc>
      </w:tr>
      <w:tr>
        <w:trPr>
          <w:trHeight w:val="370"/>
        </w:trPr>
        <w:tc>
          <w:tcPr>
            <w:tcW w:w="1480" w:type="dxa"/>
            <w:vAlign w:val="bottom"/>
          </w:tcPr>
          <w:p>
            <w:pPr>
              <w:spacing w:after="0"/>
              <w:rPr>
                <w:sz w:val="24"/>
                <w:szCs w:val="24"/>
                <w:color w:val="auto"/>
              </w:rPr>
            </w:pPr>
          </w:p>
        </w:tc>
        <w:tc>
          <w:tcPr>
            <w:tcW w:w="1120" w:type="dxa"/>
            <w:vAlign w:val="bottom"/>
          </w:tcPr>
          <w:p>
            <w:pPr>
              <w:ind w:left="240"/>
              <w:spacing w:after="0"/>
              <w:rPr>
                <w:sz w:val="20"/>
                <w:szCs w:val="20"/>
                <w:color w:val="auto"/>
              </w:rPr>
            </w:pPr>
            <w:r>
              <w:rPr>
                <w:rFonts w:ascii="Courier New" w:cs="Courier New" w:eastAsia="Courier New" w:hAnsi="Courier New"/>
                <w:sz w:val="16"/>
                <w:szCs w:val="16"/>
                <w:color w:val="auto"/>
              </w:rPr>
              <w:t>(a)</w:t>
            </w:r>
          </w:p>
        </w:tc>
        <w:tc>
          <w:tcPr>
            <w:tcW w:w="836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9"/>
              </w:rPr>
              <w:t>Representations and Warranties........................................................</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52</w:t>
            </w:r>
          </w:p>
        </w:tc>
      </w:tr>
      <w:tr>
        <w:trPr>
          <w:trHeight w:val="370"/>
        </w:trPr>
        <w:tc>
          <w:tcPr>
            <w:tcW w:w="1480" w:type="dxa"/>
            <w:vAlign w:val="bottom"/>
          </w:tcPr>
          <w:p>
            <w:pPr>
              <w:spacing w:after="0"/>
              <w:rPr>
                <w:sz w:val="24"/>
                <w:szCs w:val="24"/>
                <w:color w:val="auto"/>
              </w:rPr>
            </w:pPr>
          </w:p>
        </w:tc>
        <w:tc>
          <w:tcPr>
            <w:tcW w:w="1120" w:type="dxa"/>
            <w:vAlign w:val="bottom"/>
          </w:tcPr>
          <w:p>
            <w:pPr>
              <w:ind w:left="240"/>
              <w:spacing w:after="0"/>
              <w:rPr>
                <w:sz w:val="20"/>
                <w:szCs w:val="20"/>
                <w:color w:val="auto"/>
              </w:rPr>
            </w:pPr>
            <w:r>
              <w:rPr>
                <w:rFonts w:ascii="Courier New" w:cs="Courier New" w:eastAsia="Courier New" w:hAnsi="Courier New"/>
                <w:sz w:val="16"/>
                <w:szCs w:val="16"/>
                <w:color w:val="auto"/>
              </w:rPr>
              <w:t>(b)</w:t>
            </w:r>
          </w:p>
        </w:tc>
        <w:tc>
          <w:tcPr>
            <w:tcW w:w="836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9"/>
              </w:rPr>
              <w:t>Performance of Obligations of Chase...................................................</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52</w:t>
            </w:r>
          </w:p>
        </w:tc>
      </w:tr>
      <w:tr>
        <w:trPr>
          <w:trHeight w:val="370"/>
        </w:trPr>
        <w:tc>
          <w:tcPr>
            <w:tcW w:w="1480" w:type="dxa"/>
            <w:vAlign w:val="bottom"/>
          </w:tcPr>
          <w:p>
            <w:pPr>
              <w:spacing w:after="0"/>
              <w:rPr>
                <w:sz w:val="24"/>
                <w:szCs w:val="24"/>
                <w:color w:val="auto"/>
              </w:rPr>
            </w:pPr>
          </w:p>
        </w:tc>
        <w:tc>
          <w:tcPr>
            <w:tcW w:w="1120" w:type="dxa"/>
            <w:vAlign w:val="bottom"/>
          </w:tcPr>
          <w:p>
            <w:pPr>
              <w:ind w:left="240"/>
              <w:spacing w:after="0"/>
              <w:rPr>
                <w:sz w:val="20"/>
                <w:szCs w:val="20"/>
                <w:color w:val="auto"/>
              </w:rPr>
            </w:pPr>
            <w:r>
              <w:rPr>
                <w:rFonts w:ascii="Courier New" w:cs="Courier New" w:eastAsia="Courier New" w:hAnsi="Courier New"/>
                <w:sz w:val="16"/>
                <w:szCs w:val="16"/>
                <w:color w:val="auto"/>
              </w:rPr>
              <w:t>(c)</w:t>
            </w:r>
          </w:p>
        </w:tc>
        <w:tc>
          <w:tcPr>
            <w:tcW w:w="836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9"/>
              </w:rPr>
              <w:t>Tax Opinion...........................................................................</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52</w:t>
            </w:r>
          </w:p>
        </w:tc>
      </w:tr>
      <w:tr>
        <w:trPr>
          <w:trHeight w:val="370"/>
        </w:trPr>
        <w:tc>
          <w:tcPr>
            <w:tcW w:w="10960" w:type="dxa"/>
            <w:vAlign w:val="bottom"/>
            <w:gridSpan w:val="3"/>
          </w:tcPr>
          <w:p>
            <w:pPr>
              <w:jc w:val="right"/>
              <w:ind w:right="20"/>
              <w:spacing w:after="0"/>
              <w:rPr>
                <w:sz w:val="20"/>
                <w:szCs w:val="20"/>
                <w:color w:val="auto"/>
              </w:rPr>
            </w:pPr>
            <w:r>
              <w:rPr>
                <w:rFonts w:ascii="Courier New" w:cs="Courier New" w:eastAsia="Courier New" w:hAnsi="Courier New"/>
                <w:sz w:val="16"/>
                <w:szCs w:val="16"/>
                <w:color w:val="auto"/>
                <w:w w:val="99"/>
              </w:rPr>
              <w:t>ARTICLE VII TERMINATION AND AMENDMENT............................................................................</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52</w:t>
            </w:r>
          </w:p>
        </w:tc>
      </w:tr>
      <w:tr>
        <w:trPr>
          <w:trHeight w:val="370"/>
        </w:trPr>
        <w:tc>
          <w:tcPr>
            <w:tcW w:w="148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7.1.</w:t>
            </w:r>
          </w:p>
        </w:tc>
        <w:tc>
          <w:tcPr>
            <w:tcW w:w="948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Termination....................................................................................</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52</w:t>
            </w:r>
          </w:p>
        </w:tc>
      </w:tr>
      <w:tr>
        <w:trPr>
          <w:trHeight w:val="370"/>
        </w:trPr>
        <w:tc>
          <w:tcPr>
            <w:tcW w:w="148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7.2.</w:t>
            </w:r>
          </w:p>
        </w:tc>
        <w:tc>
          <w:tcPr>
            <w:tcW w:w="948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Effect of Termination..........................................................................</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53</w:t>
            </w:r>
          </w:p>
        </w:tc>
      </w:tr>
      <w:tr>
        <w:trPr>
          <w:trHeight w:val="370"/>
        </w:trPr>
        <w:tc>
          <w:tcPr>
            <w:tcW w:w="148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7.3.</w:t>
            </w:r>
          </w:p>
        </w:tc>
        <w:tc>
          <w:tcPr>
            <w:tcW w:w="1120" w:type="dxa"/>
            <w:vAlign w:val="bottom"/>
          </w:tcPr>
          <w:p>
            <w:pPr>
              <w:ind w:left="240"/>
              <w:spacing w:after="0"/>
              <w:rPr>
                <w:sz w:val="20"/>
                <w:szCs w:val="20"/>
                <w:color w:val="auto"/>
              </w:rPr>
            </w:pPr>
            <w:r>
              <w:rPr>
                <w:rFonts w:ascii="Courier New" w:cs="Courier New" w:eastAsia="Courier New" w:hAnsi="Courier New"/>
                <w:sz w:val="16"/>
                <w:szCs w:val="16"/>
                <w:color w:val="auto"/>
                <w:w w:val="99"/>
              </w:rPr>
              <w:t>Amendment</w:t>
            </w:r>
          </w:p>
        </w:tc>
        <w:tc>
          <w:tcPr>
            <w:tcW w:w="836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9"/>
              </w:rPr>
              <w:t>......................................................................................</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55</w:t>
            </w:r>
          </w:p>
        </w:tc>
      </w:tr>
      <w:tr>
        <w:trPr>
          <w:trHeight w:val="370"/>
        </w:trPr>
        <w:tc>
          <w:tcPr>
            <w:tcW w:w="148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7.4.</w:t>
            </w:r>
          </w:p>
        </w:tc>
        <w:tc>
          <w:tcPr>
            <w:tcW w:w="948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Extension; Waiver..............................................................................</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55</w:t>
            </w:r>
          </w:p>
        </w:tc>
      </w:tr>
      <w:tr>
        <w:trPr>
          <w:trHeight w:val="370"/>
        </w:trPr>
        <w:tc>
          <w:tcPr>
            <w:tcW w:w="10960" w:type="dxa"/>
            <w:vAlign w:val="bottom"/>
            <w:gridSpan w:val="3"/>
          </w:tcPr>
          <w:p>
            <w:pPr>
              <w:jc w:val="right"/>
              <w:ind w:right="20"/>
              <w:spacing w:after="0"/>
              <w:rPr>
                <w:sz w:val="20"/>
                <w:szCs w:val="20"/>
                <w:color w:val="auto"/>
              </w:rPr>
            </w:pPr>
            <w:r>
              <w:rPr>
                <w:rFonts w:ascii="Courier New" w:cs="Courier New" w:eastAsia="Courier New" w:hAnsi="Courier New"/>
                <w:sz w:val="16"/>
                <w:szCs w:val="16"/>
                <w:color w:val="auto"/>
                <w:w w:val="99"/>
              </w:rPr>
              <w:t>ARTICLE VIII GENERAL PROVISIONS..................................................................................</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55</w:t>
            </w:r>
          </w:p>
        </w:tc>
      </w:tr>
      <w:tr>
        <w:trPr>
          <w:trHeight w:val="370"/>
        </w:trPr>
        <w:tc>
          <w:tcPr>
            <w:tcW w:w="148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8.1.</w:t>
            </w:r>
          </w:p>
        </w:tc>
        <w:tc>
          <w:tcPr>
            <w:tcW w:w="948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Non-survival of Representations, Warranties and Agreements.....................................</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55</w:t>
            </w:r>
          </w:p>
        </w:tc>
      </w:tr>
      <w:tr>
        <w:trPr>
          <w:trHeight w:val="370"/>
        </w:trPr>
        <w:tc>
          <w:tcPr>
            <w:tcW w:w="148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8.2.</w:t>
            </w:r>
          </w:p>
        </w:tc>
        <w:tc>
          <w:tcPr>
            <w:tcW w:w="948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Notices........................................................................................</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55</w:t>
            </w:r>
          </w:p>
        </w:tc>
      </w:tr>
      <w:tr>
        <w:trPr>
          <w:trHeight w:val="370"/>
        </w:trPr>
        <w:tc>
          <w:tcPr>
            <w:tcW w:w="148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8.3.</w:t>
            </w:r>
          </w:p>
        </w:tc>
        <w:tc>
          <w:tcPr>
            <w:tcW w:w="948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Interpretation.................................................................................</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56</w:t>
            </w:r>
          </w:p>
        </w:tc>
      </w:tr>
      <w:tr>
        <w:trPr>
          <w:trHeight w:val="370"/>
        </w:trPr>
        <w:tc>
          <w:tcPr>
            <w:tcW w:w="148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8.4.</w:t>
            </w:r>
          </w:p>
        </w:tc>
        <w:tc>
          <w:tcPr>
            <w:tcW w:w="948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Counterparts...................................................................................</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57</w:t>
            </w:r>
          </w:p>
        </w:tc>
      </w:tr>
      <w:tr>
        <w:trPr>
          <w:trHeight w:val="370"/>
        </w:trPr>
        <w:tc>
          <w:tcPr>
            <w:tcW w:w="148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8.5.</w:t>
            </w:r>
          </w:p>
        </w:tc>
        <w:tc>
          <w:tcPr>
            <w:tcW w:w="948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Entire Agreement; No Third Party Beneficiaries.................................................</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57</w:t>
            </w:r>
          </w:p>
        </w:tc>
      </w:tr>
      <w:tr>
        <w:trPr>
          <w:trHeight w:val="370"/>
        </w:trPr>
        <w:tc>
          <w:tcPr>
            <w:tcW w:w="148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8.6.</w:t>
            </w:r>
          </w:p>
        </w:tc>
        <w:tc>
          <w:tcPr>
            <w:tcW w:w="948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Governing Law..................................................................................</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57</w:t>
            </w:r>
          </w:p>
        </w:tc>
      </w:tr>
      <w:tr>
        <w:trPr>
          <w:trHeight w:val="370"/>
        </w:trPr>
        <w:tc>
          <w:tcPr>
            <w:tcW w:w="148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8.7.</w:t>
            </w:r>
          </w:p>
        </w:tc>
        <w:tc>
          <w:tcPr>
            <w:tcW w:w="948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Severability...................................................................................</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57</w:t>
            </w:r>
          </w:p>
        </w:tc>
      </w:tr>
      <w:tr>
        <w:trPr>
          <w:trHeight w:val="370"/>
        </w:trPr>
        <w:tc>
          <w:tcPr>
            <w:tcW w:w="148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8.8.</w:t>
            </w:r>
          </w:p>
        </w:tc>
        <w:tc>
          <w:tcPr>
            <w:tcW w:w="948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Assignment.....................................................................................</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57</w:t>
            </w:r>
          </w:p>
        </w:tc>
      </w:tr>
      <w:tr>
        <w:trPr>
          <w:trHeight w:val="370"/>
        </w:trPr>
        <w:tc>
          <w:tcPr>
            <w:tcW w:w="148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8.9.</w:t>
            </w:r>
          </w:p>
        </w:tc>
        <w:tc>
          <w:tcPr>
            <w:tcW w:w="948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Enforcement....................................................................................</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57</w:t>
            </w:r>
          </w:p>
        </w:tc>
      </w:tr>
    </w:tbl>
    <w:p>
      <w:pPr>
        <w:sectPr>
          <w:pgSz w:w="11900" w:h="16838" w:orient="portrait"/>
          <w:cols w:equalWidth="0" w:num="1">
            <w:col w:w="11440"/>
          </w:cols>
          <w:pgMar w:left="240" w:top="300" w:right="219" w:bottom="1440" w:gutter="0" w:footer="0" w:header="0"/>
        </w:sectPr>
      </w:pPr>
    </w:p>
    <w:bookmarkStart w:id="12" w:name="page13"/>
    <w:bookmarkEnd w:id="12"/>
    <w:p>
      <w:pPr>
        <w:ind w:left="280"/>
        <w:spacing w:after="0"/>
        <w:rPr>
          <w:sz w:val="20"/>
          <w:szCs w:val="20"/>
          <w:color w:val="auto"/>
        </w:rPr>
      </w:pPr>
      <w:r>
        <w:rPr>
          <w:rFonts w:ascii="Courier New" w:cs="Courier New" w:eastAsia="Courier New" w:hAnsi="Courier New"/>
          <w:sz w:val="16"/>
          <w:szCs w:val="16"/>
          <w:color w:val="auto"/>
        </w:rPr>
        <w:t>8</w:t>
      </w:r>
    </w:p>
    <w:p>
      <w:pPr>
        <w:spacing w:after="0" w:line="190" w:lineRule="exact"/>
        <w:rPr>
          <w:sz w:val="20"/>
          <w:szCs w:val="20"/>
          <w:color w:val="auto"/>
        </w:rPr>
      </w:pPr>
    </w:p>
    <w:p>
      <w:pPr>
        <w:ind w:right="2819" w:firstLine="1729"/>
        <w:spacing w:after="0" w:line="243" w:lineRule="auto"/>
        <w:rPr>
          <w:sz w:val="20"/>
          <w:szCs w:val="20"/>
          <w:color w:val="auto"/>
        </w:rPr>
      </w:pPr>
      <w:r>
        <w:rPr>
          <w:rFonts w:ascii="Courier New" w:cs="Courier New" w:eastAsia="Courier New" w:hAnsi="Courier New"/>
          <w:sz w:val="16"/>
          <w:szCs w:val="16"/>
          <w:color w:val="auto"/>
        </w:rPr>
        <w:t>AGREEMENT AND PLAN OF MERGER dated as of September 12, 2000 (this "Agreement") between THE CHASE MANHATTAN CORPORATION, a Delaware corporation ("Chase"), and J.P. MORGAN &amp; CO. INCORPORATED, a Delaware corporation ("Morgan").</w:t>
      </w:r>
    </w:p>
    <w:p>
      <w:pPr>
        <w:spacing w:after="0" w:line="190" w:lineRule="exact"/>
        <w:rPr>
          <w:sz w:val="20"/>
          <w:szCs w:val="20"/>
          <w:color w:val="auto"/>
        </w:rPr>
      </w:pPr>
    </w:p>
    <w:p>
      <w:pPr>
        <w:ind w:right="2819" w:firstLine="1729"/>
        <w:spacing w:after="0" w:line="243" w:lineRule="auto"/>
        <w:rPr>
          <w:sz w:val="20"/>
          <w:szCs w:val="20"/>
          <w:color w:val="auto"/>
        </w:rPr>
      </w:pPr>
      <w:r>
        <w:rPr>
          <w:rFonts w:ascii="Courier New" w:cs="Courier New" w:eastAsia="Courier New" w:hAnsi="Courier New"/>
          <w:sz w:val="16"/>
          <w:szCs w:val="16"/>
          <w:color w:val="auto"/>
        </w:rPr>
        <w:t>WHEREAS, the Boards of Directors of Chase and Morgan have approved, and deem it advisable and in the best interests of their respective stockholders to consummate, the business combination transaction provided for herein in which Morgan would merge with and into Chase (the "Merger");</w:t>
      </w:r>
    </w:p>
    <w:p>
      <w:pPr>
        <w:spacing w:after="0" w:line="190" w:lineRule="exact"/>
        <w:rPr>
          <w:sz w:val="20"/>
          <w:szCs w:val="20"/>
          <w:color w:val="auto"/>
        </w:rPr>
      </w:pPr>
    </w:p>
    <w:p>
      <w:pPr>
        <w:ind w:right="2539" w:firstLine="1729"/>
        <w:spacing w:after="0" w:line="243" w:lineRule="auto"/>
        <w:rPr>
          <w:sz w:val="20"/>
          <w:szCs w:val="20"/>
          <w:color w:val="auto"/>
        </w:rPr>
      </w:pPr>
      <w:r>
        <w:rPr>
          <w:rFonts w:ascii="Courier New" w:cs="Courier New" w:eastAsia="Courier New" w:hAnsi="Courier New"/>
          <w:sz w:val="16"/>
          <w:szCs w:val="16"/>
          <w:color w:val="auto"/>
        </w:rPr>
        <w:t>WHEREAS, the Boards of Directors of Chase and Morgan have each determined that the Merger and the other transactions contemplated hereby are consistent with, and in furtherance of, their respective business strategies and goals;</w:t>
      </w:r>
    </w:p>
    <w:p>
      <w:pPr>
        <w:spacing w:after="0" w:line="190" w:lineRule="exact"/>
        <w:rPr>
          <w:sz w:val="20"/>
          <w:szCs w:val="20"/>
          <w:color w:val="auto"/>
        </w:rPr>
      </w:pPr>
    </w:p>
    <w:p>
      <w:pPr>
        <w:ind w:right="2539" w:firstLine="1729"/>
        <w:spacing w:after="0" w:line="244" w:lineRule="auto"/>
        <w:rPr>
          <w:sz w:val="20"/>
          <w:szCs w:val="20"/>
          <w:color w:val="auto"/>
        </w:rPr>
      </w:pPr>
      <w:r>
        <w:rPr>
          <w:rFonts w:ascii="Courier New" w:cs="Courier New" w:eastAsia="Courier New" w:hAnsi="Courier New"/>
          <w:sz w:val="16"/>
          <w:szCs w:val="16"/>
          <w:color w:val="auto"/>
        </w:rPr>
        <w:t>WHEREAS, concurrently with the execution and delivery of this Agreement, (i) as a condition and inducement to Chase's willingness to enter into this Agreement and the Chase Stock Option Agreement referred to below, Chase and Morgan are entering into a Stock Option Agreement dated as of the date hereof in the form of Exhibit 1.1(a) (the "Morgan Stock Option Agreement") pursuant to which Morgan is granting to Chase an option to purchase shares of Common Stock, par value $2.50 per share, of Morgan (the "Morgan Common Stock"); and (ii) as a condition and inducement to Morgan's willingness to enter into this Agreement and the Morgan Stock Option Agreement, Morgan and Chase are entering into a Stock Option Agreement dated as of the date hereof in the form of Exhibit 1.1(b) (the "Chase Stock Option Agreement"), pursuant to which Chase is granting to Morgan an option to purchase shares of Common Stock, par value $1.00 per share, of Chase (the "Chase Common Stock");</w:t>
      </w:r>
    </w:p>
    <w:p>
      <w:pPr>
        <w:spacing w:after="0" w:line="191" w:lineRule="exact"/>
        <w:rPr>
          <w:sz w:val="20"/>
          <w:szCs w:val="20"/>
          <w:color w:val="auto"/>
        </w:rPr>
      </w:pPr>
    </w:p>
    <w:p>
      <w:pPr>
        <w:ind w:right="2919" w:firstLine="1729"/>
        <w:spacing w:after="0" w:line="243" w:lineRule="auto"/>
        <w:rPr>
          <w:sz w:val="20"/>
          <w:szCs w:val="20"/>
          <w:color w:val="auto"/>
        </w:rPr>
      </w:pPr>
      <w:r>
        <w:rPr>
          <w:rFonts w:ascii="Courier New" w:cs="Courier New" w:eastAsia="Courier New" w:hAnsi="Courier New"/>
          <w:sz w:val="16"/>
          <w:szCs w:val="16"/>
          <w:color w:val="auto"/>
        </w:rPr>
        <w:t>WHEREAS, Chase and Morgan desire to make certain representations, warranties and agreements in connection with the Merger and also to prescribe various conditions to the Merger;</w:t>
      </w:r>
    </w:p>
    <w:p>
      <w:pPr>
        <w:spacing w:after="0" w:line="189" w:lineRule="exact"/>
        <w:rPr>
          <w:sz w:val="20"/>
          <w:szCs w:val="20"/>
          <w:color w:val="auto"/>
        </w:rPr>
      </w:pPr>
    </w:p>
    <w:p>
      <w:pPr>
        <w:ind w:right="2639" w:firstLine="1729"/>
        <w:spacing w:after="0" w:line="244" w:lineRule="auto"/>
        <w:rPr>
          <w:sz w:val="20"/>
          <w:szCs w:val="20"/>
          <w:color w:val="auto"/>
        </w:rPr>
      </w:pPr>
      <w:r>
        <w:rPr>
          <w:rFonts w:ascii="Courier New" w:cs="Courier New" w:eastAsia="Courier New" w:hAnsi="Courier New"/>
          <w:sz w:val="16"/>
          <w:szCs w:val="16"/>
          <w:color w:val="auto"/>
        </w:rPr>
        <w:t>WHEREAS, for Federal income tax purposes, it is intended that the Merger shall qualify as a reorganization under the provisions of Section 368(a) of the Internal Revenue Code of 1986, as amended (the "Code"), and the parties intend, by executing this Agreement, to adopt a plan of reorganization within the meaning of Section 368(a) of the Code; and</w:t>
      </w:r>
    </w:p>
    <w:p>
      <w:pPr>
        <w:spacing w:after="0" w:line="187" w:lineRule="exact"/>
        <w:rPr>
          <w:sz w:val="20"/>
          <w:szCs w:val="20"/>
          <w:color w:val="auto"/>
        </w:rPr>
      </w:pPr>
    </w:p>
    <w:p>
      <w:pPr>
        <w:ind w:right="2919" w:firstLine="1729"/>
        <w:spacing w:after="0" w:line="242" w:lineRule="auto"/>
        <w:rPr>
          <w:sz w:val="20"/>
          <w:szCs w:val="20"/>
          <w:color w:val="auto"/>
        </w:rPr>
      </w:pPr>
      <w:r>
        <w:rPr>
          <w:rFonts w:ascii="Courier New" w:cs="Courier New" w:eastAsia="Courier New" w:hAnsi="Courier New"/>
          <w:sz w:val="16"/>
          <w:szCs w:val="16"/>
          <w:color w:val="auto"/>
        </w:rPr>
        <w:t>WHEREAS, for financial accounting purposes, it is intended that the Merger shall be accounted for as a "pooling of interests";</w:t>
      </w:r>
    </w:p>
    <w:p>
      <w:pPr>
        <w:spacing w:after="0" w:line="189" w:lineRule="exact"/>
        <w:rPr>
          <w:sz w:val="20"/>
          <w:szCs w:val="20"/>
          <w:color w:val="auto"/>
        </w:rPr>
      </w:pPr>
    </w:p>
    <w:p>
      <w:pPr>
        <w:ind w:right="2639" w:firstLine="1729"/>
        <w:spacing w:after="0" w:line="267" w:lineRule="auto"/>
        <w:rPr>
          <w:sz w:val="20"/>
          <w:szCs w:val="20"/>
          <w:color w:val="auto"/>
        </w:rPr>
      </w:pPr>
      <w:r>
        <w:rPr>
          <w:rFonts w:ascii="Courier New" w:cs="Courier New" w:eastAsia="Courier New" w:hAnsi="Courier New"/>
          <w:sz w:val="15"/>
          <w:szCs w:val="15"/>
          <w:color w:val="auto"/>
        </w:rPr>
        <w:t>NOW, THEREFORE, in consideration of the foregoing and the respective representations, warranties, covenants and agreements set forth herein and in the Stock Option Agreements, the parties hereto agree as follows:</w:t>
      </w:r>
    </w:p>
    <w:p>
      <w:pPr>
        <w:sectPr>
          <w:pgSz w:w="11900" w:h="16838" w:orient="portrait"/>
          <w:cols w:equalWidth="0" w:num="1">
            <w:col w:w="10219"/>
          </w:cols>
          <w:pgMar w:left="240" w:top="300" w:right="1440" w:bottom="1440" w:gutter="0" w:footer="0" w:header="0"/>
        </w:sectPr>
      </w:pPr>
    </w:p>
    <w:bookmarkStart w:id="13" w:name="page14"/>
    <w:bookmarkEnd w:id="13"/>
    <w:p>
      <w:pPr>
        <w:ind w:left="280"/>
        <w:spacing w:after="0"/>
        <w:rPr>
          <w:sz w:val="20"/>
          <w:szCs w:val="20"/>
          <w:color w:val="auto"/>
        </w:rPr>
      </w:pPr>
      <w:r>
        <w:rPr>
          <w:rFonts w:ascii="Courier New" w:cs="Courier New" w:eastAsia="Courier New" w:hAnsi="Courier New"/>
          <w:sz w:val="16"/>
          <w:szCs w:val="16"/>
          <w:color w:val="auto"/>
        </w:rPr>
        <w:t>9</w:t>
      </w:r>
    </w:p>
    <w:p>
      <w:pPr>
        <w:spacing w:after="0" w:line="373"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ARTICLE I</w:t>
      </w:r>
    </w:p>
    <w:p>
      <w:pPr>
        <w:spacing w:after="0" w:line="4"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THE MERGER</w:t>
      </w:r>
    </w:p>
    <w:p>
      <w:pPr>
        <w:spacing w:after="0" w:line="190" w:lineRule="exact"/>
        <w:rPr>
          <w:sz w:val="20"/>
          <w:szCs w:val="20"/>
          <w:color w:val="auto"/>
        </w:rPr>
      </w:pPr>
    </w:p>
    <w:p>
      <w:pPr>
        <w:ind w:right="2539" w:firstLine="865"/>
        <w:spacing w:after="0" w:line="244" w:lineRule="auto"/>
        <w:rPr>
          <w:sz w:val="20"/>
          <w:szCs w:val="20"/>
          <w:color w:val="auto"/>
        </w:rPr>
      </w:pPr>
      <w:r>
        <w:rPr>
          <w:rFonts w:ascii="Courier New" w:cs="Courier New" w:eastAsia="Courier New" w:hAnsi="Courier New"/>
          <w:sz w:val="16"/>
          <w:szCs w:val="16"/>
          <w:color w:val="auto"/>
        </w:rPr>
        <w:t>1.1. Effective Time of the Merger. Subject to the provisions of this Agreement, a certificate of merger (the "Certificate of Merger") shall be duly prepared, executed by Chase on behalf of the Surviving Corporation (as defined in Section 1.3) and thereafter delivered to the Secretary of State of the State of Delaware for filing, as provided in the Delaware General Corporation Law (the "DGCL"), on the Closing Date (as defined in Section 1.2). The Merger shall become effective upon the filing of the Certificate of Merger with the Secretary of State of the State of Delaware or at such time thereafter as is provided in the Certificate of Merger (the "Effective Time").</w:t>
      </w:r>
    </w:p>
    <w:p>
      <w:pPr>
        <w:spacing w:after="0" w:line="189" w:lineRule="exact"/>
        <w:rPr>
          <w:sz w:val="20"/>
          <w:szCs w:val="20"/>
          <w:color w:val="auto"/>
        </w:rPr>
      </w:pPr>
    </w:p>
    <w:p>
      <w:pPr>
        <w:ind w:right="2539" w:firstLine="865"/>
        <w:spacing w:after="0" w:line="244" w:lineRule="auto"/>
        <w:rPr>
          <w:sz w:val="20"/>
          <w:szCs w:val="20"/>
          <w:color w:val="auto"/>
        </w:rPr>
      </w:pPr>
      <w:r>
        <w:rPr>
          <w:rFonts w:ascii="Courier New" w:cs="Courier New" w:eastAsia="Courier New" w:hAnsi="Courier New"/>
          <w:sz w:val="16"/>
          <w:szCs w:val="16"/>
          <w:color w:val="auto"/>
        </w:rPr>
        <w:t>1.2. Closing. The closing of the Merger (the "Closing") will take place at 10:00 a.m. on the date (the "Closing Date") that is the second business day after the satisfaction or waiver (subject to applicable law) of the conditions set forth in Article VI (excluding conditions that, by their terms, are to be satisfied on the Closing Date), unless another time or date is agreed to in writing by the parties hereto. The Closing shall be held at the offices of Simpson Thacher &amp; Bartlett, 425 Lexington Avenue, New York, New York 10017, unless another place is agreed to in writing by the parties hereto.</w:t>
      </w:r>
    </w:p>
    <w:p>
      <w:pPr>
        <w:spacing w:after="0" w:line="189" w:lineRule="exact"/>
        <w:rPr>
          <w:sz w:val="20"/>
          <w:szCs w:val="20"/>
          <w:color w:val="auto"/>
        </w:rPr>
      </w:pPr>
    </w:p>
    <w:p>
      <w:pPr>
        <w:ind w:right="2539" w:firstLine="865"/>
        <w:spacing w:after="0" w:line="244" w:lineRule="auto"/>
        <w:rPr>
          <w:sz w:val="20"/>
          <w:szCs w:val="20"/>
          <w:color w:val="auto"/>
        </w:rPr>
      </w:pPr>
      <w:r>
        <w:rPr>
          <w:rFonts w:ascii="Courier New" w:cs="Courier New" w:eastAsia="Courier New" w:hAnsi="Courier New"/>
          <w:sz w:val="16"/>
          <w:szCs w:val="16"/>
          <w:color w:val="auto"/>
        </w:rPr>
        <w:t>1.3. Effects of the Merger. At the Effective Time Morgan shall be merged with and into Chase and the separate existence of Morgan shall cease. The Merger will have the effects set forth in the DGCL. As used in this Agreement, "Constituent Corporations" shall mean each of Chase and Morgan, and "Surviving Corporation" shall mean Chase, at and after the Effective Time, as the surviving corporation in the Merger.</w:t>
      </w:r>
    </w:p>
    <w:p>
      <w:pPr>
        <w:spacing w:after="0" w:line="188" w:lineRule="exact"/>
        <w:rPr>
          <w:sz w:val="20"/>
          <w:szCs w:val="20"/>
          <w:color w:val="auto"/>
        </w:rPr>
      </w:pPr>
    </w:p>
    <w:p>
      <w:pPr>
        <w:ind w:right="2539" w:firstLine="865"/>
        <w:spacing w:after="0" w:line="244" w:lineRule="auto"/>
        <w:rPr>
          <w:sz w:val="20"/>
          <w:szCs w:val="20"/>
          <w:color w:val="auto"/>
        </w:rPr>
      </w:pPr>
      <w:r>
        <w:rPr>
          <w:rFonts w:ascii="Courier New" w:cs="Courier New" w:eastAsia="Courier New" w:hAnsi="Courier New"/>
          <w:sz w:val="16"/>
          <w:szCs w:val="16"/>
          <w:color w:val="auto"/>
        </w:rPr>
        <w:t>1.4. Certificate of Incorporation and By-Laws. The Certificate of Incorporation of Chase as in effect immediately prior to the Effective Time (as amended to (i) designate and establish the terms of the Chase Merger Preferred Stock (as defined in Section 2.1(c)) and (ii) change the name of Chase as provided in Section 5.10(b), all as contemplated by this Agreement, and with such other amendments thereto as may be contemplated by this Agreement) shall be the Certificate of Incorporation of the Surviving Corporation. The By-laws of Chase as in effect immediately prior to the Effective Time shall be the By-laws of the Surviving Corporation.</w:t>
      </w:r>
    </w:p>
    <w:p>
      <w:pPr>
        <w:spacing w:after="0" w:line="189" w:lineRule="exact"/>
        <w:rPr>
          <w:sz w:val="20"/>
          <w:szCs w:val="20"/>
          <w:color w:val="auto"/>
        </w:rPr>
      </w:pPr>
    </w:p>
    <w:p>
      <w:pPr>
        <w:ind w:right="2539" w:firstLine="865"/>
        <w:spacing w:after="0" w:line="261" w:lineRule="auto"/>
        <w:rPr>
          <w:sz w:val="20"/>
          <w:szCs w:val="20"/>
          <w:color w:val="auto"/>
        </w:rPr>
      </w:pPr>
      <w:r>
        <w:rPr>
          <w:rFonts w:ascii="Courier New" w:cs="Courier New" w:eastAsia="Courier New" w:hAnsi="Courier New"/>
          <w:sz w:val="15"/>
          <w:szCs w:val="15"/>
          <w:color w:val="auto"/>
        </w:rPr>
        <w:t>1.5. Alternative Transaction Structures. The parties agree that Chase may change the method of effecting the business combination with Morgan, including, without limitation, by merging Morgan into a wholly-owned direct or indirect Subsidiary (as defined in Section 2.1(a)) of Chase or by merging a wholly-owned direct or indirect Subsidiary of Chase into Morgan, and Morgan shall cooperate in such efforts, including by entering into an appropriate amendment to this Agreement (to the extent such amendment only changes the method of effecting the business combination and does not substantively affect this Agreement or the rights and obligations of the parties or their respective stockholders hereunder); provided, however, that any such other Subsidiary shall become a party to, and shall agree to be bound by, the terms of this Agreement and that any actions taken pursuant to this Section 1.5 shall not (i) alter or change the kind or amount of consideration to be issued to holders of Morgan Common Stock or Morgan Preferred Stock as provided for in this Agreement, (ii) adversely affect the tax consequences of the transaction to the holders of Morgan Common Stock or Morgan Preferred Stock, (iii) cause the transaction not to qualify as a pooling of interests for financial accounting purposes, (iv)</w:t>
      </w:r>
    </w:p>
    <w:p>
      <w:pPr>
        <w:sectPr>
          <w:pgSz w:w="11900" w:h="16838" w:orient="portrait"/>
          <w:cols w:equalWidth="0" w:num="1">
            <w:col w:w="10219"/>
          </w:cols>
          <w:pgMar w:left="240" w:top="300" w:right="1440" w:bottom="1440" w:gutter="0" w:footer="0" w:header="0"/>
        </w:sectPr>
      </w:pPr>
    </w:p>
    <w:bookmarkStart w:id="14" w:name="page15"/>
    <w:bookmarkEnd w:id="14"/>
    <w:p>
      <w:pPr>
        <w:ind w:left="280"/>
        <w:spacing w:after="0"/>
        <w:rPr>
          <w:sz w:val="20"/>
          <w:szCs w:val="20"/>
          <w:color w:val="auto"/>
        </w:rPr>
      </w:pPr>
      <w:r>
        <w:rPr>
          <w:rFonts w:ascii="Courier New" w:cs="Courier New" w:eastAsia="Courier New" w:hAnsi="Courier New"/>
          <w:sz w:val="16"/>
          <w:szCs w:val="16"/>
          <w:color w:val="auto"/>
        </w:rPr>
        <w:t>10</w:t>
      </w:r>
    </w:p>
    <w:p>
      <w:pPr>
        <w:spacing w:after="0" w:line="190" w:lineRule="exact"/>
        <w:rPr>
          <w:sz w:val="20"/>
          <w:szCs w:val="20"/>
          <w:color w:val="auto"/>
        </w:rPr>
      </w:pPr>
    </w:p>
    <w:p>
      <w:pPr>
        <w:ind w:right="2639"/>
        <w:spacing w:after="0" w:line="243" w:lineRule="auto"/>
        <w:rPr>
          <w:sz w:val="20"/>
          <w:szCs w:val="20"/>
          <w:color w:val="auto"/>
        </w:rPr>
      </w:pPr>
      <w:r>
        <w:rPr>
          <w:rFonts w:ascii="Courier New" w:cs="Courier New" w:eastAsia="Courier New" w:hAnsi="Courier New"/>
          <w:sz w:val="16"/>
          <w:szCs w:val="16"/>
          <w:color w:val="auto"/>
        </w:rPr>
        <w:t>materially delay receipt of any Requisite Regulatory Approval (as defined in Section 6.1(c)), or (v) otherwise cause any closing condition not to be capable of being fulfilled (unless duly waived by the party entitled to the benefits thereof).</w:t>
      </w:r>
    </w:p>
    <w:p>
      <w:pPr>
        <w:spacing w:after="0" w:line="188"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ARTICLE II</w:t>
      </w:r>
    </w:p>
    <w:p>
      <w:pPr>
        <w:spacing w:after="0" w:line="4"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EFFECT OF THE MERGER ON THE CAPITAL STOCK OF THE</w:t>
      </w:r>
    </w:p>
    <w:p>
      <w:pPr>
        <w:spacing w:after="0" w:line="4"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CONSTITUENT CORPORATIONS; EXCHANGE OF CERTIFICATES</w:t>
      </w:r>
    </w:p>
    <w:p>
      <w:pPr>
        <w:spacing w:after="0" w:line="190" w:lineRule="exact"/>
        <w:rPr>
          <w:sz w:val="20"/>
          <w:szCs w:val="20"/>
          <w:color w:val="auto"/>
        </w:rPr>
      </w:pPr>
    </w:p>
    <w:p>
      <w:pPr>
        <w:jc w:val="both"/>
        <w:ind w:right="2819" w:firstLine="865"/>
        <w:spacing w:after="0" w:line="243" w:lineRule="auto"/>
        <w:rPr>
          <w:sz w:val="20"/>
          <w:szCs w:val="20"/>
          <w:color w:val="auto"/>
        </w:rPr>
      </w:pPr>
      <w:r>
        <w:rPr>
          <w:rFonts w:ascii="Courier New" w:cs="Courier New" w:eastAsia="Courier New" w:hAnsi="Courier New"/>
          <w:sz w:val="16"/>
          <w:szCs w:val="16"/>
          <w:color w:val="auto"/>
        </w:rPr>
        <w:t>2.1. Effect on Capital Stock. As of the Effective Time, by virtue of the Merger and without any action on the part of the holder of any shares of Morgan Common Stock or Morgan Preferred Stock (as defined in Section 2.1(a)):</w:t>
      </w:r>
    </w:p>
    <w:p>
      <w:pPr>
        <w:spacing w:after="0" w:line="189" w:lineRule="exact"/>
        <w:rPr>
          <w:sz w:val="20"/>
          <w:szCs w:val="20"/>
          <w:color w:val="auto"/>
        </w:rPr>
      </w:pPr>
    </w:p>
    <w:p>
      <w:pPr>
        <w:ind w:right="2539" w:firstLine="1728"/>
        <w:spacing w:after="0" w:line="244" w:lineRule="auto"/>
        <w:tabs>
          <w:tab w:leader="none" w:pos="2114"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Cancellation of Treasury Stock and Chase-Owned Stock, etc. All shares of Morgan Common Stock and Preferred Stock, no par value, of Morgan ("Morgan Preferred Stock") that are owned by Morgan as treasury stock and all shares of Morgan Common Stock or Morgan Preferred Stock that are owned by Morgan or Chase, other than (i) shares of Morgan Common Stock or Morgan Preferred Stock held by Morgan or Chase in connection with any market making activities or proprietary trading activities ("trading account shares"), (ii) shares held in trust, managed, custodial or nominee accounts and the like, or held by mutual funds or merchant banking entities for which a Subsidiary of Chase or Morgan acts as investment advisor or in a similar capacity (any such shares, "trust account shares"), and (iii) shares acquired in respect of debts previously contracted (any such shares, "DPC shares")), shall be cancelled and retired and shall cease to exist and no stock of Chase or other consideration shall be delivered in exchange therefor. All shares of Chase Common Stock and Preferred Stock, par value $1.00 per share, of Chase ("Chase Preferred Stock") that are owned by Morgan (other than trading account shares, trust account shares and DPC shares) shall become treasury stock, except as otherwise provided in Chase's Certificate of Incorporation. As used in this Agreement, the word "Subsidiary" when used with respect to any party means any corporation or other organization, whether incorporated or unincorporated, (i) of which such party or any other Subsidiary of such party is a general partner (excluding partnerships, the general partnership interests of which held by such party or any Subsidiary of such party do not have a majority of the voting interests in such partnership), or (ii) at least a majority of the securities or other interests of which having by their terms ordinary voting power to elect a majority of the board of directors or others performing similar functions with respect to such corporation or other organization is directly or indirectly owned or controlled by such party or by any one or more of its Subsidiaries, or by such party and one or more of its Subsidiaries.</w:t>
      </w:r>
    </w:p>
    <w:p>
      <w:pPr>
        <w:spacing w:after="0" w:line="197" w:lineRule="exact"/>
        <w:rPr>
          <w:rFonts w:ascii="Courier New" w:cs="Courier New" w:eastAsia="Courier New" w:hAnsi="Courier New"/>
          <w:sz w:val="16"/>
          <w:szCs w:val="16"/>
          <w:color w:val="auto"/>
        </w:rPr>
      </w:pPr>
    </w:p>
    <w:p>
      <w:pPr>
        <w:ind w:left="2120" w:hanging="392"/>
        <w:spacing w:after="0"/>
        <w:tabs>
          <w:tab w:leader="none" w:pos="21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Conversion of Morgan Common Stock. Subject to Section</w:t>
      </w:r>
    </w:p>
    <w:p>
      <w:pPr>
        <w:spacing w:after="0" w:line="5"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2.2(e), each share of Morgan Common Stock issued and outstanding immediately prior to the Effective Time (other than shares to be cancelled in accordance with Section 2.1(a)) shall be converted into 3.7 (the "Exchange Ratio") fully paid and nonassessable shares of Chase Common Stock. All such shares of Morgan Common Stock shall no longer be outstanding and shall automatically be cancelled and retired and shall cease to exist, and each certificate previously representing any such shares shall thereafter represent the shares of Chase Common Stock into which such Morgan Common Stock has been converted. Certificates previously representing shares of Morgan Common Stock shall be exchanged for certificates representing whole shares of Chase Common Stock issued in consideration therefor upon the surrender of such certificates in accordance with Section 2.2, without interest.</w:t>
      </w:r>
    </w:p>
    <w:p>
      <w:pPr>
        <w:sectPr>
          <w:pgSz w:w="11900" w:h="16838" w:orient="portrait"/>
          <w:cols w:equalWidth="0" w:num="1">
            <w:col w:w="10219"/>
          </w:cols>
          <w:pgMar w:left="240" w:top="300" w:right="1440" w:bottom="1440" w:gutter="0" w:footer="0" w:header="0"/>
        </w:sectPr>
      </w:pPr>
    </w:p>
    <w:bookmarkStart w:id="15" w:name="page16"/>
    <w:bookmarkEnd w:id="15"/>
    <w:p>
      <w:pPr>
        <w:ind w:left="280"/>
        <w:spacing w:after="0"/>
        <w:rPr>
          <w:sz w:val="20"/>
          <w:szCs w:val="20"/>
          <w:color w:val="auto"/>
        </w:rPr>
      </w:pPr>
      <w:r>
        <w:rPr>
          <w:rFonts w:ascii="Courier New" w:cs="Courier New" w:eastAsia="Courier New" w:hAnsi="Courier New"/>
          <w:sz w:val="16"/>
          <w:szCs w:val="16"/>
          <w:color w:val="auto"/>
        </w:rPr>
        <w:t>11</w:t>
      </w:r>
    </w:p>
    <w:p>
      <w:pPr>
        <w:spacing w:after="0" w:line="190" w:lineRule="exact"/>
        <w:rPr>
          <w:sz w:val="20"/>
          <w:szCs w:val="20"/>
          <w:color w:val="auto"/>
        </w:rPr>
      </w:pPr>
    </w:p>
    <w:p>
      <w:pPr>
        <w:ind w:right="2539" w:firstLine="1728"/>
        <w:spacing w:after="0" w:line="263" w:lineRule="auto"/>
        <w:tabs>
          <w:tab w:leader="none" w:pos="2114"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Conversion of Morgan Preferred Stock. Each share of the following series of Morgan Preferred Stock issued and outstanding immediately prior to the Effective Time (other than Dissenting Shares (as defined in Section 2.1(e)) and shares to be cancelled in accordance with Section 2.1(a)) shall be converted into shares of Chase Preferred Stock (such shares to be so issued upon conversion, collectively, the "Chase Merger Preferred Stock"), as follows:</w:t>
      </w:r>
    </w:p>
    <w:p>
      <w:pPr>
        <w:spacing w:after="0" w:line="176" w:lineRule="exact"/>
        <w:rPr>
          <w:sz w:val="20"/>
          <w:szCs w:val="20"/>
          <w:color w:val="auto"/>
        </w:rPr>
      </w:pPr>
    </w:p>
    <w:p>
      <w:pPr>
        <w:jc w:val="both"/>
        <w:ind w:right="2819" w:firstLine="1728"/>
        <w:spacing w:after="0" w:line="243" w:lineRule="auto"/>
        <w:tabs>
          <w:tab w:leader="none" w:pos="2114"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such share of Adjustable Rate Cumulative Preferred Stock, Series A, stated value $100 per share, of Morgan (the "Morgan Series A Preferred Stock") shall be converted into one share of Chase Preferred Stock having substantially the same terms as the Morgan Series A Preferred Stock.</w:t>
      </w:r>
    </w:p>
    <w:p>
      <w:pPr>
        <w:spacing w:after="0" w:line="189" w:lineRule="exact"/>
        <w:rPr>
          <w:rFonts w:ascii="Courier New" w:cs="Courier New" w:eastAsia="Courier New" w:hAnsi="Courier New"/>
          <w:sz w:val="16"/>
          <w:szCs w:val="16"/>
          <w:color w:val="auto"/>
        </w:rPr>
      </w:pPr>
    </w:p>
    <w:p>
      <w:pPr>
        <w:ind w:right="2719" w:firstLine="1728"/>
        <w:spacing w:after="0" w:line="243" w:lineRule="auto"/>
        <w:tabs>
          <w:tab w:leader="none" w:pos="221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such share of Variable Cumulative Preferred Stock, Series B, stated value $1,000 per share, of Morgan (the "Morgan Series B Preferred Stock") shall be converted into one share of Chase Preferred Stock having substantially the same terms as the Morgan Series B Preferred Stock.</w:t>
      </w:r>
    </w:p>
    <w:p>
      <w:pPr>
        <w:spacing w:after="0" w:line="189" w:lineRule="exact"/>
        <w:rPr>
          <w:rFonts w:ascii="Courier New" w:cs="Courier New" w:eastAsia="Courier New" w:hAnsi="Courier New"/>
          <w:sz w:val="16"/>
          <w:szCs w:val="16"/>
          <w:color w:val="auto"/>
        </w:rPr>
      </w:pPr>
    </w:p>
    <w:p>
      <w:pPr>
        <w:ind w:right="2639" w:firstLine="1728"/>
        <w:spacing w:after="0" w:line="243" w:lineRule="auto"/>
        <w:tabs>
          <w:tab w:leader="none" w:pos="2306"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such share of Variable Cumulative Preferred Stock, Series C, stated value $1,000 per share, of Morgan (the "Morgan Series C Preferred Stock") shall be converted into one share of Chase Preferred Stock having substantially the same terms as the Morgan Series C Preferred Stock.</w:t>
      </w:r>
    </w:p>
    <w:p>
      <w:pPr>
        <w:spacing w:after="0" w:line="189" w:lineRule="exact"/>
        <w:rPr>
          <w:rFonts w:ascii="Courier New" w:cs="Courier New" w:eastAsia="Courier New" w:hAnsi="Courier New"/>
          <w:sz w:val="16"/>
          <w:szCs w:val="16"/>
          <w:color w:val="auto"/>
        </w:rPr>
      </w:pPr>
    </w:p>
    <w:p>
      <w:pPr>
        <w:ind w:right="2719" w:firstLine="1728"/>
        <w:spacing w:after="0" w:line="243" w:lineRule="auto"/>
        <w:tabs>
          <w:tab w:leader="none" w:pos="221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such share of Variable Cumulative Preferred Stock, Series D, stated value $1,000 per share, of Morgan (the "Morgan Series D Preferred Stock") shall be converted into one share of Chase Preferred Stock having substantially the same terms as the Morgan Series D Preferred Stock.</w:t>
      </w:r>
    </w:p>
    <w:p>
      <w:pPr>
        <w:spacing w:after="0" w:line="189" w:lineRule="exact"/>
        <w:rPr>
          <w:rFonts w:ascii="Courier New" w:cs="Courier New" w:eastAsia="Courier New" w:hAnsi="Courier New"/>
          <w:sz w:val="16"/>
          <w:szCs w:val="16"/>
          <w:color w:val="auto"/>
        </w:rPr>
      </w:pPr>
    </w:p>
    <w:p>
      <w:pPr>
        <w:ind w:right="2819" w:firstLine="1728"/>
        <w:spacing w:after="0" w:line="243" w:lineRule="auto"/>
        <w:tabs>
          <w:tab w:leader="none" w:pos="2114"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such share of Variable Cumulative Preferred Stock, Series E, stated value $1,000 per share, of Morgan (the "Morgan Series E Preferred Stock") shall be converted into one share of Chase Preferred Stock having substantially the same terms as the Morgan Series E Preferred Stock.</w:t>
      </w:r>
    </w:p>
    <w:p>
      <w:pPr>
        <w:spacing w:after="0" w:line="189" w:lineRule="exact"/>
        <w:rPr>
          <w:rFonts w:ascii="Courier New" w:cs="Courier New" w:eastAsia="Courier New" w:hAnsi="Courier New"/>
          <w:sz w:val="16"/>
          <w:szCs w:val="16"/>
          <w:color w:val="auto"/>
        </w:rPr>
      </w:pPr>
    </w:p>
    <w:p>
      <w:pPr>
        <w:ind w:right="2719" w:firstLine="1728"/>
        <w:spacing w:after="0" w:line="243" w:lineRule="auto"/>
        <w:tabs>
          <w:tab w:leader="none" w:pos="221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such share of Variable Cumulative Preferred Stock, Series F, stated value $1,000 per share, of Morgan (the "Morgan Series F Preferred Stock") shall be converted into one share of Chase Preferred Stock having substantially the same terms as the Morgan Series F Preferred Stock.</w:t>
      </w:r>
    </w:p>
    <w:p>
      <w:pPr>
        <w:spacing w:after="0" w:line="189" w:lineRule="exact"/>
        <w:rPr>
          <w:rFonts w:ascii="Courier New" w:cs="Courier New" w:eastAsia="Courier New" w:hAnsi="Courier New"/>
          <w:sz w:val="16"/>
          <w:szCs w:val="16"/>
          <w:color w:val="auto"/>
        </w:rPr>
      </w:pPr>
    </w:p>
    <w:p>
      <w:pPr>
        <w:ind w:right="2539" w:firstLine="1728"/>
        <w:spacing w:after="0" w:line="243" w:lineRule="auto"/>
        <w:tabs>
          <w:tab w:leader="none" w:pos="2306"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such share of 6.63% Cumulative Preferred Stock, Series H, stated value $500 per share, of Morgan (the "Morgan Series H Preferred Stock") shall be converted into one share of Chase Preferred Stock having substantially the same terms as the Morgan Series H Preferred Stock.</w:t>
      </w:r>
    </w:p>
    <w:p>
      <w:pPr>
        <w:spacing w:after="0" w:line="190" w:lineRule="exact"/>
        <w:rPr>
          <w:sz w:val="20"/>
          <w:szCs w:val="20"/>
          <w:color w:val="auto"/>
        </w:rPr>
      </w:pPr>
    </w:p>
    <w:p>
      <w:pPr>
        <w:ind w:right="2539" w:firstLine="1729"/>
        <w:spacing w:after="0" w:line="244" w:lineRule="auto"/>
        <w:rPr>
          <w:sz w:val="20"/>
          <w:szCs w:val="20"/>
          <w:color w:val="auto"/>
        </w:rPr>
      </w:pPr>
      <w:r>
        <w:rPr>
          <w:rFonts w:ascii="Courier New" w:cs="Courier New" w:eastAsia="Courier New" w:hAnsi="Courier New"/>
          <w:sz w:val="16"/>
          <w:szCs w:val="16"/>
          <w:color w:val="auto"/>
        </w:rPr>
        <w:t>All of the shares of Morgan Preferred Stock converted into Chase Merger Preferred Stock pursuant to this Article II shall no longer be outstanding and shall automatically be cancelled and shall cease to exist, and each certificate previously representing any such shares of Morgan Preferred Stock shall thereafter represent the shares of Chase Merger Preferred Stock into which such Morgan Preferred Stock has been converted. Certificates previously representing shares of Morgan Preferred Stock shall be exchanged for certificates representing</w:t>
      </w:r>
    </w:p>
    <w:p>
      <w:pPr>
        <w:sectPr>
          <w:pgSz w:w="11900" w:h="16838" w:orient="portrait"/>
          <w:cols w:equalWidth="0" w:num="1">
            <w:col w:w="10219"/>
          </w:cols>
          <w:pgMar w:left="240" w:top="300" w:right="1440" w:bottom="1440" w:gutter="0" w:footer="0" w:header="0"/>
        </w:sectPr>
      </w:pPr>
    </w:p>
    <w:bookmarkStart w:id="16" w:name="page17"/>
    <w:bookmarkEnd w:id="16"/>
    <w:p>
      <w:pPr>
        <w:ind w:left="281"/>
        <w:spacing w:after="0"/>
        <w:rPr>
          <w:sz w:val="20"/>
          <w:szCs w:val="20"/>
          <w:color w:val="auto"/>
        </w:rPr>
      </w:pPr>
      <w:r>
        <w:rPr>
          <w:rFonts w:ascii="Courier New" w:cs="Courier New" w:eastAsia="Courier New" w:hAnsi="Courier New"/>
          <w:sz w:val="16"/>
          <w:szCs w:val="16"/>
          <w:color w:val="auto"/>
        </w:rPr>
        <w:t>12</w:t>
      </w:r>
    </w:p>
    <w:p>
      <w:pPr>
        <w:spacing w:after="0" w:line="190" w:lineRule="exact"/>
        <w:rPr>
          <w:sz w:val="20"/>
          <w:szCs w:val="20"/>
          <w:color w:val="auto"/>
        </w:rPr>
      </w:pPr>
    </w:p>
    <w:p>
      <w:pPr>
        <w:ind w:left="1" w:right="2919"/>
        <w:spacing w:after="0" w:line="243" w:lineRule="auto"/>
        <w:rPr>
          <w:sz w:val="20"/>
          <w:szCs w:val="20"/>
          <w:color w:val="auto"/>
        </w:rPr>
      </w:pPr>
      <w:r>
        <w:rPr>
          <w:rFonts w:ascii="Courier New" w:cs="Courier New" w:eastAsia="Courier New" w:hAnsi="Courier New"/>
          <w:sz w:val="16"/>
          <w:szCs w:val="16"/>
          <w:color w:val="auto"/>
        </w:rPr>
        <w:t>whole shares of corresponding Chase Merger Preferred Stock issued in consideration therefor upon the surrender of such certificates in accordance with Section 2.2 hereof, without interest.</w:t>
      </w:r>
    </w:p>
    <w:p>
      <w:pPr>
        <w:spacing w:after="0" w:line="189" w:lineRule="exact"/>
        <w:rPr>
          <w:sz w:val="20"/>
          <w:szCs w:val="20"/>
          <w:color w:val="auto"/>
        </w:rPr>
      </w:pPr>
    </w:p>
    <w:p>
      <w:pPr>
        <w:ind w:left="1" w:right="2539" w:firstLine="1728"/>
        <w:spacing w:after="0" w:line="243" w:lineRule="auto"/>
        <w:tabs>
          <w:tab w:leader="none" w:pos="2115"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Chase Capital Stock. Each share of Chase Common Stock and each share of Chase Preferred Stock (other than Dissenting Shares (as defined in Section 2.1(e)) shall remain outstanding following the Effective Time as shares of the Surviving Corporation.</w:t>
      </w:r>
    </w:p>
    <w:p>
      <w:pPr>
        <w:spacing w:after="0" w:line="189" w:lineRule="exact"/>
        <w:rPr>
          <w:rFonts w:ascii="Courier New" w:cs="Courier New" w:eastAsia="Courier New" w:hAnsi="Courier New"/>
          <w:sz w:val="16"/>
          <w:szCs w:val="16"/>
          <w:color w:val="auto"/>
        </w:rPr>
      </w:pPr>
    </w:p>
    <w:p>
      <w:pPr>
        <w:ind w:left="1" w:right="2539" w:firstLine="1728"/>
        <w:spacing w:after="0" w:line="244" w:lineRule="auto"/>
        <w:tabs>
          <w:tab w:leader="none" w:pos="2115"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Appraisal Rights. (i) Notwithstanding anything in this Agreement to the contrary, shares of (A) Morgan Preferred Stock (other than the Morgan Series A Preferred Stock and the Morgan Series H Preferred Stock) and (B) Fixed/Adjustable Noncumulative Chase Preferred Stock that are issued and outstanding immediately prior to the Effective Time and that are owned by stockholders that have properly perfected their right of appraisal within the meaning of Section 262 of the DGCL (the "Dissenting Shares") shall not be converted into the Chase Merger Preferred Stock or remain outstanding, as the case may be, unless and until such stockholders shall have failed to perfect any available right of appraisal under applicable law, but, instead, the holders thereof shall be entitled to payment of the appraised value of such Dissenting Shares in accordance with Section 262 of the DGCL. If any such holder shall have failed to perfect or shall have effectively withdrawn or lost such right of appraisal, each share of Morgan Preferred Stock held by such stockholder shall thereupon be deemed to have been converted into shares of the applicable Chase Merger Preferred Stock at the Effective Time in accordance with Section 2.1(c) and each share of such series of Chase Preferred Stock held by such stockholder shall remain outstanding in accordance with Section 2.1(d).</w:t>
      </w:r>
    </w:p>
    <w:p>
      <w:pPr>
        <w:spacing w:after="0" w:line="194" w:lineRule="exact"/>
        <w:rPr>
          <w:sz w:val="20"/>
          <w:szCs w:val="20"/>
          <w:color w:val="auto"/>
        </w:rPr>
      </w:pPr>
    </w:p>
    <w:p>
      <w:pPr>
        <w:ind w:left="1" w:right="2639" w:firstLine="1728"/>
        <w:spacing w:after="0" w:line="260" w:lineRule="auto"/>
        <w:tabs>
          <w:tab w:leader="none" w:pos="2211" w:val="left"/>
        </w:tabs>
        <w:numPr>
          <w:ilvl w:val="1"/>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Morgan shall give Chase (i) prompt notice of any demands for appraisal filed pursuant to Section 262 of the DGCL received by Morgan, withdrawals of such objections and any other instruments served or delivered in connection with such demands pursuant to the DGCL and received by Morgan and</w:t>
      </w:r>
    </w:p>
    <w:p>
      <w:pPr>
        <w:spacing w:after="0" w:line="2" w:lineRule="exact"/>
        <w:rPr>
          <w:rFonts w:ascii="Courier New" w:cs="Courier New" w:eastAsia="Courier New" w:hAnsi="Courier New"/>
          <w:sz w:val="15"/>
          <w:szCs w:val="15"/>
          <w:color w:val="auto"/>
        </w:rPr>
      </w:pPr>
    </w:p>
    <w:p>
      <w:pPr>
        <w:ind w:left="1" w:right="2819" w:hanging="1"/>
        <w:spacing w:after="0" w:line="243" w:lineRule="auto"/>
        <w:tabs>
          <w:tab w:leader="none" w:pos="482"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opportunity to participate in all negotiations and proceedings with respect to demands under the DGCL consistent with the obligations of Morgan thereunder. Morgan shall not, except with the prior written consent of Chase,</w:t>
      </w:r>
    </w:p>
    <w:p>
      <w:pPr>
        <w:spacing w:after="0" w:line="3" w:lineRule="exact"/>
        <w:rPr>
          <w:rFonts w:ascii="Courier New" w:cs="Courier New" w:eastAsia="Courier New" w:hAnsi="Courier New"/>
          <w:sz w:val="16"/>
          <w:szCs w:val="16"/>
          <w:color w:val="auto"/>
        </w:rPr>
      </w:pPr>
    </w:p>
    <w:p>
      <w:pPr>
        <w:ind w:left="1" w:right="2539" w:hanging="1"/>
        <w:spacing w:after="0" w:line="243" w:lineRule="auto"/>
        <w:tabs>
          <w:tab w:leader="none" w:pos="386"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make any payment with respect to any such demand, (y) offer to settle or settle any such demand or (z) waive any failure to timely deliver a written demand for appraisal or timely take any other action to perfect appraisal rights in accordance with the DGCL.</w:t>
      </w:r>
    </w:p>
    <w:p>
      <w:pPr>
        <w:sectPr>
          <w:pgSz w:w="11900" w:h="16838" w:orient="portrait"/>
          <w:cols w:equalWidth="0" w:num="1">
            <w:col w:w="10221"/>
          </w:cols>
          <w:pgMar w:left="239" w:top="300" w:right="1440" w:bottom="1440" w:gutter="0" w:footer="0" w:header="0"/>
        </w:sectPr>
      </w:pPr>
    </w:p>
    <w:bookmarkStart w:id="17" w:name="page18"/>
    <w:bookmarkEnd w:id="17"/>
    <w:p>
      <w:pPr>
        <w:spacing w:after="0"/>
        <w:rPr>
          <w:sz w:val="20"/>
          <w:szCs w:val="20"/>
          <w:color w:val="auto"/>
        </w:rPr>
      </w:pPr>
      <w:r>
        <w:rPr>
          <w:rFonts w:ascii="Courier New" w:cs="Courier New" w:eastAsia="Courier New" w:hAnsi="Courier New"/>
          <w:sz w:val="16"/>
          <w:szCs w:val="16"/>
          <w:color w:val="auto"/>
        </w:rPr>
        <w:t>13</w:t>
      </w:r>
    </w:p>
    <w:p>
      <w:pPr>
        <w:spacing w:after="0" w:line="188"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2.2. Exchange of Certificates.</w:t>
      </w:r>
    </w:p>
    <w:p>
      <w:pPr>
        <w:spacing w:after="0" w:line="190" w:lineRule="exact"/>
        <w:rPr>
          <w:sz w:val="20"/>
          <w:szCs w:val="20"/>
          <w:color w:val="auto"/>
        </w:rPr>
      </w:pPr>
    </w:p>
    <w:p>
      <w:pPr>
        <w:ind w:left="-280" w:right="2539" w:firstLine="1728"/>
        <w:spacing w:after="0" w:line="244" w:lineRule="auto"/>
        <w:tabs>
          <w:tab w:leader="none" w:pos="1834"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Exchange Agent. As of the Effective Time, Chase shall deposit, or shall cause to be deposited, with ChaseMellon Shareholder Services LLC or a bank or trust company designated by Chase and reasonably acceptable to Morgan (the "Exchange Agent"), for the benefit of the holders of certificates or evidence of shares in book entry form which immediately prior to the Effective Time evidenced shares of Morgan Common Stock and Morgan Preferred Stock (collectively, the "Morgan Certificates"), for exchange in accordance with this Article II, certificates or, at Chase's option, evidence of shares in book entry form (collectively "certificates") representing the shares of Chase Common Stock and Chase Merger Preferred Stock issuable pursuant to Section 2.1 (disregarding Section 2.2(e) if Chase elects to issue and sell Excess Shares (as defined therein)) in exchange for such shares of Morgan Common Stock and Morgan Preferred Stock. Such certificates for shares of Chase Common Stock and Chase Merger Preferred Stock so deposited, together with any dividends or distributions with respect thereto, are hereinafter referred to as the "Exchange Fund".</w:t>
      </w:r>
    </w:p>
    <w:p>
      <w:pPr>
        <w:spacing w:after="0" w:line="192" w:lineRule="exact"/>
        <w:rPr>
          <w:rFonts w:ascii="Courier New" w:cs="Courier New" w:eastAsia="Courier New" w:hAnsi="Courier New"/>
          <w:sz w:val="16"/>
          <w:szCs w:val="16"/>
          <w:color w:val="auto"/>
        </w:rPr>
      </w:pPr>
    </w:p>
    <w:p>
      <w:pPr>
        <w:ind w:left="-280" w:right="2539" w:firstLine="1728"/>
        <w:spacing w:after="0" w:line="244" w:lineRule="auto"/>
        <w:tabs>
          <w:tab w:leader="none" w:pos="1834"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Exchange Procedures. As soon as reasonably practicable after the Effective Time, the Exchange Agent shall mail to each holder of record of shares of Morgan Common Stock or Morgan Preferred Stock immediately prior to the Effective Time whose shares were converted into shares of Chase Common Stock or Chase Merger Preferred Stock pursuant to Section 2.1, (i) a letter of transmittal (which shall specify that delivery shall be effected, and risk of loss and title to the Morgan Certificates shall pass, only upon delivery of the Morgan Certificates to the Exchange Agent, and which shall be in such form and have such other provisions as Chase and Morgan may reasonably specify) and (ii) instructions for use in effecting the surrender of the Morgan Certificates in exchange for certificates representing shares of Chase Common Stock and Chase Merger Preferred Stock, as the case may be. Upon surrender of a Morgan Certificate for cancellation to the Exchange Agent together with such letter of transmittal, duly executed, and such other documents as the Exchange Agent may reasonably require, the holder of such Morgan Certificate shall be entitled to receive in exchange therefor a certificate representing that number of whole shares of Chase Common Stock or Chase Merger Preferred Stock which such holder has the right to receive in respect of the Morgan Certificate surrendered pursuant to the provisions of this Article II (after taking into account all shares of Morgan Common Stock then held by such holder), and the Morgan Certificate so surrendered shall forthwith be cancelled. In the event of a transfer of ownership of Morgan Common Stock or Morgan Preferred Stock which is not registered in the transfer records of Morgan, a certificate representing the proper number of shares of Chase Common Stock or Chase Merger Preferred Stock may be issued to a transferee if the Morgan Certificate representing such Morgan Common Stock or Morgan Preferred Stock is presented to the Exchange Agent, accompanied by all documents required to evidence and effect such transfer and by evidence that any applicable stock transfer taxes have been paid. Until surrendered as contemplated by this Section 2.2, each Morgan Certificate shall be deemed at any time after the Effective Time to represent only the Chase Common Stock or Chase Merger Preferred Stock into which the shares of Morgan Common Stock or Morgan Preferred Stock represented by such Morgan Certificate have been converted as provided in this Article II and the right to receive upon such surrender cash in lieu of any fractional shares of Chase Common Stock as contemplated by this Section 2.2.</w:t>
      </w:r>
    </w:p>
    <w:p>
      <w:pPr>
        <w:sectPr>
          <w:pgSz w:w="11900" w:h="16838" w:orient="portrait"/>
          <w:cols w:equalWidth="0" w:num="1">
            <w:col w:w="9939"/>
          </w:cols>
          <w:pgMar w:left="520" w:top="300" w:right="1440" w:bottom="1440" w:gutter="0" w:footer="0" w:header="0"/>
        </w:sectPr>
      </w:pPr>
    </w:p>
    <w:bookmarkStart w:id="18" w:name="page19"/>
    <w:bookmarkEnd w:id="18"/>
    <w:p>
      <w:pPr>
        <w:spacing w:after="0"/>
        <w:rPr>
          <w:sz w:val="20"/>
          <w:szCs w:val="20"/>
          <w:color w:val="auto"/>
        </w:rPr>
      </w:pPr>
      <w:r>
        <w:rPr>
          <w:rFonts w:ascii="Courier New" w:cs="Courier New" w:eastAsia="Courier New" w:hAnsi="Courier New"/>
          <w:sz w:val="16"/>
          <w:szCs w:val="16"/>
          <w:color w:val="auto"/>
        </w:rPr>
        <w:t>14</w:t>
      </w:r>
    </w:p>
    <w:p>
      <w:pPr>
        <w:spacing w:after="0" w:line="190" w:lineRule="exact"/>
        <w:rPr>
          <w:sz w:val="20"/>
          <w:szCs w:val="20"/>
          <w:color w:val="auto"/>
        </w:rPr>
      </w:pPr>
    </w:p>
    <w:p>
      <w:pPr>
        <w:ind w:left="-280" w:right="2539" w:firstLine="1728"/>
        <w:spacing w:after="0" w:line="244" w:lineRule="auto"/>
        <w:tabs>
          <w:tab w:leader="none" w:pos="1834"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Distributions with Respect to Unexchanged Shares. No dividends or other distributions declared or made with respect to Chase Common Stock or Chase Merger Preferred Stock with a record date after the Effective Time shall be paid to the holder of any unsurrendered Morgan Certificate with respect to the shares of Chase Common Stock or Chase Merger Preferred Stock represented thereby, and no cash payment in lieu of fractional shares shall be paid to any such holder pursuant to Section 2.2(e), until the holder of such Morgan Certificate shall surrender such Morgan Certificate. Subject to the effect of applicable laws, following surrender of any such Morgan Certificate, there shall be paid to the holder of the certificates representing whole shares of Chase Common Stock or Chase Merger Preferred Stock issued in exchange therefor, without interest, (A) at the time of such surrender or as promptly after the sale, if applicable, of the Excess Shares (as defined in Section 2.2(e)) as practicable, the amount of any cash payable with respect to a fractional share of Chase Common Stock to which such holder is entitled pursuant to Section 2.2(e) and the amount of dividends or other distributions with a record date after the Effective Time theretofore paid (but withheld pursuant to the immediately preceding sentence) with respect to such whole shares of Chase Common Stock or Chase Merger Preferred Stock, and (B) at the appropriate payment date, the amount of dividends or other distributions with a record date after the Effective Time but prior to surrender and a payment date subsequent to surrender payable with respect to such whole shares of Chase Common Stock or Chase Merger Preferred Stock.</w:t>
      </w:r>
    </w:p>
    <w:p>
      <w:pPr>
        <w:spacing w:after="0" w:line="196" w:lineRule="exact"/>
        <w:rPr>
          <w:rFonts w:ascii="Courier New" w:cs="Courier New" w:eastAsia="Courier New" w:hAnsi="Courier New"/>
          <w:sz w:val="16"/>
          <w:szCs w:val="16"/>
          <w:color w:val="auto"/>
        </w:rPr>
      </w:pPr>
    </w:p>
    <w:p>
      <w:pPr>
        <w:ind w:left="-280" w:right="2539" w:firstLine="1728"/>
        <w:spacing w:after="0" w:line="244" w:lineRule="auto"/>
        <w:tabs>
          <w:tab w:leader="none" w:pos="1834"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Further Ownership Rights in Morgan Common Stock or Morgan Preferred Stock. All shares of Chase Common Stock or Chase Merger Preferred Stock issued upon conversion of shares of Morgan Common Stock or Morgan Preferred Stock in accordance with the terms hereof (including any cash paid pursuant to Section 2.2(c) or 2.2(e)) shall be deemed to have been issued in full satisfaction of all rights pertaining to such shares of Morgan Common Stock or Morgan Preferred Stock; subject, however, to the Surviving Corporation's obligation to pay any dividends or make any other distributions with a record date prior to the Effective Time which may have been declared or made by Morgan on such shares of Morgan Common Stock or Morgan Preferred Stock in accordance with the terms of this Agreement on or prior to the Effective Time and which remain unpaid at the Effective Time, and there shall be no further registration of transfers on the stock transfer books of the Surviving Corporation of the shares of Morgan Common Stock or Morgan Preferred Stock which were outstanding immediately prior to the Effective Time. If, after the Effective Time, Morgan Certificates are presented to the Surviving Corporation for any reason, they shall be cancelled and exchanged as provided in this Article II.</w:t>
      </w:r>
    </w:p>
    <w:p>
      <w:pPr>
        <w:spacing w:after="0" w:line="193" w:lineRule="exact"/>
        <w:rPr>
          <w:rFonts w:ascii="Courier New" w:cs="Courier New" w:eastAsia="Courier New" w:hAnsi="Courier New"/>
          <w:sz w:val="16"/>
          <w:szCs w:val="16"/>
          <w:color w:val="auto"/>
        </w:rPr>
      </w:pPr>
    </w:p>
    <w:p>
      <w:pPr>
        <w:ind w:left="-280" w:right="2719" w:firstLine="1728"/>
        <w:spacing w:after="0" w:line="244" w:lineRule="auto"/>
        <w:tabs>
          <w:tab w:leader="none" w:pos="1834"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Fractional Shares. (i) No certificates or scrip representing fractional shares of Chase Common Stock shall be issued upon the surrender for exchange of Morgan Certificates evidencing Morgan Common Stock, and such fractional share interests will not entitle the owner thereof to vote or to any rights of a stockholder of the Surviving Corporation.</w:t>
      </w:r>
    </w:p>
    <w:p>
      <w:pPr>
        <w:spacing w:after="0" w:line="187" w:lineRule="exact"/>
        <w:rPr>
          <w:sz w:val="20"/>
          <w:szCs w:val="20"/>
          <w:color w:val="auto"/>
        </w:rPr>
      </w:pPr>
    </w:p>
    <w:p>
      <w:pPr>
        <w:ind w:left="-280" w:right="2639" w:firstLine="1728"/>
        <w:spacing w:after="0" w:line="244" w:lineRule="auto"/>
        <w:tabs>
          <w:tab w:leader="none" w:pos="193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promptly as practicable following the Effective Time, the Exchange Agent shall determine the excess of (x) the number of full shares of Chase Common Stock delivered to the Exchange Agent by Chase pursuant to Section 2.2(a) over (y) the aggregate number of full shares of Chase Common Stock to be distributed to holders of Morgan Common Stock pursuant to Section 2.2(b) (such excess being herein called the "Excess Shares"). Following the Effective Time, the Exchange Agent, as agent for the holders of Morgan Common</w:t>
      </w:r>
    </w:p>
    <w:p>
      <w:pPr>
        <w:sectPr>
          <w:pgSz w:w="11900" w:h="16838" w:orient="portrait"/>
          <w:cols w:equalWidth="0" w:num="1">
            <w:col w:w="9939"/>
          </w:cols>
          <w:pgMar w:left="520" w:top="300" w:right="1440" w:bottom="1440" w:gutter="0" w:footer="0" w:header="0"/>
        </w:sectPr>
      </w:pPr>
    </w:p>
    <w:bookmarkStart w:id="19" w:name="page20"/>
    <w:bookmarkEnd w:id="19"/>
    <w:p>
      <w:pPr>
        <w:ind w:left="280"/>
        <w:spacing w:after="0"/>
        <w:rPr>
          <w:sz w:val="20"/>
          <w:szCs w:val="20"/>
          <w:color w:val="auto"/>
        </w:rPr>
      </w:pPr>
      <w:r>
        <w:rPr>
          <w:rFonts w:ascii="Courier New" w:cs="Courier New" w:eastAsia="Courier New" w:hAnsi="Courier New"/>
          <w:sz w:val="16"/>
          <w:szCs w:val="16"/>
          <w:color w:val="auto"/>
        </w:rPr>
        <w:t>15</w:t>
      </w:r>
    </w:p>
    <w:p>
      <w:pPr>
        <w:spacing w:after="0" w:line="190" w:lineRule="exact"/>
        <w:rPr>
          <w:sz w:val="20"/>
          <w:szCs w:val="20"/>
          <w:color w:val="auto"/>
        </w:rPr>
      </w:pPr>
    </w:p>
    <w:p>
      <w:pPr>
        <w:ind w:right="2539"/>
        <w:spacing w:after="0" w:line="243" w:lineRule="auto"/>
        <w:rPr>
          <w:sz w:val="20"/>
          <w:szCs w:val="20"/>
          <w:color w:val="auto"/>
        </w:rPr>
      </w:pPr>
      <w:r>
        <w:rPr>
          <w:rFonts w:ascii="Courier New" w:cs="Courier New" w:eastAsia="Courier New" w:hAnsi="Courier New"/>
          <w:sz w:val="16"/>
          <w:szCs w:val="16"/>
          <w:color w:val="auto"/>
        </w:rPr>
        <w:t>Stock, shall sell the Excess Shares at then prevailing prices on the New York Stock Exchange, Inc. (the "NYSE"), all in the manner provided in paragraph (iii) of this Section.</w:t>
      </w:r>
    </w:p>
    <w:p>
      <w:pPr>
        <w:spacing w:after="0" w:line="189" w:lineRule="exact"/>
        <w:rPr>
          <w:sz w:val="20"/>
          <w:szCs w:val="20"/>
          <w:color w:val="auto"/>
        </w:rPr>
      </w:pPr>
    </w:p>
    <w:p>
      <w:pPr>
        <w:ind w:right="2539" w:firstLine="1728"/>
        <w:spacing w:after="0" w:line="244" w:lineRule="auto"/>
        <w:tabs>
          <w:tab w:leader="none" w:pos="2306"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sale of the Excess Shares by the Exchange Agent shall be executed on the NYSE through one or more member firms of the NYSE and shall be executed in round lots to the extent practicable. The Exchange Agent shall use all reasonable efforts to complete the sale of the Excess Shares as promptly following the Effective Time as, in the Exchange Agent's reasonable judgment, is practicable consistent with obtaining the best execution of such sales in light of prevailing market conditions. Until the net proceeds of such sale or sales have been distributed to the holders of Morgan Common Stock, the Exchange Agent will hold such proceeds in trust for the holders of Morgan Common Stock (the "Common Shares Trust"). The Surviving Corporation shall pay all commissions, transfer taxes and other out-of-pocket transaction costs, including the expenses and compensation, of the Exchange Agent incurred in connection with such sale of the Excess Shares. The Exchange Agent shall determine the portion of the Common Shares Trust to which each holder of Morgan Common Stock shall be entitled, if any, by multiplying the amount of the aggregate net proceeds comprising the Common Shares Trust by a fraction the numerator of which is the amount of the fractional share interest to which such holder of Morgan Common Stock is entitled (after taking into account all shares of Morgan Common Stock held at the Effective Time by such holder) and the denominator of which is the aggregate amount of fractional share interests to which all holders of Morgan Common Stock are entitled.</w:t>
      </w:r>
    </w:p>
    <w:p>
      <w:pPr>
        <w:spacing w:after="0" w:line="195" w:lineRule="exact"/>
        <w:rPr>
          <w:rFonts w:ascii="Courier New" w:cs="Courier New" w:eastAsia="Courier New" w:hAnsi="Courier New"/>
          <w:sz w:val="16"/>
          <w:szCs w:val="16"/>
          <w:color w:val="auto"/>
        </w:rPr>
      </w:pPr>
    </w:p>
    <w:p>
      <w:pPr>
        <w:ind w:right="2539" w:firstLine="1728"/>
        <w:spacing w:after="0" w:line="244" w:lineRule="auto"/>
        <w:tabs>
          <w:tab w:leader="none" w:pos="221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the provisions of clauses (ii) and (iii), above, Chase may elect, at its option, exercised prior to the Effective Time, in lieu of the issuance and sale of Excess Shares and the making of the payments contemplated in said clauses, to pay each holder of Morgan Common Stock an amount in cash equal to the product obtained by multiplying (a) the fractional share interest to which such holder (after taking into account all shares of Morgan Common Stock held at the Effective Time by such holder) would otherwise be entitled by (b) the closing price on the NYSE, as reported on the Consolidated Tape at the close of the NYSE regular session of trading, for a share of Chase Common Stock on the last business day immediately preceding the Effective Time, and, in such case, all references herein to the cash proceeds of the sale of the Excess Shares and similar references shall be deemed to mean and refer to the payments calculated as set forth in this clause (iv).</w:t>
      </w:r>
    </w:p>
    <w:p>
      <w:pPr>
        <w:spacing w:after="0" w:line="191" w:lineRule="exact"/>
        <w:rPr>
          <w:rFonts w:ascii="Courier New" w:cs="Courier New" w:eastAsia="Courier New" w:hAnsi="Courier New"/>
          <w:sz w:val="16"/>
          <w:szCs w:val="16"/>
          <w:color w:val="auto"/>
        </w:rPr>
      </w:pPr>
    </w:p>
    <w:p>
      <w:pPr>
        <w:ind w:right="2639" w:firstLine="1728"/>
        <w:spacing w:after="0" w:line="244" w:lineRule="auto"/>
        <w:tabs>
          <w:tab w:leader="none" w:pos="2114"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soon as practicable after the determination of the amount of cash, if any, to be paid to holders of Morgan Common Stock with respect to any fractional share interests, the Exchange Agent shall make available such amounts to such holders of Morgan Common Stock subject to and in accordance with the terms of Section 2.2(c).</w:t>
      </w:r>
    </w:p>
    <w:p>
      <w:pPr>
        <w:spacing w:after="0" w:line="187" w:lineRule="exact"/>
        <w:rPr>
          <w:sz w:val="20"/>
          <w:szCs w:val="20"/>
          <w:color w:val="auto"/>
        </w:rPr>
      </w:pPr>
    </w:p>
    <w:p>
      <w:pPr>
        <w:ind w:right="2539" w:firstLine="1728"/>
        <w:spacing w:after="0" w:line="244" w:lineRule="auto"/>
        <w:tabs>
          <w:tab w:leader="none" w:pos="2114"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of Exchange Fund. Any portion of the Exchange Fund and Common Shares Trust which remains undistributed to the stockholders of Morgan for six months after the Effective Time shall be delivered to the Surviving Corporation, upon demand, and any stockholders of Morgan who have not theretofore complied with this Article II shall thereafter look only to the Surviving Corporation for payment of their claim for Chase Common Stock or Chase Merger Preferred Stock, as the case may be, any cash in lieu of fractional shares of Chase Common Stock and any dividends or distributions with respect to Chase Common Stock or Chase Merger Preferred Stock.</w:t>
      </w:r>
    </w:p>
    <w:p>
      <w:pPr>
        <w:sectPr>
          <w:pgSz w:w="11900" w:h="16838" w:orient="portrait"/>
          <w:cols w:equalWidth="0" w:num="1">
            <w:col w:w="10219"/>
          </w:cols>
          <w:pgMar w:left="240" w:top="300" w:right="1440" w:bottom="1440" w:gutter="0" w:footer="0" w:header="0"/>
        </w:sectPr>
      </w:pPr>
    </w:p>
    <w:bookmarkStart w:id="20" w:name="page21"/>
    <w:bookmarkEnd w:id="20"/>
    <w:p>
      <w:pPr>
        <w:ind w:left="280"/>
        <w:spacing w:after="0"/>
        <w:rPr>
          <w:sz w:val="20"/>
          <w:szCs w:val="20"/>
          <w:color w:val="auto"/>
        </w:rPr>
      </w:pPr>
      <w:r>
        <w:rPr>
          <w:rFonts w:ascii="Courier New" w:cs="Courier New" w:eastAsia="Courier New" w:hAnsi="Courier New"/>
          <w:sz w:val="16"/>
          <w:szCs w:val="16"/>
          <w:color w:val="auto"/>
        </w:rPr>
        <w:t>16</w:t>
      </w:r>
    </w:p>
    <w:p>
      <w:pPr>
        <w:spacing w:after="0" w:line="190" w:lineRule="exact"/>
        <w:rPr>
          <w:sz w:val="20"/>
          <w:szCs w:val="20"/>
          <w:color w:val="auto"/>
        </w:rPr>
      </w:pPr>
    </w:p>
    <w:p>
      <w:pPr>
        <w:ind w:right="2719" w:firstLine="1728"/>
        <w:spacing w:after="0" w:line="244" w:lineRule="auto"/>
        <w:tabs>
          <w:tab w:leader="none" w:pos="2114"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Liability. Neither Chase nor Morgan nor the Surviving Corporation shall be liable to any holder of shares of Morgan Common Stock, Morgan Preferred Stock, Chase Common Stock or Chase Merger Preferred Stock, as the case may be, for such shares (or dividends or distributions with respect thereto) or cash from the Common Shares Trust delivered to a public official pursuant to any applicable abandoned property, escheat or similar law.</w:t>
      </w:r>
    </w:p>
    <w:p>
      <w:pPr>
        <w:spacing w:after="0" w:line="187" w:lineRule="exact"/>
        <w:rPr>
          <w:rFonts w:ascii="Courier New" w:cs="Courier New" w:eastAsia="Courier New" w:hAnsi="Courier New"/>
          <w:sz w:val="16"/>
          <w:szCs w:val="16"/>
          <w:color w:val="auto"/>
        </w:rPr>
      </w:pPr>
    </w:p>
    <w:p>
      <w:pPr>
        <w:ind w:right="2639" w:firstLine="1728"/>
        <w:spacing w:after="0" w:line="244" w:lineRule="auto"/>
        <w:tabs>
          <w:tab w:leader="none" w:pos="2114"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Withholding. Chase shall be entitled to deduct and withhold from the consideration otherwise payable pursuant to this Agreement to any holder of shares of Morgan Common Stock, Morgan Preferred Stock or Chase Preferred Stock such amounts as it is required to deduct and withhold with respect to the making of such payment under the Code and the rules and regulations promulgated thereunder, or any provision of state, local or foreign tax law. To the extent that amounts are so withheld by Chase, such withheld amounts shall be treated for all purposes of this Agreement as having been paid to the holder of the shares of Morgan Common Stock, Morgan Preferred Stock or Chase Preferred Stock in respect of which such deduction and withholding was made by Chase.</w:t>
      </w:r>
    </w:p>
    <w:p>
      <w:pPr>
        <w:spacing w:after="0" w:line="188"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ARTICLE III</w:t>
      </w:r>
    </w:p>
    <w:p>
      <w:pPr>
        <w:spacing w:after="0" w:line="4" w:lineRule="exact"/>
        <w:rPr>
          <w:sz w:val="20"/>
          <w:szCs w:val="20"/>
          <w:color w:val="auto"/>
        </w:rPr>
      </w:pPr>
    </w:p>
    <w:p>
      <w:pPr>
        <w:ind w:left="2400"/>
        <w:spacing w:after="0"/>
        <w:rPr>
          <w:sz w:val="20"/>
          <w:szCs w:val="20"/>
          <w:color w:val="auto"/>
        </w:rPr>
      </w:pPr>
      <w:r>
        <w:rPr>
          <w:rFonts w:ascii="Courier New" w:cs="Courier New" w:eastAsia="Courier New" w:hAnsi="Courier New"/>
          <w:sz w:val="16"/>
          <w:szCs w:val="16"/>
          <w:color w:val="auto"/>
        </w:rPr>
        <w:t>REPRESENTATIONS AND WARRANTIES</w:t>
      </w:r>
    </w:p>
    <w:p>
      <w:pPr>
        <w:spacing w:after="0" w:line="190" w:lineRule="exact"/>
        <w:rPr>
          <w:sz w:val="20"/>
          <w:szCs w:val="20"/>
          <w:color w:val="auto"/>
        </w:rPr>
      </w:pPr>
    </w:p>
    <w:p>
      <w:pPr>
        <w:ind w:right="2819" w:firstLine="865"/>
        <w:spacing w:after="0" w:line="242" w:lineRule="auto"/>
        <w:rPr>
          <w:sz w:val="20"/>
          <w:szCs w:val="20"/>
          <w:color w:val="auto"/>
        </w:rPr>
      </w:pPr>
      <w:r>
        <w:rPr>
          <w:rFonts w:ascii="Courier New" w:cs="Courier New" w:eastAsia="Courier New" w:hAnsi="Courier New"/>
          <w:sz w:val="16"/>
          <w:szCs w:val="16"/>
          <w:color w:val="auto"/>
        </w:rPr>
        <w:t>3.1. Representations and Warranties of Morgan. Morgan represents and warrants to Chase as follows:</w:t>
      </w:r>
    </w:p>
    <w:p>
      <w:pPr>
        <w:spacing w:after="0" w:line="189" w:lineRule="exact"/>
        <w:rPr>
          <w:sz w:val="20"/>
          <w:szCs w:val="20"/>
          <w:color w:val="auto"/>
        </w:rPr>
      </w:pPr>
    </w:p>
    <w:p>
      <w:pPr>
        <w:ind w:right="2539" w:firstLine="1728"/>
        <w:spacing w:after="0" w:line="244" w:lineRule="auto"/>
        <w:tabs>
          <w:tab w:leader="none" w:pos="2114"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Organization, Standing and Power. Morgan is a bank holding company registered under the Bank Holding Company Act of 1956, as amended (the "BHC Act"), which has duly elected to become, and meets the applicable requirements for qualification as, a financial holding company pursuant to Section 4(l) of the BHC Act. Morgan Guaranty Trust Company of New York ("Morgan Bank") is a wholly-owned Subsidiary of Morgan and a banking corporation organized under the laws of New York. Each of Morgan and its Significant Subsidiaries (as defined below) is a bank, corporation or partnership duly organized, validly existing and, in the case of banks or corporations, in good standing under the laws of its jurisdiction of incorporation or organization, has all requisite power and authority to own, lease and operate its properties and to carry on its business as now being conducted and is duly qualified and in good standing to do business in each jurisdiction in which the nature of its business or the ownership or leasing of its properties makes such qualification necessary, other than in such jurisdictions where the failure so to qualify would not, either individually or in the aggregate, reasonably be expected to have a material adverse effect on Morgan. The Certificate of Incorporation and By-laws of Morgan, copies of which were previously furnished to Chase, are true, complete and correct copies of such documents as in effect on the date of this Agreement. As used in this Agreement, (i) a "Significant Subsidiary" means any Subsidiary of Morgan or Chase, as the case may be, that would constitute a Significant Subsidiary of such party within the meaning of Rule 1-02 of Regulation S-X of the Securities and Exchange Commission (the "SEC"); (ii) any reference to any event, change or effect being "material" with respect to any entity means an event, change or effect which is material in relation to the condition (financial or otherwise), properties, assets, liabilities or businesses of such entity and its Subsidiaries taken as a whole; and (iii) the term "material adverse effect" means, with respect to any entity, a material adverse effect on the condition (financial or otherwise), properties, assets, liabilities or businesses of such entity and its Subsidiaries taken as a whole or on the ability of such entity to perform its obligations hereunder or under the applicable Stock Option</w:t>
      </w:r>
    </w:p>
    <w:p>
      <w:pPr>
        <w:sectPr>
          <w:pgSz w:w="11900" w:h="16838" w:orient="portrait"/>
          <w:cols w:equalWidth="0" w:num="1">
            <w:col w:w="10219"/>
          </w:cols>
          <w:pgMar w:left="240" w:top="300" w:right="1440" w:bottom="1440" w:gutter="0" w:footer="0" w:header="0"/>
        </w:sectPr>
      </w:pPr>
    </w:p>
    <w:bookmarkStart w:id="21" w:name="page22"/>
    <w:bookmarkEnd w:id="21"/>
    <w:p>
      <w:pPr>
        <w:ind w:left="281"/>
        <w:spacing w:after="0"/>
        <w:rPr>
          <w:sz w:val="20"/>
          <w:szCs w:val="20"/>
          <w:color w:val="auto"/>
        </w:rPr>
      </w:pPr>
      <w:r>
        <w:rPr>
          <w:rFonts w:ascii="Courier New" w:cs="Courier New" w:eastAsia="Courier New" w:hAnsi="Courier New"/>
          <w:sz w:val="16"/>
          <w:szCs w:val="16"/>
          <w:color w:val="auto"/>
        </w:rPr>
        <w:t>17</w:t>
      </w:r>
    </w:p>
    <w:p>
      <w:pPr>
        <w:spacing w:after="0" w:line="190" w:lineRule="exact"/>
        <w:rPr>
          <w:sz w:val="20"/>
          <w:szCs w:val="20"/>
          <w:color w:val="auto"/>
        </w:rPr>
      </w:pPr>
    </w:p>
    <w:p>
      <w:pPr>
        <w:ind w:left="1" w:right="2539"/>
        <w:spacing w:after="0" w:line="262" w:lineRule="auto"/>
        <w:rPr>
          <w:sz w:val="20"/>
          <w:szCs w:val="20"/>
          <w:color w:val="auto"/>
        </w:rPr>
      </w:pPr>
      <w:r>
        <w:rPr>
          <w:rFonts w:ascii="Courier New" w:cs="Courier New" w:eastAsia="Courier New" w:hAnsi="Courier New"/>
          <w:sz w:val="15"/>
          <w:szCs w:val="15"/>
          <w:color w:val="auto"/>
        </w:rPr>
        <w:t>Agreement on a timely basis; provided that, in any such case referred to in clause (ii) or (iii) the following shall not be deemed "material" or to have a "material adverse effect": any change or event caused by or resulting from (A) changes in prevailing interest rates, currency exchange rates or other economic or monetary conditions in the United States or elsewhere, (B) changes in United States or foreign securities markets, including changes in price levels or trading volumes, (C) changes or events affecting the financial services industry generally and not specifically relating to Morgan or Chase or their respective Subsidiaries, as the case may be, or (D) this Agreement or the transactions contemplated hereby or the announcement thereof; and provided, further, that in no event shall a change in the trading prices of a party's capital stock, by itself, be considered material or constitute a material adverse effect.</w:t>
      </w:r>
    </w:p>
    <w:p>
      <w:pPr>
        <w:spacing w:after="0" w:line="176" w:lineRule="exact"/>
        <w:rPr>
          <w:sz w:val="20"/>
          <w:szCs w:val="20"/>
          <w:color w:val="auto"/>
        </w:rPr>
      </w:pPr>
    </w:p>
    <w:p>
      <w:pPr>
        <w:ind w:left="1" w:right="2539" w:firstLine="1728"/>
        <w:spacing w:after="0" w:line="260" w:lineRule="auto"/>
        <w:tabs>
          <w:tab w:leader="none" w:pos="2115" w:val="left"/>
        </w:tabs>
        <w:numPr>
          <w:ilvl w:val="1"/>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Capital Structure. (i) The authorized capital stock of Morgan consists of 500,000,000 shares of Morgan Common Stock and 10,000,000 shares of Morgan Preferred Stock. As of the close of business on August 31, 2000</w:t>
      </w:r>
    </w:p>
    <w:p>
      <w:pPr>
        <w:spacing w:after="0" w:line="2" w:lineRule="exact"/>
        <w:rPr>
          <w:rFonts w:ascii="Courier New" w:cs="Courier New" w:eastAsia="Courier New" w:hAnsi="Courier New"/>
          <w:sz w:val="15"/>
          <w:szCs w:val="15"/>
          <w:color w:val="auto"/>
        </w:rPr>
      </w:pPr>
    </w:p>
    <w:p>
      <w:pPr>
        <w:ind w:left="1" w:right="2539" w:hanging="1"/>
        <w:spacing w:after="0" w:line="244" w:lineRule="auto"/>
        <w:tabs>
          <w:tab w:leader="none" w:pos="386"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200,998,455 shares of Morgan Common Stock were issued (including shares held in treasury), 44,121,182 shares of Morgan Common Stock were reserved for issuance upon the exercise or payment of outstanding stock options, stock units or other awards or pursuant to Morgan's dividend reinvestment and stock purchase plan, Morgan's 1987 Stock Incentive Plan, 1989 Stock Incentive Plan, 1992 Stock Incentive Plan, Director Stock Plan (1992), Deferred Compensation Plan for Director's Fees, Stock Option Award, dated January 16, 1995, for 150,000 shares of Morgan Common Stock, 1995 Stock Incentive Plan, Stock Bonus Plan, Incentive Compensation Plan, 1995 Executive Officer Performance Plan, and 1998 Performance Plan, in each case as amended through the date hereof (such stock options, units and other awards and plans collectively, the "Morgan Stock Plans"), and 42,221,306 shares of Morgan Common Stock were held by Morgan in its treasury or by its Subsidiaries (other than as trading account shares, trust account shares or DPC shares); and (B) 3,094,300 shares of Morgan Preferred Stock were outstanding, consisting of 2,444,300 shares of Morgan Series A Preferred, 50,000 shares of Morgan Series B Preferred, 50,000 shares of Morgan Series C Preferred, 50,000 shares of Morgan Series D Preferred, 50,000 shares of Morgan Series E Preferred, 50,000 shares of Morgan Series F Preferred, and 400,000 shares of Morgan Series H Preferred. All outstanding shares of Morgan Common Stock and Morgan Preferred Stock have been duly authorized and validly issued and are fully paid and non-assessable and not subject to preemptive rights. The shares of Morgan Common Stock which may be issued pursuant to the Morgan Stock Option Agreement have been duly authorized and, if and when issued pursuant to the terms thereof, will be validly issued, fully paid and non-assessable and not subject to preemptive rights.</w:t>
      </w:r>
    </w:p>
    <w:p>
      <w:pPr>
        <w:spacing w:after="0" w:line="197" w:lineRule="exact"/>
        <w:rPr>
          <w:rFonts w:ascii="Courier New" w:cs="Courier New" w:eastAsia="Courier New" w:hAnsi="Courier New"/>
          <w:sz w:val="16"/>
          <w:szCs w:val="16"/>
          <w:color w:val="auto"/>
        </w:rPr>
      </w:pPr>
    </w:p>
    <w:p>
      <w:pPr>
        <w:jc w:val="both"/>
        <w:ind w:left="1" w:right="2639" w:firstLine="1728"/>
        <w:spacing w:after="0" w:line="243" w:lineRule="auto"/>
        <w:tabs>
          <w:tab w:leader="none" w:pos="2211" w:val="left"/>
        </w:tabs>
        <w:numPr>
          <w:ilvl w:val="1"/>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bonds, debentures, notes or other indebtedness having the right to vote on any matters on which stockholders may vote ("Voting Debt") of Morgan are issued or outstanding.</w:t>
      </w:r>
    </w:p>
    <w:p>
      <w:pPr>
        <w:spacing w:after="0" w:line="189" w:lineRule="exact"/>
        <w:rPr>
          <w:sz w:val="20"/>
          <w:szCs w:val="20"/>
          <w:color w:val="auto"/>
        </w:rPr>
      </w:pPr>
    </w:p>
    <w:p>
      <w:pPr>
        <w:ind w:left="1" w:right="2539" w:firstLine="1728"/>
        <w:spacing w:after="0" w:line="260" w:lineRule="auto"/>
        <w:tabs>
          <w:tab w:leader="none" w:pos="2307" w:val="left"/>
        </w:tabs>
        <w:numPr>
          <w:ilvl w:val="1"/>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for (A) this Agreement, (B) Morgan Stock Options, Morgan SARs and Morgan Units (each as defined in Section 5.8(a)) which represented, as of August 31, 2000, the right to acquire up to an aggregate of 44,121,182 shares of Morgan Common Stock, (C) the Morgan Stock Option Agreement,</w:t>
      </w:r>
    </w:p>
    <w:p>
      <w:pPr>
        <w:ind w:left="381" w:hanging="381"/>
        <w:spacing w:after="0"/>
        <w:tabs>
          <w:tab w:leader="none" w:pos="381"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set forth in the disclosure schedule delivered by Morgan to Chase</w:t>
      </w:r>
    </w:p>
    <w:p>
      <w:pPr>
        <w:spacing w:after="0" w:line="5" w:lineRule="exact"/>
        <w:rPr>
          <w:rFonts w:ascii="Courier New" w:cs="Courier New" w:eastAsia="Courier New" w:hAnsi="Courier New"/>
          <w:sz w:val="16"/>
          <w:szCs w:val="16"/>
          <w:color w:val="auto"/>
        </w:rPr>
      </w:pPr>
    </w:p>
    <w:p>
      <w:pPr>
        <w:ind w:left="1" w:right="2639"/>
        <w:spacing w:after="0" w:line="243"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concurrently herewith (the "Morgan Disclosure Schedule"), and (E) agreements entered into and securities and other instruments issued after the date of this Agreement as permitted by Section 4.1, there are no options, warrants, calls, rights,</w:t>
      </w:r>
    </w:p>
    <w:p>
      <w:pPr>
        <w:sectPr>
          <w:pgSz w:w="11900" w:h="16838" w:orient="portrait"/>
          <w:cols w:equalWidth="0" w:num="1">
            <w:col w:w="10221"/>
          </w:cols>
          <w:pgMar w:left="239" w:top="300" w:right="1440" w:bottom="1440" w:gutter="0" w:footer="0" w:header="0"/>
        </w:sectPr>
      </w:pPr>
    </w:p>
    <w:bookmarkStart w:id="22" w:name="page23"/>
    <w:bookmarkEnd w:id="22"/>
    <w:p>
      <w:pPr>
        <w:ind w:left="280"/>
        <w:spacing w:after="0"/>
        <w:rPr>
          <w:sz w:val="20"/>
          <w:szCs w:val="20"/>
          <w:color w:val="auto"/>
        </w:rPr>
      </w:pPr>
      <w:r>
        <w:rPr>
          <w:rFonts w:ascii="Courier New" w:cs="Courier New" w:eastAsia="Courier New" w:hAnsi="Courier New"/>
          <w:sz w:val="16"/>
          <w:szCs w:val="16"/>
          <w:color w:val="auto"/>
        </w:rPr>
        <w:t>18</w:t>
      </w:r>
    </w:p>
    <w:p>
      <w:pPr>
        <w:spacing w:after="0" w:line="190"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commitments or agreements of any character to which Morgan or any Subsidiary of Morgan is a party or by which it or any such Subsidiary is bound obligating Morgan or any Subsidiary of Morgan to issue, deliver or sell, or cause to be issued, delivered or sold, additional shares of capital stock or any Voting Debt of Morgan or of any Subsidiary of Morgan or obligating Morgan or any Subsidiary of Morgan to grant, extend or enter into any such option, warrant, call, right, commitment or agreement. There are no outstanding contractual obligations of Morgan or any of its Subsidiaries (A) to repurchase, redeem or otherwise acquire any shares of capital stock of Morgan or any of its Subsidiaries, other than the Morgan Stock Option Agreement or (B) pursuant to which Morgan or any of its Subsidiaries is or could be required to register shares of Morgan Common Stock or other securities under the Securities Act of 1933, as amended (the "Securities Act"), except the Morgan Stock Option Agreement and any such contractual obligations entered into after the date hereof as permitted by Section 4.1.</w:t>
      </w:r>
    </w:p>
    <w:p>
      <w:pPr>
        <w:spacing w:after="0" w:line="192" w:lineRule="exact"/>
        <w:rPr>
          <w:sz w:val="20"/>
          <w:szCs w:val="20"/>
          <w:color w:val="auto"/>
        </w:rPr>
      </w:pPr>
    </w:p>
    <w:p>
      <w:pPr>
        <w:ind w:right="2539" w:firstLine="1728"/>
        <w:spacing w:after="0" w:line="260" w:lineRule="auto"/>
        <w:tabs>
          <w:tab w:leader="none" w:pos="221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Since August 31, 2000, except as set forth in the Morgan Disclosure Schedule and except as permitted by Section 4.1, Morgan has not (A) issued or permitted to be issued any shares of capital stock, or securities exercisable or exchangeable for or convertible into shares of capital stock, of Morgan or any of its Subsidiaries, other than pursuant to and as required by the terms of the Morgan Stock Option Agreement, the dividend reinvestment and stock purchase plan referred to above, and any employee stock options and other awards issued prior to the date hereof under the Morgan Stock Plans (or issued after the date hereof in the ordinary course of business consistent with past practice as permitted by such plans or, in the case of options and other equity-based awards issued after the date of this Agreement, Sections 4.1(c), 4.1(j) and</w:t>
      </w:r>
    </w:p>
    <w:p>
      <w:pPr>
        <w:spacing w:after="0" w:line="7" w:lineRule="exact"/>
        <w:rPr>
          <w:rFonts w:ascii="Courier New" w:cs="Courier New" w:eastAsia="Courier New" w:hAnsi="Courier New"/>
          <w:sz w:val="15"/>
          <w:szCs w:val="15"/>
          <w:color w:val="auto"/>
        </w:rPr>
      </w:pPr>
    </w:p>
    <w:p>
      <w:pPr>
        <w:ind w:right="2539"/>
        <w:spacing w:after="0" w:line="244" w:lineRule="auto"/>
        <w:rPr>
          <w:rFonts w:ascii="Courier New" w:cs="Courier New" w:eastAsia="Courier New" w:hAnsi="Courier New"/>
          <w:sz w:val="15"/>
          <w:szCs w:val="15"/>
          <w:color w:val="auto"/>
        </w:rPr>
      </w:pPr>
      <w:r>
        <w:rPr>
          <w:rFonts w:ascii="Courier New" w:cs="Courier New" w:eastAsia="Courier New" w:hAnsi="Courier New"/>
          <w:sz w:val="16"/>
          <w:szCs w:val="16"/>
          <w:color w:val="auto"/>
        </w:rPr>
        <w:t>4.1(k)); (B) repurchased, redeemed or otherwise acquired, directly or indirectly through one or more Morgan Subsidiaries, any shares of capital stock of Morgan or any of its Subsidiaries (other than the acquisition of trading account shares, trust account shares and DPC shares in the ordinary course of business consistent with past practice); or (C) declared, set aside, made or paid to the stockholders of Morgan dividends or other distributions on the outstanding shares of capital stock of Morgan, other than (x) regular quarterly cash dividends on the Morgan Common Stock at a rate not in excess of the regular quarterly cash dividends most recently declared by Morgan prior to the date of this Agreement and (y) cash dividends on the Morgan Preferred Stock as required by the terms thereof as in effect on the date hereof.</w:t>
      </w:r>
    </w:p>
    <w:p>
      <w:pPr>
        <w:spacing w:after="0" w:line="190" w:lineRule="exact"/>
        <w:rPr>
          <w:rFonts w:ascii="Courier New" w:cs="Courier New" w:eastAsia="Courier New" w:hAnsi="Courier New"/>
          <w:sz w:val="15"/>
          <w:szCs w:val="15"/>
          <w:color w:val="auto"/>
        </w:rPr>
      </w:pPr>
    </w:p>
    <w:p>
      <w:pPr>
        <w:ind w:right="2639" w:firstLine="1728"/>
        <w:spacing w:after="0" w:line="242" w:lineRule="auto"/>
        <w:tabs>
          <w:tab w:leader="none" w:pos="2114"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Morgan has terminated its dividend reinvestment and stock purchase plan effective as of the date of this Agreement.</w:t>
      </w:r>
    </w:p>
    <w:p>
      <w:pPr>
        <w:spacing w:after="0" w:line="189" w:lineRule="exact"/>
        <w:rPr>
          <w:sz w:val="20"/>
          <w:szCs w:val="20"/>
          <w:color w:val="auto"/>
        </w:rPr>
      </w:pPr>
    </w:p>
    <w:p>
      <w:pPr>
        <w:ind w:right="2539" w:firstLine="1728"/>
        <w:spacing w:after="0" w:line="262" w:lineRule="auto"/>
        <w:tabs>
          <w:tab w:leader="none" w:pos="2114"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Authority. (i) Morgan has all requisite corporate power and authority to enter into this Agreement and the Stock Option Agreements and, subject to adoption of this Agreement by the requisite vote of the holders of Morgan Common Stock, to consummate the transactions contemplated hereby and thereby. The execution and delivery of this Agreement and the Stock Option Agreements and the consummation of the transactions contemplated hereby and thereby have been duly authorized by all necessary corporate action on the part of Morgan, subject in the case of the consummation of the Merger to the adoption of this Agreement by the stockholders of Morgan. This Agreement and the Stock Option Agreements have been duly executed and delivered by Morgan and each constitutes a valid and binding obligation of Morgan, enforceable against Morgan in accordance with its terms, subject to bankruptcy, insolvency, fraudulent transfer, reorganization, moratorium and similar laws of general applicability relating to or affecting creditors' rights and to general equitable principles.</w:t>
      </w:r>
    </w:p>
    <w:p>
      <w:pPr>
        <w:sectPr>
          <w:pgSz w:w="11900" w:h="16838" w:orient="portrait"/>
          <w:cols w:equalWidth="0" w:num="1">
            <w:col w:w="10219"/>
          </w:cols>
          <w:pgMar w:left="240" w:top="300" w:right="1440" w:bottom="1440" w:gutter="0" w:footer="0" w:header="0"/>
        </w:sectPr>
      </w:pPr>
    </w:p>
    <w:bookmarkStart w:id="23" w:name="page24"/>
    <w:bookmarkEnd w:id="23"/>
    <w:p>
      <w:pPr>
        <w:spacing w:after="0"/>
        <w:rPr>
          <w:sz w:val="20"/>
          <w:szCs w:val="20"/>
          <w:color w:val="auto"/>
        </w:rPr>
      </w:pPr>
      <w:r>
        <w:rPr>
          <w:rFonts w:ascii="Courier New" w:cs="Courier New" w:eastAsia="Courier New" w:hAnsi="Courier New"/>
          <w:sz w:val="16"/>
          <w:szCs w:val="16"/>
          <w:color w:val="auto"/>
        </w:rPr>
        <w:t>19</w:t>
      </w:r>
    </w:p>
    <w:p>
      <w:pPr>
        <w:spacing w:after="0" w:line="5" w:lineRule="exact"/>
        <w:rPr>
          <w:sz w:val="20"/>
          <w:szCs w:val="20"/>
          <w:color w:val="auto"/>
        </w:rPr>
      </w:pPr>
    </w:p>
    <w:p>
      <w:pPr>
        <w:ind w:left="-280" w:right="2539" w:firstLine="863"/>
        <w:spacing w:after="0" w:line="244" w:lineRule="auto"/>
        <w:tabs>
          <w:tab w:leader="none" w:pos="1065"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execution and delivery of this Agreement and the Stock Option Agreements do not, and the consummation of the transactions contemplated hereby and thereby will not, conflict with, or result in any violation of, or constitute a default (with or without notice or lapse of time, or both) under, or give rise to a right of termination, cancellation or acceleration of any obligation or the loss of a material benefit under, or the creation of a lien, pledge, security interest, charge or other encumbrance on any assets (any such conflict, violation, default, right of termination, cancellation or acceleration, loss or creation, a "Violation") pursuant to, (A) any provision of the Certificate of Incorporation or By-laws of Morgan or any Subsidiary of Morgan, or (B) except as disclosed in the Morgan Disclosure Schedule and subject to obtaining or making the consents, approvals, orders, authorizations, registrations, declarations and filings referred to in paragraph (iii) below, result in any Violation of any loan or credit agreement, note, mortgage, indenture, lease, Morgan Benefit Plan (as defined in Section 3.1(j)) or other agreement, obligation, instrument, permit, concession, franchise, license, judgment, order, decree, statute, law, ordinance, rule or regulation applicable to Morgan or any Subsidiary of Morgan or their respective properties or assets, which Violation, individually or in the aggregate, would reasonably be expected to have a material adverse effect on Morgan.</w:t>
      </w:r>
    </w:p>
    <w:p>
      <w:pPr>
        <w:spacing w:after="0" w:line="194" w:lineRule="exact"/>
        <w:rPr>
          <w:rFonts w:ascii="Courier New" w:cs="Courier New" w:eastAsia="Courier New" w:hAnsi="Courier New"/>
          <w:sz w:val="16"/>
          <w:szCs w:val="16"/>
          <w:color w:val="auto"/>
        </w:rPr>
      </w:pPr>
    </w:p>
    <w:p>
      <w:pPr>
        <w:ind w:left="-280" w:right="2539" w:firstLine="863"/>
        <w:spacing w:after="0" w:line="244" w:lineRule="auto"/>
        <w:tabs>
          <w:tab w:leader="none" w:pos="1161"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consent, approval, order or authorization of, or registration, declaration or filing with, any court, administrative agency or commission or other governmental authority or instrumentality, domestic or foreign, or industry self-regulatory organization (a "Governmental Entity"), is required by or with respect to Morgan or any Subsidiary of Morgan in connection with the execution and delivery of this Agreement and the Stock Option Agreements by Morgan or the consummation by Morgan of the transactions contemplated hereby and thereby, the failure to make or obtain which would have a material adverse effect on Morgan, except for (A) the filing of applications and notices with the Board of Governors of the Federal Reserve System (the "Federal Reserve") under the BHC Act and the Federal Reserve Act (the "FRA") and approval of same, (B) the filing with the SEC of (1) the Joint Proxy Statement/Prospectus (as defined in Section 5.1(a)) and (2) such reports under Sections 13(a), 13(d), 13(g) and 16(a) of the Securities Exchange Act of 1934, as amended (the "Exchange Act"), as may be required in connection with this Agreement, the Stock Option Agreements and the transactions contemplated hereby and thereby and the obtaining from the SEC of such orders as may be required in connection therewith, (C) the filing of the Certificate of Merger with the Secretary of State of the State of Delaware, (D) the filing of an application with the Superintendent of Banks and the Banking Board of the State of New York and such other applications, filings, authorizations, orders and approvals as may be required under the banking laws of other states, and approval thereof (collectively, the "State Banking Approvals"), (E) consents, authorizations, approvals, filings or exemptions in connection with compliance with the applicable provisions of federal or state securities laws relating to the regulation of broker-dealers, investment companies and investment advisors and federal commodities laws relating to the regulation of futures commission merchants and the rules and regulations of the SEC and the Commodity Futures Trading Commission (the "CFTC") thereunder and of any applicable industry self-regulatory organization and the rules of the NYSE, or which are required under consumer finance, mortgage banking and other similar laws of the various states in which Morgan or any of its Subsidiaries is licensed or regulated, (F) notices or filings under the Hart-Scott-Rodino Antitrust Improvements Act of 1976, as amended (the "HSR Act"), (G) confirmation by way of a decision from the Commission of the European Union under</w:t>
      </w:r>
    </w:p>
    <w:p>
      <w:pPr>
        <w:sectPr>
          <w:pgSz w:w="11900" w:h="16838" w:orient="portrait"/>
          <w:cols w:equalWidth="0" w:num="1">
            <w:col w:w="9939"/>
          </w:cols>
          <w:pgMar w:left="520" w:top="300" w:right="1440" w:bottom="1440" w:gutter="0" w:footer="0" w:header="0"/>
        </w:sectPr>
      </w:pPr>
    </w:p>
    <w:bookmarkStart w:id="24" w:name="page25"/>
    <w:bookmarkEnd w:id="24"/>
    <w:p>
      <w:pPr>
        <w:ind w:left="280"/>
        <w:spacing w:after="0"/>
        <w:rPr>
          <w:sz w:val="20"/>
          <w:szCs w:val="20"/>
          <w:color w:val="auto"/>
        </w:rPr>
      </w:pPr>
      <w:r>
        <w:rPr>
          <w:rFonts w:ascii="Courier New" w:cs="Courier New" w:eastAsia="Courier New" w:hAnsi="Courier New"/>
          <w:sz w:val="16"/>
          <w:szCs w:val="16"/>
          <w:color w:val="auto"/>
        </w:rPr>
        <w:t>20</w:t>
      </w:r>
    </w:p>
    <w:p>
      <w:pPr>
        <w:spacing w:after="0" w:line="5"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Regulation 4064/89 (the "EU Clearance"), (H) such other filings, authorizations, orders and approvals as may be required under foreign banking and similar laws with respect to bank Subsidiaries of Morgan that are chartered or licensed under the laws of foreign jurisdictions, and (I) such filings, notifications and approvals as are required under the Small Business Investment Act of 1958 ("SBIA") and the rules and regulations of the Small Business Administration ("SBA") thereunder.</w:t>
      </w:r>
    </w:p>
    <w:p>
      <w:pPr>
        <w:spacing w:after="0" w:line="188" w:lineRule="exact"/>
        <w:rPr>
          <w:sz w:val="20"/>
          <w:szCs w:val="20"/>
          <w:color w:val="auto"/>
        </w:rPr>
      </w:pPr>
    </w:p>
    <w:p>
      <w:pPr>
        <w:ind w:right="2539" w:firstLine="863"/>
        <w:spacing w:after="0" w:line="244" w:lineRule="auto"/>
        <w:tabs>
          <w:tab w:leader="none" w:pos="1249"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 Documents; Undisclosed Liabilities. (i) Morgan has filed all required reports, schedules, registration statements and other documents with the SEC since December 31, 1997 (the "Morgan SEC Documents"). As of their respective dates of filing with the SEC (or, if amended or superseded by a filing prior to the date hereof, as of the date of such filing), the Morgan SEC Documents complied in all material respects with the requirements of the Securities Act or the Exchange Act, as the case may be, and the rules and regulations of the SEC thereunder applicable to such Morgan SEC Documents, and none of the Morgan SEC Documents when filed contained any untrue statement of a material fact or omitted to state a material fact required to be stated therein or necessary to make the statements therein, in light of the circumstances under which they were made, not misleading. The financial statements of Morgan included in the Morgan SEC Documents complied as to form, as of their respective dates of filing with the SEC, in all material respects with all applicable accounting requirements and with the published rules and regulations of the SEC with respect thereto (except, in the case of unaudited statements, as permitted by Form 10-Q of the SEC), have been prepared in accordance with generally accepted accounting principles applied on a consistent basis during the periods involved (except as may be disclosed therein) and fairly present in all material respects the consolidated financial position of Morgan and its consolidated Subsidiaries and the consolidated results of operations, changes in stockholders' equity and cash flows of such companies as of the dates and for the periods shown.</w:t>
      </w:r>
    </w:p>
    <w:p>
      <w:pPr>
        <w:spacing w:after="0" w:line="196" w:lineRule="exact"/>
        <w:rPr>
          <w:sz w:val="20"/>
          <w:szCs w:val="20"/>
          <w:color w:val="auto"/>
        </w:rPr>
      </w:pPr>
    </w:p>
    <w:p>
      <w:pPr>
        <w:ind w:right="2539" w:firstLine="863"/>
        <w:spacing w:after="0" w:line="244" w:lineRule="auto"/>
        <w:tabs>
          <w:tab w:leader="none" w:pos="1345"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for (A) those liabilities that are fully reflected or reserved for in the consolidated financial statements of Morgan included in its Quarterly Report on Form 10-Q for the fiscal quarter ended June 30, 2000, as filed with the SEC, (B) liabilities incurred since June 30, 2000 in the ordinary course of business consistent with past practice, and (C) liabilities which would not, individually or in the aggregate, reasonably be expected to have a material adverse effect on Morgan, Morgan and its Subsidiaries do not have, and since June 30, 2000 Morgan and its Subsidiaries have not incurred (except as permitted by Section 4.1), any liabilities or obligations of any nature whatsoever (whether accrued, absolute, contingent or otherwise and whether or not required to be reflected in Morgan's financial statements in accordance with generally accepted accounting principles).</w:t>
      </w:r>
    </w:p>
    <w:p>
      <w:pPr>
        <w:spacing w:after="0" w:line="191" w:lineRule="exact"/>
        <w:rPr>
          <w:sz w:val="20"/>
          <w:szCs w:val="20"/>
          <w:color w:val="auto"/>
        </w:rPr>
      </w:pPr>
    </w:p>
    <w:p>
      <w:pPr>
        <w:ind w:right="2639" w:firstLine="863"/>
        <w:spacing w:after="0" w:line="262" w:lineRule="auto"/>
        <w:tabs>
          <w:tab w:leader="none" w:pos="1249"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Information Supplied. None of the information supplied or to be supplied by Morgan for inclusion or incorporation by reference in (i) the Form S-4 (as defined in Section 5.1(a)) will, at the time the Form S-4 is filed with the SEC and at the time it becomes effective under the Securities Act, contain any untrue statement of a material fact or omit to state any material fact required to be stated therein or necessary to make the statements therein not misleading, and (ii) the Joint Proxy Statement/Prospectus will, at the date of mailing to stockholders and at the times of the meetings of stockholders to be held in connection with the Merger, contain any untrue statement of a material fact or omit to state any material fact required to be stated therein or necessary in order to make the statements therein, in light of the</w:t>
      </w:r>
    </w:p>
    <w:p>
      <w:pPr>
        <w:sectPr>
          <w:pgSz w:w="11900" w:h="16838" w:orient="portrait"/>
          <w:cols w:equalWidth="0" w:num="1">
            <w:col w:w="10219"/>
          </w:cols>
          <w:pgMar w:left="240" w:top="300" w:right="1440" w:bottom="1440" w:gutter="0" w:footer="0" w:header="0"/>
        </w:sectPr>
      </w:pPr>
    </w:p>
    <w:bookmarkStart w:id="25" w:name="page26"/>
    <w:bookmarkEnd w:id="25"/>
    <w:p>
      <w:pPr>
        <w:ind w:left="280"/>
        <w:spacing w:after="0"/>
        <w:rPr>
          <w:sz w:val="20"/>
          <w:szCs w:val="20"/>
          <w:color w:val="auto"/>
        </w:rPr>
      </w:pPr>
      <w:r>
        <w:rPr>
          <w:rFonts w:ascii="Courier New" w:cs="Courier New" w:eastAsia="Courier New" w:hAnsi="Courier New"/>
          <w:sz w:val="16"/>
          <w:szCs w:val="16"/>
          <w:color w:val="auto"/>
        </w:rPr>
        <w:t>21</w:t>
      </w:r>
    </w:p>
    <w:p>
      <w:pPr>
        <w:spacing w:after="0" w:line="5"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circumstances under which they were made, not misleading. The Joint Proxy Statement/ Prospectus will comply as to form in all material respects with the requirements of the Exchange Act and the rules and regulations of the SEC thereunder, except that no representation or warranty is made by Morgan with respect to statements made or incorporated by reference therein based on information supplied by Chase for inclusion or incorporation by reference in the Joint Proxy Statement/Prospectus.</w:t>
      </w:r>
    </w:p>
    <w:p>
      <w:pPr>
        <w:spacing w:after="0" w:line="188" w:lineRule="exact"/>
        <w:rPr>
          <w:sz w:val="20"/>
          <w:szCs w:val="20"/>
          <w:color w:val="auto"/>
        </w:rPr>
      </w:pPr>
    </w:p>
    <w:p>
      <w:pPr>
        <w:ind w:right="2539" w:firstLine="863"/>
        <w:spacing w:after="0" w:line="261" w:lineRule="auto"/>
        <w:tabs>
          <w:tab w:leader="none" w:pos="1249"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Compliance with Applicable Laws. Morgan and its Subsidiaries hold all permits, licenses, variances, exemptions, orders and approvals of all Governmental Entities which are material to the operation of the businesses of Morgan and its Subsidiaries, taken as a whole (the "Morgan Permits"), and Morgan and its Subsidiaries are in compliance with the terms of the Morgan Permits, except where the failure so to hold or comply, individually or in the aggregate, would not reasonably be expected to have a material adverse effect on Morgan. Except as disclosed in the Morgan SEC Documents filed prior to the date of this Agreement or as set forth in the Morgan Disclosure Schedule, the businesses of Morgan and its Subsidiaries are not being conducted in violation of any law, ordinance or regulation of any Governmental Entity, except for possible violations which, individually or in the aggregate, do not have, and would not reasonably be expected to have, a material adverse effect on Morgan. To the knowledge of Morgan, no investigation by any Governmental Entity with respect to Morgan or any of its Subsidiaries is pending or threatened, other than, in each case, those the outcome of which, individually or in the aggregate, would not reasonably be expected to have a material adverse effect on Morgan.</w:t>
      </w:r>
    </w:p>
    <w:p>
      <w:pPr>
        <w:spacing w:after="0" w:line="369" w:lineRule="exact"/>
        <w:rPr>
          <w:rFonts w:ascii="Courier New" w:cs="Courier New" w:eastAsia="Courier New" w:hAnsi="Courier New"/>
          <w:sz w:val="15"/>
          <w:szCs w:val="15"/>
          <w:color w:val="auto"/>
        </w:rPr>
      </w:pPr>
    </w:p>
    <w:p>
      <w:pPr>
        <w:ind w:right="2539" w:firstLine="863"/>
        <w:spacing w:after="0" w:line="244" w:lineRule="auto"/>
        <w:tabs>
          <w:tab w:leader="none" w:pos="1249"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Legal Proceedings. Except as disclosed in the Morgan SEC Documents filed prior to the date of this Agreement or as set forth in the Morgan Disclosure Schedule, there is no suit, action, investigation or proceeding (whether judicial, arbitral, administrative or other) pending or, to the knowledge of Morgan, threatened, against or affecting Morgan or any Subsidiary of Morgan as to which there is a significant possibility of an adverse outcome which would, individually or in the aggregate, have a material adverse effect on Morgan, nor is there any judgment, decree, injunction, rule or order of any Governmental Entity or arbitrator outstanding against Morgan or any Subsidiary of Morgan having, individually or in the aggregate, a material adverse effect on Morgan or on the Surviving Corporation.</w:t>
      </w:r>
    </w:p>
    <w:p>
      <w:pPr>
        <w:spacing w:after="0" w:line="190" w:lineRule="exact"/>
        <w:rPr>
          <w:rFonts w:ascii="Courier New" w:cs="Courier New" w:eastAsia="Courier New" w:hAnsi="Courier New"/>
          <w:sz w:val="16"/>
          <w:szCs w:val="16"/>
          <w:color w:val="auto"/>
        </w:rPr>
      </w:pPr>
    </w:p>
    <w:p>
      <w:pPr>
        <w:ind w:right="2539" w:firstLine="863"/>
        <w:spacing w:after="0" w:line="261" w:lineRule="auto"/>
        <w:tabs>
          <w:tab w:leader="none" w:pos="1249"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Taxes. Morgan and each of its Subsidiaries have filed all tax returns required to be filed by any of them and have paid (or Morgan has paid on their behalf), or have set up an adequate reserve for the payment of, all taxes required to be paid as shown on such returns, and the most recent financial statements contained in the Morgan SEC Documents reflect an adequate reserve for all taxes payable by Morgan and its Subsidiaries accrued through the date of such financial statements. No material deficiencies for any taxes have been proposed, asserted or assessed against Morgan or any of its Subsidiaries that are not adequately reserved for. For the purpose of this Agreement, the term "tax" (including, with correlative meaning, the terms "taxes" and "taxable") shall include, except where the context otherwise requires, all Federal, state, local and foreign income, profits, franchise, gross receipts, payroll, sales, employment, use, property, withholding, excise, occupancy and other taxes, duties or assessments of any nature whatsoever, together with all interest, penalties and additions imposed with respect to such amounts. Neither Morgan nor any of its Subsidiaries has taken any action or knows of any fact, agreement, plan or other circumstance that is reasonably likely to prevent the Merger from qualifying as a reorganization within the meaning of Section 368(a) of the Code.</w:t>
      </w:r>
    </w:p>
    <w:p>
      <w:pPr>
        <w:sectPr>
          <w:pgSz w:w="11900" w:h="16838" w:orient="portrait"/>
          <w:cols w:equalWidth="0" w:num="1">
            <w:col w:w="10219"/>
          </w:cols>
          <w:pgMar w:left="240" w:top="300" w:right="1440" w:bottom="1440" w:gutter="0" w:footer="0" w:header="0"/>
        </w:sectPr>
      </w:pPr>
    </w:p>
    <w:bookmarkStart w:id="26" w:name="page27"/>
    <w:bookmarkEnd w:id="26"/>
    <w:p>
      <w:pPr>
        <w:ind w:left="281"/>
        <w:spacing w:after="0"/>
        <w:rPr>
          <w:sz w:val="20"/>
          <w:szCs w:val="20"/>
          <w:color w:val="auto"/>
        </w:rPr>
      </w:pPr>
      <w:r>
        <w:rPr>
          <w:rFonts w:ascii="Courier New" w:cs="Courier New" w:eastAsia="Courier New" w:hAnsi="Courier New"/>
          <w:sz w:val="16"/>
          <w:szCs w:val="16"/>
          <w:color w:val="auto"/>
        </w:rPr>
        <w:t>22</w:t>
      </w:r>
    </w:p>
    <w:p>
      <w:pPr>
        <w:spacing w:after="0" w:line="5" w:lineRule="exact"/>
        <w:rPr>
          <w:sz w:val="20"/>
          <w:szCs w:val="20"/>
          <w:color w:val="auto"/>
        </w:rPr>
      </w:pPr>
    </w:p>
    <w:p>
      <w:pPr>
        <w:ind w:left="1" w:right="2639" w:firstLine="863"/>
        <w:spacing w:after="0" w:line="244" w:lineRule="auto"/>
        <w:tabs>
          <w:tab w:leader="none" w:pos="1250" w:val="left"/>
        </w:tabs>
        <w:numPr>
          <w:ilvl w:val="1"/>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Certain Agreements. Except as disclosed in or filed as exhibits to the Morgan SEC Documents filed prior to the date of this Agreement or as disclosed in the Morgan Disclosure Schedule and except for this Agreement and the Stock Option Agreements, neither Morgan nor any of its Subsidiaries is a party to or bound by any contract, arrangement, commitment or understanding (i) with respect to the employment of any directors, executive officers or key employees, or with consultants that are natural persons, involving the payment of $10,000,000 or more per annum, (ii) which is a "material contract" (as such term is defined in Item 601(b)(10) of Regulation S-K of the SEC) that has not been filed as an exhibit to or incorporated by reference in the Morgan SEC Reports, (iii) which limits in any material way the ability of Morgan or any of its Subsidiaries to compete in any line of business, in any geographic area or with any person, or which requires referrals of any material business or requires Morgan or any of its affiliates to make available material investment opportunities to any person on a priority, equal or exclusive basis, (iv) with or to a labor union or guild (including any collective bargaining agreement),</w:t>
      </w:r>
    </w:p>
    <w:p>
      <w:pPr>
        <w:spacing w:after="0" w:line="7" w:lineRule="exact"/>
        <w:rPr>
          <w:rFonts w:ascii="Courier New" w:cs="Courier New" w:eastAsia="Courier New" w:hAnsi="Courier New"/>
          <w:sz w:val="16"/>
          <w:szCs w:val="16"/>
          <w:color w:val="auto"/>
        </w:rPr>
      </w:pPr>
    </w:p>
    <w:p>
      <w:pPr>
        <w:ind w:left="1" w:right="2539" w:hanging="1"/>
        <w:spacing w:after="0" w:line="244" w:lineRule="auto"/>
        <w:tabs>
          <w:tab w:leader="none" w:pos="386"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case of a Morgan Benefit Plan (as defined in Section 3.1(j)), any of the benefits of which will be increased, or the vesting of the benefits of which will be accelerated, by the occurrence of any of the transactions contemplated by this Agreement or the Stock Option Agreements, or the value of any of the benefits of which will be calculated on the basis of any of the transactions contemplated by this Agreement or the Stock Option Agreements, or (vi) which would prohibit or delay the consummation of any of the transactions contemplated by this Agreement or the Stock Option Agreements. Morgan has previously made available to Chase complete and accurate copies of each contract, arrangement, commitment or understanding of the type described in this Section 3.1(i) (collectively referred to herein as the "Morgan Contracts"). All of the Morgan Contracts are valid and in full force and effect, except to the extent they have previously expired in accordance with their terms or if the failure to be in full force and effect, individually or in the aggregate, would not reasonably be expected to have a material adverse effect on Morgan. Neither Morgan nor any of its Subsidiaries has, and to the best knowledge of Morgan, none of the other parties thereto have, violated any provision of, or committed or failed to perform any act which with or without notice, lapse of time or both would constitute a default under the provisions of, any Morgan Contract, except in each case for those violations and defaults which, individually or in the aggregate, would not reasonably be expected to result in a material adverse effect on Morgan.</w:t>
      </w:r>
    </w:p>
    <w:p>
      <w:pPr>
        <w:spacing w:after="0" w:line="195" w:lineRule="exact"/>
        <w:rPr>
          <w:rFonts w:ascii="Courier New" w:cs="Courier New" w:eastAsia="Courier New" w:hAnsi="Courier New"/>
          <w:sz w:val="16"/>
          <w:szCs w:val="16"/>
          <w:color w:val="auto"/>
        </w:rPr>
      </w:pPr>
    </w:p>
    <w:p>
      <w:pPr>
        <w:ind w:left="1" w:right="2539" w:firstLine="863"/>
        <w:spacing w:after="0" w:line="244" w:lineRule="auto"/>
        <w:tabs>
          <w:tab w:leader="none" w:pos="1250" w:val="left"/>
        </w:tabs>
        <w:numPr>
          <w:ilvl w:val="1"/>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Benefit Plans. (i) With respect to each employee benefit plan (including, without limitation, any "employee benefit plan", as defined in Section 3(3) of the Employee Retirement Income Security Act of 1974, as amended ("ERISA"), including, without limitation, multiemployer plans within the meaning of ERISA Section 3(37)) and all stock purchase, stock option, severance, employment, change-in-control, fringe benefit, collective bargaining, bonus, incentive, deferred compensation and other employee benefit plans, agreements, programs, policies or other arrangements, whether or not subject to ERISA, whether formal or informal, oral or written, legally binding or not, under which any employee or former employee of Morgan or any of its Subsidiaries has any present or future right to benefits (all the foregoing being herein called "Benefit Plans"), maintained or contributed to by Morgan or Morgan Bank or any of their Subsidiaries or under which Morgan, Morgan Bank or any of their Subsidiaries has any present or future liability (the "Morgan Benefit Plans"), Morgan has made available, or within 30 days after the execution hereof will make available, to Chase a true and correct copy of (A) the most recent annual report (Form 5500) filed with the IRS, (B) such Morgan Benefit Plan, (C) each trust agreement relating to such Morgan Benefit Plan, (D) the most recent summary plan</w:t>
      </w:r>
    </w:p>
    <w:p>
      <w:pPr>
        <w:sectPr>
          <w:pgSz w:w="11900" w:h="16838" w:orient="portrait"/>
          <w:cols w:equalWidth="0" w:num="1">
            <w:col w:w="10221"/>
          </w:cols>
          <w:pgMar w:left="239" w:top="300" w:right="1440" w:bottom="1440" w:gutter="0" w:footer="0" w:header="0"/>
        </w:sectPr>
      </w:pPr>
    </w:p>
    <w:bookmarkStart w:id="27" w:name="page28"/>
    <w:bookmarkEnd w:id="27"/>
    <w:p>
      <w:pPr>
        <w:ind w:left="280"/>
        <w:spacing w:after="0"/>
        <w:rPr>
          <w:sz w:val="20"/>
          <w:szCs w:val="20"/>
          <w:color w:val="auto"/>
        </w:rPr>
      </w:pPr>
      <w:r>
        <w:rPr>
          <w:rFonts w:ascii="Courier New" w:cs="Courier New" w:eastAsia="Courier New" w:hAnsi="Courier New"/>
          <w:sz w:val="16"/>
          <w:szCs w:val="16"/>
          <w:color w:val="auto"/>
        </w:rPr>
        <w:t>23</w:t>
      </w:r>
    </w:p>
    <w:p>
      <w:pPr>
        <w:spacing w:after="0" w:line="5" w:lineRule="exact"/>
        <w:rPr>
          <w:sz w:val="20"/>
          <w:szCs w:val="20"/>
          <w:color w:val="auto"/>
        </w:rPr>
      </w:pPr>
    </w:p>
    <w:p>
      <w:pPr>
        <w:jc w:val="both"/>
        <w:ind w:right="2539"/>
        <w:spacing w:after="0" w:line="244" w:lineRule="auto"/>
        <w:rPr>
          <w:sz w:val="20"/>
          <w:szCs w:val="20"/>
          <w:color w:val="auto"/>
        </w:rPr>
      </w:pPr>
      <w:r>
        <w:rPr>
          <w:rFonts w:ascii="Courier New" w:cs="Courier New" w:eastAsia="Courier New" w:hAnsi="Courier New"/>
          <w:sz w:val="16"/>
          <w:szCs w:val="16"/>
          <w:color w:val="auto"/>
        </w:rPr>
        <w:t>description for each Morgan Benefit Plan for which a summary plan description is required, (E) the most recent actuarial report or valuation relating to a Morgan Benefit Plan subject to Title IV of ERISA and (F) the most recent determination letter issued by the IRS with respect to any Morgan Benefit Plan qualified under Section 401(a) of the Code.</w:t>
      </w:r>
    </w:p>
    <w:p>
      <w:pPr>
        <w:spacing w:after="0" w:line="187" w:lineRule="exact"/>
        <w:rPr>
          <w:sz w:val="20"/>
          <w:szCs w:val="20"/>
          <w:color w:val="auto"/>
        </w:rPr>
      </w:pPr>
    </w:p>
    <w:p>
      <w:pPr>
        <w:ind w:right="2639" w:firstLine="863"/>
        <w:spacing w:after="0" w:line="244" w:lineRule="auto"/>
        <w:tabs>
          <w:tab w:leader="none" w:pos="1345"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 respect to the Morgan Benefit Plans, individually and in the aggregate, no event has occurred and, to the knowledge of Morgan, there exists no condition or set of circumstances, in connection with which Morgan or any of its Subsidiaries could be subject to any liability that would reasonably be expected to have a material adverse effect on Morgan under ERISA, the Code or any other applicable law.</w:t>
      </w:r>
    </w:p>
    <w:p>
      <w:pPr>
        <w:spacing w:after="0" w:line="187" w:lineRule="exact"/>
        <w:rPr>
          <w:rFonts w:ascii="Courier New" w:cs="Courier New" w:eastAsia="Courier New" w:hAnsi="Courier New"/>
          <w:sz w:val="16"/>
          <w:szCs w:val="16"/>
          <w:color w:val="auto"/>
        </w:rPr>
      </w:pPr>
    </w:p>
    <w:p>
      <w:pPr>
        <w:ind w:right="2639" w:firstLine="863"/>
        <w:spacing w:after="0" w:line="243" w:lineRule="auto"/>
        <w:tabs>
          <w:tab w:leader="none" w:pos="1441"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True and complete copies of the Morgan Stock Plans as in effect on the date hereof have been, or within 30 days after the execution hereof will be, provided or made available to Chase.</w:t>
      </w:r>
    </w:p>
    <w:p>
      <w:pPr>
        <w:spacing w:after="0" w:line="188" w:lineRule="exact"/>
        <w:rPr>
          <w:rFonts w:ascii="Courier New" w:cs="Courier New" w:eastAsia="Courier New" w:hAnsi="Courier New"/>
          <w:sz w:val="16"/>
          <w:szCs w:val="16"/>
          <w:color w:val="auto"/>
        </w:rPr>
      </w:pPr>
    </w:p>
    <w:p>
      <w:pPr>
        <w:ind w:right="2539" w:firstLine="863"/>
        <w:spacing w:after="0" w:line="263" w:lineRule="auto"/>
        <w:tabs>
          <w:tab w:leader="none" w:pos="1345"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set forth in the Morgan Disclosure Schedule, no Morgan Benefit Plan or Morgan Stock Plan exists that could result in the payment to any present or former employee of Morgan or any Subsidiary of Morgan of any money or other property or accelerate or provide any other rights or benefits to any present or former employee of Morgan or any Subsidiary of Morgan as a result of the transactions contemplated by this Agreement, whether or not such payment would constitute a parachute payment within the meaning of Code Section 280G.</w:t>
      </w:r>
    </w:p>
    <w:p>
      <w:pPr>
        <w:spacing w:after="0" w:line="175" w:lineRule="exact"/>
        <w:rPr>
          <w:sz w:val="20"/>
          <w:szCs w:val="20"/>
          <w:color w:val="auto"/>
        </w:rPr>
      </w:pPr>
    </w:p>
    <w:p>
      <w:pPr>
        <w:ind w:right="2539" w:firstLine="863"/>
        <w:spacing w:after="0" w:line="244" w:lineRule="auto"/>
        <w:tabs>
          <w:tab w:leader="none" w:pos="1249"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Subsidiaries. Exhibit 21 to Morgan's Annual Report on Form 10-K for the fiscal year ended December 31, 1999 includes all the Subsidiaries of Morgan which are Significant Subsidiaries. Each of Morgan's Subsidiaries that is a bank (as defined in the BHC Act) is an "insured bank" as defined in the Federal Deposit Insurance Act (the "FDIA") and applicable regulations thereunder. All of the shares of capital stock of each of the Subsidiaries held by Morgan or by another Morgan Subsidiary are fully paid and, except as provided in Sections 5004(8) and 114 of the New York Banking Law, nonassessable and are owned by Morgan or a Subsidiary of Morgan free and clear of any claim, lien or encumbrance.</w:t>
      </w:r>
    </w:p>
    <w:p>
      <w:pPr>
        <w:spacing w:after="0" w:line="189" w:lineRule="exact"/>
        <w:rPr>
          <w:rFonts w:ascii="Courier New" w:cs="Courier New" w:eastAsia="Courier New" w:hAnsi="Courier New"/>
          <w:sz w:val="16"/>
          <w:szCs w:val="16"/>
          <w:color w:val="auto"/>
        </w:rPr>
      </w:pPr>
    </w:p>
    <w:p>
      <w:pPr>
        <w:ind w:right="2639" w:firstLine="863"/>
        <w:spacing w:after="0" w:line="244" w:lineRule="auto"/>
        <w:tabs>
          <w:tab w:leader="none" w:pos="1249"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Agreements with Regulators. Neither Morgan nor any Subsidiary of Morgan is a party to any written agreement or memorandum of understanding with, or a party to any commitment letter or similar undertaking to, or is subject to any order or directive by, or is a recipient of any extraordinary supervisory letter from, or has adopted any board resolutions at the request of, any Governmental Entity which restricts materially the conduct of its business, or in any manner relates to its capital adequacy, its credit policies or its management, nor has Morgan been advised by any Governmental Entity that it is contemplating issuing or requesting (or is considering the appropriateness of issuing or requesting) any such order, decree, agreement, memorandum of understanding, extraordinary supervisory letter, commitment letter or similar submission, or any such board resolutions.</w:t>
      </w:r>
    </w:p>
    <w:p>
      <w:pPr>
        <w:spacing w:after="0" w:line="190" w:lineRule="exact"/>
        <w:rPr>
          <w:rFonts w:ascii="Courier New" w:cs="Courier New" w:eastAsia="Courier New" w:hAnsi="Courier New"/>
          <w:sz w:val="16"/>
          <w:szCs w:val="16"/>
          <w:color w:val="auto"/>
        </w:rPr>
      </w:pPr>
    </w:p>
    <w:p>
      <w:pPr>
        <w:ind w:right="2719" w:firstLine="863"/>
        <w:spacing w:after="0" w:line="244" w:lineRule="auto"/>
        <w:tabs>
          <w:tab w:leader="none" w:pos="1249"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Absence of Certain Changes or Events. Except as disclosed in the Morgan SEC Documents filed prior to the date of this Agreement or, in the case of actions taken after the date hereof, except as permitted by Section 4.1, since June 30, 2000 (i) Morgan and its Subsidiaries have conducted their respective businesses in the ordinary course consistent with their past practices and (ii) there has not been any change, circumstance or event (including any</w:t>
      </w:r>
    </w:p>
    <w:p>
      <w:pPr>
        <w:sectPr>
          <w:pgSz w:w="11900" w:h="16838" w:orient="portrait"/>
          <w:cols w:equalWidth="0" w:num="1">
            <w:col w:w="10219"/>
          </w:cols>
          <w:pgMar w:left="240" w:top="300" w:right="1440" w:bottom="1440" w:gutter="0" w:footer="0" w:header="0"/>
        </w:sectPr>
      </w:pPr>
    </w:p>
    <w:bookmarkStart w:id="28" w:name="page29"/>
    <w:bookmarkEnd w:id="28"/>
    <w:p>
      <w:pPr>
        <w:ind w:left="281"/>
        <w:spacing w:after="0"/>
        <w:rPr>
          <w:sz w:val="20"/>
          <w:szCs w:val="20"/>
          <w:color w:val="auto"/>
        </w:rPr>
      </w:pPr>
      <w:r>
        <w:rPr>
          <w:rFonts w:ascii="Courier New" w:cs="Courier New" w:eastAsia="Courier New" w:hAnsi="Courier New"/>
          <w:sz w:val="16"/>
          <w:szCs w:val="16"/>
          <w:color w:val="auto"/>
        </w:rPr>
        <w:t>24</w:t>
      </w:r>
    </w:p>
    <w:p>
      <w:pPr>
        <w:spacing w:after="0" w:line="5" w:lineRule="exact"/>
        <w:rPr>
          <w:sz w:val="20"/>
          <w:szCs w:val="20"/>
          <w:color w:val="auto"/>
        </w:rPr>
      </w:pPr>
    </w:p>
    <w:p>
      <w:pPr>
        <w:ind w:left="1" w:right="3019"/>
        <w:spacing w:after="0" w:line="242" w:lineRule="auto"/>
        <w:rPr>
          <w:sz w:val="20"/>
          <w:szCs w:val="20"/>
          <w:color w:val="auto"/>
        </w:rPr>
      </w:pPr>
      <w:r>
        <w:rPr>
          <w:rFonts w:ascii="Courier New" w:cs="Courier New" w:eastAsia="Courier New" w:hAnsi="Courier New"/>
          <w:sz w:val="16"/>
          <w:szCs w:val="16"/>
          <w:color w:val="auto"/>
        </w:rPr>
        <w:t>event involving a prospective change) which has had, or would reasonably be expected to have, a material adverse effect on Morgan.</w:t>
      </w:r>
    </w:p>
    <w:p>
      <w:pPr>
        <w:spacing w:after="0" w:line="189" w:lineRule="exact"/>
        <w:rPr>
          <w:sz w:val="20"/>
          <w:szCs w:val="20"/>
          <w:color w:val="auto"/>
        </w:rPr>
      </w:pPr>
    </w:p>
    <w:p>
      <w:pPr>
        <w:ind w:left="1" w:right="2539" w:firstLine="863"/>
        <w:spacing w:after="0" w:line="262" w:lineRule="auto"/>
        <w:tabs>
          <w:tab w:leader="none" w:pos="1250" w:val="left"/>
        </w:tabs>
        <w:numPr>
          <w:ilvl w:val="1"/>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Board Approval. The Board of Directors of Morgan, by resolutions duly adopted by unanimous vote of those voting at a meeting duly called and held (the "Morgan Board Approval"), has (i) determined that this Agreement, the Stock Option Agreements and the Merger are fair to and in the best interests of Morgan and its stockholders and declared the Merger to be advisable, (ii) approved this Agreement, the Stock Option Agreements and the Merger, and (iii) recommended that the stockholders of Morgan adopt this Agreement and directed that such matter be submitted for consideration by Morgan stockholders at the Morgan Stockholders Meeting (as defined in Section 5.1(b)). The Morgan Board Approval constitutes approval of this Agreement, the Morgan Stock Option Agreement and the Merger for purposes of Section 203 of the DGCL. To the knowledge of Morgan, except for Section 203 of the DGCL (which has been rendered inapplicable), no state takeover statute is applicable to this Agreement, the Stock Option Agreements, the Merger or the other transactions contemplated hereby or thereby.</w:t>
      </w:r>
    </w:p>
    <w:p>
      <w:pPr>
        <w:spacing w:after="0" w:line="174" w:lineRule="exact"/>
        <w:rPr>
          <w:rFonts w:ascii="Courier New" w:cs="Courier New" w:eastAsia="Courier New" w:hAnsi="Courier New"/>
          <w:sz w:val="15"/>
          <w:szCs w:val="15"/>
          <w:color w:val="auto"/>
        </w:rPr>
      </w:pPr>
    </w:p>
    <w:p>
      <w:pPr>
        <w:ind w:left="1" w:right="2539" w:firstLine="863"/>
        <w:spacing w:after="0" w:line="244" w:lineRule="auto"/>
        <w:tabs>
          <w:tab w:leader="none" w:pos="1250" w:val="left"/>
        </w:tabs>
        <w:numPr>
          <w:ilvl w:val="1"/>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Vote Required. The affirmative vote of the holders of a majority of the outstanding shares of Morgan Common Stock to adopt this Agreement (the "Required Morgan Vote") is the only vote of the holders of any class or series of Morgan capital stock necessary to approve and adopt this Agreement and the transactions contemplated hereby (including the Merger).</w:t>
      </w:r>
    </w:p>
    <w:p>
      <w:pPr>
        <w:spacing w:after="0" w:line="187" w:lineRule="exact"/>
        <w:rPr>
          <w:rFonts w:ascii="Courier New" w:cs="Courier New" w:eastAsia="Courier New" w:hAnsi="Courier New"/>
          <w:sz w:val="16"/>
          <w:szCs w:val="16"/>
          <w:color w:val="auto"/>
        </w:rPr>
      </w:pPr>
    </w:p>
    <w:p>
      <w:pPr>
        <w:ind w:left="1" w:right="2639" w:firstLine="863"/>
        <w:spacing w:after="0" w:line="243" w:lineRule="auto"/>
        <w:tabs>
          <w:tab w:leader="none" w:pos="1250" w:val="left"/>
        </w:tabs>
        <w:numPr>
          <w:ilvl w:val="1"/>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Accounting Matters. Neither Morgan nor, to its best knowledge, any of its affiliates, has taken or agreed to take any action that would prevent Chase from accounting for the business combination to be effected by the Merger as a "pooling of interests".</w:t>
      </w:r>
    </w:p>
    <w:p>
      <w:pPr>
        <w:spacing w:after="0" w:line="189" w:lineRule="exact"/>
        <w:rPr>
          <w:rFonts w:ascii="Courier New" w:cs="Courier New" w:eastAsia="Courier New" w:hAnsi="Courier New"/>
          <w:sz w:val="16"/>
          <w:szCs w:val="16"/>
          <w:color w:val="auto"/>
        </w:rPr>
      </w:pPr>
    </w:p>
    <w:p>
      <w:pPr>
        <w:ind w:left="1" w:right="2639" w:firstLine="863"/>
        <w:spacing w:after="0" w:line="260" w:lineRule="auto"/>
        <w:tabs>
          <w:tab w:leader="none" w:pos="1250" w:val="left"/>
        </w:tabs>
        <w:numPr>
          <w:ilvl w:val="1"/>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Properties. Except as disclosed in the Morgan SEC Documents filed prior to the date of this Agreement, Morgan or one of its Subsidiaries (i) has good and marketable title to all the properties and assets reflected in the latest audited balance sheet included in such Morgan SEC Documents as being owned by Morgan or one of its Subsidiaries or acquired after the date thereof which are material to Morgan's business on a consolidated basis (except properties sold or otherwise disposed of since the date thereof in the ordinary course of business), free and clear of all claims, liens, charges, security interests or encumbrances of any nature whatsoever, except (A) statutory liens securing payments not yet due, (B) liens on assets of Subsidiaries of Morgan which are banks incurred in the ordinary course of their banking business and</w:t>
      </w:r>
    </w:p>
    <w:p>
      <w:pPr>
        <w:spacing w:after="0" w:line="7" w:lineRule="exact"/>
        <w:rPr>
          <w:rFonts w:ascii="Courier New" w:cs="Courier New" w:eastAsia="Courier New" w:hAnsi="Courier New"/>
          <w:sz w:val="15"/>
          <w:szCs w:val="15"/>
          <w:color w:val="auto"/>
        </w:rPr>
      </w:pPr>
    </w:p>
    <w:p>
      <w:pPr>
        <w:ind w:left="1" w:right="2539" w:hanging="1"/>
        <w:spacing w:after="0" w:line="244" w:lineRule="auto"/>
        <w:tabs>
          <w:tab w:leader="none" w:pos="386"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imperfections or irregularities of title, claims, liens, charges, security interests or encumbrances as do not materially affect the use of the properties or assets subject thereto or affected thereby or otherwise materially impair business operations at such properties, and (ii) is the lessee of all leasehold estates reflected in the latest audited financial statements included in such Morgan SEC Documents or acquired after the date thereof which are material to its business on a consolidated basis (except for leases that have expired by their terms since the date thereof) and is in possession of the properties purported to be leased thereunder, and each such lease is valid without default thereunder by the lessee or, to Morgan's knowledge, the lessor, except in the case of clauses (i) and (ii) above as would not reasonably be expected to have a material adverse effect on Morgan.</w:t>
      </w:r>
    </w:p>
    <w:p>
      <w:pPr>
        <w:spacing w:after="0" w:line="190" w:lineRule="exact"/>
        <w:rPr>
          <w:rFonts w:ascii="Courier New" w:cs="Courier New" w:eastAsia="Courier New" w:hAnsi="Courier New"/>
          <w:sz w:val="16"/>
          <w:szCs w:val="16"/>
          <w:color w:val="auto"/>
        </w:rPr>
      </w:pPr>
    </w:p>
    <w:p>
      <w:pPr>
        <w:ind w:left="1" w:right="2539" w:firstLine="863"/>
        <w:spacing w:after="0" w:line="243" w:lineRule="auto"/>
        <w:tabs>
          <w:tab w:leader="none" w:pos="1250" w:val="left"/>
        </w:tabs>
        <w:numPr>
          <w:ilvl w:val="1"/>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Interest Rate Risk Management Instruments. Any interest rate swaps, caps, floors and option agreements and other interest rate risk management arrangements, whether</w:t>
      </w:r>
    </w:p>
    <w:p>
      <w:pPr>
        <w:sectPr>
          <w:pgSz w:w="11900" w:h="16838" w:orient="portrait"/>
          <w:cols w:equalWidth="0" w:num="1">
            <w:col w:w="10221"/>
          </w:cols>
          <w:pgMar w:left="239" w:top="300" w:right="1440" w:bottom="1440" w:gutter="0" w:footer="0" w:header="0"/>
        </w:sectPr>
      </w:pPr>
    </w:p>
    <w:bookmarkStart w:id="29" w:name="page30"/>
    <w:bookmarkEnd w:id="29"/>
    <w:p>
      <w:pPr>
        <w:ind w:left="280"/>
        <w:spacing w:after="0"/>
        <w:rPr>
          <w:sz w:val="20"/>
          <w:szCs w:val="20"/>
          <w:color w:val="auto"/>
        </w:rPr>
      </w:pPr>
      <w:r>
        <w:rPr>
          <w:rFonts w:ascii="Courier New" w:cs="Courier New" w:eastAsia="Courier New" w:hAnsi="Courier New"/>
          <w:sz w:val="16"/>
          <w:szCs w:val="16"/>
          <w:color w:val="auto"/>
        </w:rPr>
        <w:t>25</w:t>
      </w:r>
    </w:p>
    <w:p>
      <w:pPr>
        <w:spacing w:after="0" w:line="5"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entered into for the account of Morgan or one of its Subsidiaries or entered into by Morgan or one of its Subsidiaries for the account of a customer of Morgan or one of its Subsidiaries, were entered into in the ordinary course of business and in accordance with prudent business practice and applicable rules, regulations and policies of any Governmental Entity and with counterparties reasonably believed by Morgan to be financially responsible at the time, and are legal, valid and binding obligations of Morgan or one of its Subsidiaries and, to the best knowledge of Morgan, of the other parties thereto enforceable in accordance with their terms (except as may be limited by bankruptcy, insolvency, moratorium, reorganization or similar laws affecting the rights of creditors generally and the availability of equitable remedies), and are in full force and effect, in each case except as would not reasonably be expected to have, either individually or in the aggregate, a material adverse effect on Morgan. Morgan and each of its Subsidiaries have duly performed all of their respective obligations thereunder to the extent that such obligations to perform have accrued, except as would not reasonably be expected to have, individually or in the aggregate, a material adverse effect on Morgan, and, to the best knowledge of Morgan, there are no breaches, violations or defaults or allegations or assertions of such by any party thereunder, except as would not reasonably be expected to have, either individually or in the aggregate, a material adverse effect on Morgan.</w:t>
      </w:r>
    </w:p>
    <w:p>
      <w:pPr>
        <w:spacing w:after="0" w:line="195" w:lineRule="exact"/>
        <w:rPr>
          <w:sz w:val="20"/>
          <w:szCs w:val="20"/>
          <w:color w:val="auto"/>
        </w:rPr>
      </w:pPr>
    </w:p>
    <w:p>
      <w:pPr>
        <w:jc w:val="both"/>
        <w:ind w:right="2819" w:firstLine="863"/>
        <w:spacing w:after="0" w:line="243" w:lineRule="auto"/>
        <w:tabs>
          <w:tab w:leader="none" w:pos="1249"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Intellectual Property. Morgan and its Subsidiaries own or have a valid license to use all trademarks, service marks and trade names (including any registrations or applications for registration of any of the foregoing)</w:t>
      </w:r>
    </w:p>
    <w:p>
      <w:pPr>
        <w:spacing w:after="0" w:line="3" w:lineRule="exact"/>
        <w:rPr>
          <w:rFonts w:ascii="Courier New" w:cs="Courier New" w:eastAsia="Courier New" w:hAnsi="Courier New"/>
          <w:sz w:val="16"/>
          <w:szCs w:val="16"/>
          <w:color w:val="auto"/>
        </w:rPr>
      </w:pPr>
    </w:p>
    <w:p>
      <w:pPr>
        <w:ind w:right="253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(collectively, the "Morgan Intellectual Property") necessary to carry on their business substantially as currently conducted, except where such failures to own or validly license such Morgan Intellectual Property would not, individually or in the aggregate, reasonably be expected to have a material adverse effect on Morgan. Neither Morgan nor any such Subsidiary has received any notice of infringement of or conflict with, and to Morgan's knowledge, there are no infringements of or conflicts with, the rights of others with respect to the use of any Morgan Intellectual Property that individually or in the aggregate, in either such case, would reasonably be expected to have a material adverse effect on Morgan.</w:t>
      </w:r>
    </w:p>
    <w:p>
      <w:pPr>
        <w:spacing w:after="0" w:line="189" w:lineRule="exact"/>
        <w:rPr>
          <w:rFonts w:ascii="Courier New" w:cs="Courier New" w:eastAsia="Courier New" w:hAnsi="Courier New"/>
          <w:sz w:val="16"/>
          <w:szCs w:val="16"/>
          <w:color w:val="auto"/>
        </w:rPr>
      </w:pPr>
    </w:p>
    <w:p>
      <w:pPr>
        <w:ind w:right="2539" w:firstLine="863"/>
        <w:spacing w:after="0" w:line="244" w:lineRule="auto"/>
        <w:tabs>
          <w:tab w:leader="none" w:pos="1249"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Brokers or Finders. No agent, broker, investment banker, financial advisor or other firm or person is or will be entitled to any broker's or finder's fee or any other similar commission or fee in connection with any of the transactions contemplated by this Agreement, except J.P. Morgan Securities Inc., and Morgan agrees to indemnify Chase and to hold Chase harmless from and against any and all claims, liabilities or obligations with respect to any other fees, commissions or expenses asserted by any person on the basis of any act or statement alleged to have been made by Morgan or its affiliates.</w:t>
      </w:r>
    </w:p>
    <w:p>
      <w:pPr>
        <w:spacing w:after="0" w:line="188" w:lineRule="exact"/>
        <w:rPr>
          <w:rFonts w:ascii="Courier New" w:cs="Courier New" w:eastAsia="Courier New" w:hAnsi="Courier New"/>
          <w:sz w:val="16"/>
          <w:szCs w:val="16"/>
          <w:color w:val="auto"/>
        </w:rPr>
      </w:pPr>
    </w:p>
    <w:p>
      <w:pPr>
        <w:ind w:right="2639" w:firstLine="863"/>
        <w:spacing w:after="0" w:line="243" w:lineRule="auto"/>
        <w:tabs>
          <w:tab w:leader="none" w:pos="1249"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Opinion of Morgan Financial Advisor. Morgan has received the opinion of its financial advisor, J.P Morgan Securities Inc., dated the date of this Agreement, to the effect that the Exchange Ratio is fair, from a financial point of view, to Morgan and the holders of Morgan Common Stock.</w:t>
      </w:r>
    </w:p>
    <w:p>
      <w:pPr>
        <w:spacing w:after="0" w:line="190" w:lineRule="exact"/>
        <w:rPr>
          <w:sz w:val="20"/>
          <w:szCs w:val="20"/>
          <w:color w:val="auto"/>
        </w:rPr>
      </w:pPr>
    </w:p>
    <w:p>
      <w:pPr>
        <w:ind w:right="3019" w:firstLine="865"/>
        <w:spacing w:after="0" w:line="242" w:lineRule="auto"/>
        <w:rPr>
          <w:sz w:val="20"/>
          <w:szCs w:val="20"/>
          <w:color w:val="auto"/>
        </w:rPr>
      </w:pPr>
      <w:r>
        <w:rPr>
          <w:rFonts w:ascii="Courier New" w:cs="Courier New" w:eastAsia="Courier New" w:hAnsi="Courier New"/>
          <w:sz w:val="16"/>
          <w:szCs w:val="16"/>
          <w:color w:val="auto"/>
        </w:rPr>
        <w:t>3.2. Representations and Warranties of Chase. Chase represents and warrants to Morgan as follows:</w:t>
      </w:r>
    </w:p>
    <w:p>
      <w:pPr>
        <w:spacing w:after="0" w:line="189" w:lineRule="exact"/>
        <w:rPr>
          <w:sz w:val="20"/>
          <w:szCs w:val="20"/>
          <w:color w:val="auto"/>
        </w:rPr>
      </w:pPr>
    </w:p>
    <w:p>
      <w:pPr>
        <w:ind w:right="2719" w:firstLine="863"/>
        <w:spacing w:after="0" w:line="243" w:lineRule="auto"/>
        <w:tabs>
          <w:tab w:leader="none" w:pos="1249"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Organization, Standing and Power. Chase is a bank holding company registered under the BHC Act, which has duly elected to become, and meets the applicable requirements for qualification as, a financial holding company pursuant to Section 4(l) of the</w:t>
      </w:r>
    </w:p>
    <w:p>
      <w:pPr>
        <w:sectPr>
          <w:pgSz w:w="11900" w:h="16838" w:orient="portrait"/>
          <w:cols w:equalWidth="0" w:num="1">
            <w:col w:w="10219"/>
          </w:cols>
          <w:pgMar w:left="240" w:top="300" w:right="1440" w:bottom="1440" w:gutter="0" w:footer="0" w:header="0"/>
        </w:sectPr>
      </w:pPr>
    </w:p>
    <w:bookmarkStart w:id="30" w:name="page31"/>
    <w:bookmarkEnd w:id="30"/>
    <w:p>
      <w:pPr>
        <w:ind w:left="280"/>
        <w:spacing w:after="0"/>
        <w:rPr>
          <w:sz w:val="20"/>
          <w:szCs w:val="20"/>
          <w:color w:val="auto"/>
        </w:rPr>
      </w:pPr>
      <w:r>
        <w:rPr>
          <w:rFonts w:ascii="Courier New" w:cs="Courier New" w:eastAsia="Courier New" w:hAnsi="Courier New"/>
          <w:sz w:val="16"/>
          <w:szCs w:val="16"/>
          <w:color w:val="auto"/>
        </w:rPr>
        <w:t>26</w:t>
      </w:r>
    </w:p>
    <w:p>
      <w:pPr>
        <w:spacing w:after="0" w:line="5"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BHC Act. The Chase Manhattan Bank ("Chase Bank") is a wholly-owned Subsidiary of Chase and a banking corporation organized under the laws of the State of New York. Each of Chase and its Significant Subsidiaries is a bank, corporation or partnership duly organized, validly existing and, in the case of banks or corporations, in good standing under the laws of its jurisdiction of incorporation or organization, has all requisite power and authority to own, lease and operate its properties and to carry on its business as now being conducted, and is duly qualified and in good standing to do business in each jurisdiction in which the nature of its business or the ownership or leasing of its properties makes such qualification necessary, other than in such jurisdictions where the failure so to qualify would not, either individually or in the aggregate, reasonably be expected to have a material adverse effect on Chase. The Certificate of Incorporation and By-laws of Chase, copies of which were previously furnished to Morgan, are true, complete and correct copies of such documents as in effect on the date of this Agreement.</w:t>
      </w:r>
    </w:p>
    <w:p>
      <w:pPr>
        <w:spacing w:after="0" w:line="192" w:lineRule="exact"/>
        <w:rPr>
          <w:sz w:val="20"/>
          <w:szCs w:val="20"/>
          <w:color w:val="auto"/>
        </w:rPr>
      </w:pPr>
    </w:p>
    <w:p>
      <w:pPr>
        <w:ind w:right="2539" w:firstLine="863"/>
        <w:spacing w:after="0" w:line="261" w:lineRule="auto"/>
        <w:tabs>
          <w:tab w:leader="none" w:pos="1249"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Capital Structure. (i) The authorized capital stock of Chase consists of 4,500,000,000 shares of Chase Common Stock and 200,000,000 shares of Chase Preferred Stock. As of the close of business on August 31, 2000 (A) 1,322,758,290 shares of Chase Common Stock were outstanding (including shares held in treasury), 222,049,228 shares of Chase Common Stock were reserved for issuance upon the exercise or payment of outstanding stock options, stock units or other awards or pursuant to Chase's dividend reinvestment plan, Value Shares, Success Shares and Vision Shares Plans, the Deferred Compensation Plan for Non-Employee Directors of Chase and Chase Bank, the Post-Retirement Compensation Plan for Non-Employee Directors, Chase's Corporate Performance Incentive Plan, Chase's Employee Stock Purchase Plan, the Deferred Compensation Plan of Chase and Participating Companies, the Chase 1996 Long-Term Incentive Plan, and long-term incentive and other stock plans assumed by Chase in connection with the combinations with and acquisitions of Manufacturers Hanover Corporation, Chemical Banking Corporation, Margaretten Financial Corporation and Hambrecht &amp; Quist Group (such plans and programs, collectively, the "Chase Stock Plans"), and 13,890,325 shares of Chase Common Stock were held by Chase in its treasury or by its Subsidiaries (other than trading account shares, trust account shares or DPC shares); and (B) 23,100,000 shares of Chase Preferred Stock were outstanding, consisting of 8,000,000 shares of 10.84% Cumulative Preferred Stock, 9,100,00 shares of Adjustable Rate Cumulative Preferred Stock, Series L, 4,000,000 shares of Fixed/Adjustable Rate Noncumulative Preferred Stock and 2,000,000 shares of Adjustable Rate Cumulative Preferred Stock, Series N. All outstanding shares of Chase Common Stock and Chase Preferred Stock have been duly authorized and validly issued and are fully paid and non-assessable and not subject to preemptive rights. The shares of Chase Common Stock and Chase Merger Preferred Stock (x) to be issued pursuant to or as specifically contemplated by this Agreement (including without limitation as contemplated by Section 5.8 hereof), or (y) which may be issued pursuant to the Chase Stock Option Agreement, have been duly authorized and, if and when issued in accordance with the terms hereof or thereof, will be validly issued, fully paid and non-assessable and not subject to preemptive rights.</w:t>
      </w:r>
    </w:p>
    <w:p>
      <w:pPr>
        <w:spacing w:after="0" w:line="200" w:lineRule="exact"/>
        <w:rPr>
          <w:sz w:val="20"/>
          <w:szCs w:val="20"/>
          <w:color w:val="auto"/>
        </w:rPr>
      </w:pPr>
    </w:p>
    <w:p>
      <w:pPr>
        <w:spacing w:after="0" w:line="352" w:lineRule="exact"/>
        <w:rPr>
          <w:sz w:val="20"/>
          <w:szCs w:val="20"/>
          <w:color w:val="auto"/>
        </w:rPr>
      </w:pPr>
    </w:p>
    <w:p>
      <w:pPr>
        <w:ind w:left="1340" w:hanging="477"/>
        <w:spacing w:after="0"/>
        <w:tabs>
          <w:tab w:leader="none" w:pos="134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Voting Debt of Chase is issued or outstanding.</w:t>
      </w:r>
    </w:p>
    <w:p>
      <w:pPr>
        <w:spacing w:after="0" w:line="190" w:lineRule="exact"/>
        <w:rPr>
          <w:rFonts w:ascii="Courier New" w:cs="Courier New" w:eastAsia="Courier New" w:hAnsi="Courier New"/>
          <w:sz w:val="16"/>
          <w:szCs w:val="16"/>
          <w:color w:val="auto"/>
        </w:rPr>
      </w:pPr>
    </w:p>
    <w:p>
      <w:pPr>
        <w:ind w:right="2539" w:firstLine="863"/>
        <w:spacing w:after="0" w:line="244" w:lineRule="auto"/>
        <w:tabs>
          <w:tab w:leader="none" w:pos="1441"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for (A) this Agreement, (B) options or awards issued or to be issued under the Chase Stock Plans, which represented, as of August 31, 2000, the right to acquire up to an aggregate of 163,327,444 shares of Chase Common Stock, (C) the Chase Stock Option Agreement, and (D) agreements entered into and securities and other instruments issued</w:t>
      </w:r>
    </w:p>
    <w:p>
      <w:pPr>
        <w:sectPr>
          <w:pgSz w:w="11900" w:h="16838" w:orient="portrait"/>
          <w:cols w:equalWidth="0" w:num="1">
            <w:col w:w="10219"/>
          </w:cols>
          <w:pgMar w:left="240" w:top="300" w:right="1440" w:bottom="1440" w:gutter="0" w:footer="0" w:header="0"/>
        </w:sectPr>
      </w:pPr>
    </w:p>
    <w:bookmarkStart w:id="31" w:name="page32"/>
    <w:bookmarkEnd w:id="31"/>
    <w:p>
      <w:pPr>
        <w:ind w:left="281"/>
        <w:spacing w:after="0"/>
        <w:rPr>
          <w:sz w:val="20"/>
          <w:szCs w:val="20"/>
          <w:color w:val="auto"/>
        </w:rPr>
      </w:pPr>
      <w:r>
        <w:rPr>
          <w:rFonts w:ascii="Courier New" w:cs="Courier New" w:eastAsia="Courier New" w:hAnsi="Courier New"/>
          <w:sz w:val="16"/>
          <w:szCs w:val="16"/>
          <w:color w:val="auto"/>
        </w:rPr>
        <w:t>27</w:t>
      </w:r>
    </w:p>
    <w:p>
      <w:pPr>
        <w:spacing w:after="0" w:line="5" w:lineRule="exact"/>
        <w:rPr>
          <w:sz w:val="20"/>
          <w:szCs w:val="20"/>
          <w:color w:val="auto"/>
        </w:rPr>
      </w:pPr>
    </w:p>
    <w:p>
      <w:pPr>
        <w:ind w:left="1" w:right="2539"/>
        <w:spacing w:after="0" w:line="244" w:lineRule="auto"/>
        <w:rPr>
          <w:sz w:val="20"/>
          <w:szCs w:val="20"/>
          <w:color w:val="auto"/>
        </w:rPr>
      </w:pPr>
      <w:r>
        <w:rPr>
          <w:rFonts w:ascii="Courier New" w:cs="Courier New" w:eastAsia="Courier New" w:hAnsi="Courier New"/>
          <w:sz w:val="16"/>
          <w:szCs w:val="16"/>
          <w:color w:val="auto"/>
        </w:rPr>
        <w:t>after the date of this Agreement as permitted by Section 4.2, there are no options, warrants, calls, rights, commitments or agreements of any character to which Chase or any Subsidiary of Chase is a party or by which it or any such Subsidiary is bound obligating Chase or any Subsidiary of Chase to issue, deliver or sell, or cause to be issued, delivered or sold, additional shares of capital stock or any Voting Debt of Chase or of any Subsidiary of Chase or obligating Chase or any Subsidiary of Chase to grant, extend or enter into any such option, warrant, call, right, commitment or agreement. There are no outstanding contractual obligations of Chase or any of its Subsidiaries to (A) repurchase, redeem or otherwise acquire any shares of capital stock of Chase or any of its Subsidiaries, other than the Chase Stock Option Agreement, or (B) except as set forth in the disclosure schedule delivered by Chase to Morgan concurrently herewith (the "Chase Disclosure Schedule"), pursuant to which Chase or any of its Subsidiaries is or could be required to register shares of Chase Common Stock or other securities under the Securities Act, except the Chase Stock Agreement and any such contractual obligations entered into after the date hereof as permitted by Section 4.2.</w:t>
      </w:r>
    </w:p>
    <w:p>
      <w:pPr>
        <w:spacing w:after="0" w:line="193" w:lineRule="exact"/>
        <w:rPr>
          <w:sz w:val="20"/>
          <w:szCs w:val="20"/>
          <w:color w:val="auto"/>
        </w:rPr>
      </w:pPr>
    </w:p>
    <w:p>
      <w:pPr>
        <w:ind w:left="1" w:right="2539" w:firstLine="863"/>
        <w:spacing w:after="0" w:line="260" w:lineRule="auto"/>
        <w:tabs>
          <w:tab w:leader="none" w:pos="1346" w:val="left"/>
        </w:tabs>
        <w:numPr>
          <w:ilvl w:val="1"/>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Since August 31, 2000, and except as permitted pursuant to Section 4.2, Chase has not (A) issued or permitted to be issued any shares of capital stock, or securities exercisable or exchangeable for or convertible into shares of capital stock, of Chase or any of its Subsidiaries, other than pursuant to and as required by the terms of the Chase Stock Option Agreement, the Chase Stock Plans and any employee stock options and other awards issued under the Chase Stock Plans prior to the date hereof (or issued after the date hereof in the ordinary course of business consistent with past practice as permitted by such plans or, in the case of options and other equity-based awards issued after the date of this Agreement, Sections 4.2(c) and 4.2(j)); (B) repurchased, redeemed or otherwise acquired, directly or indirectly through one or more Chase Subsidiaries, any shares of capital stock of Chase or any of its Subsidiaries (other than the acquisition of trading account shares, trust account shares or DPC shares in the ordinary course of business consistent with past practice); or</w:t>
      </w:r>
    </w:p>
    <w:p>
      <w:pPr>
        <w:spacing w:after="0" w:line="9" w:lineRule="exact"/>
        <w:rPr>
          <w:rFonts w:ascii="Courier New" w:cs="Courier New" w:eastAsia="Courier New" w:hAnsi="Courier New"/>
          <w:sz w:val="15"/>
          <w:szCs w:val="15"/>
          <w:color w:val="auto"/>
        </w:rPr>
      </w:pPr>
    </w:p>
    <w:p>
      <w:pPr>
        <w:ind w:left="1" w:right="2539" w:hanging="1"/>
        <w:spacing w:after="0" w:line="244" w:lineRule="auto"/>
        <w:tabs>
          <w:tab w:leader="none" w:pos="386"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declared, set aside, made or paid to the stockholders of Chase dividends or other distributions on the outstanding shares of capital stock of Chase, other than (x) regular quarterly cash dividends on the Chase Common Stock at a rate not in excess of the regular quarterly cash dividend most recently declared by Chase prior to the date of this Agreement and (y) cash dividends on the Chase Preferred Stock as required by the terms of such preferred stock as in effect on the date hereof.</w:t>
      </w:r>
    </w:p>
    <w:p>
      <w:pPr>
        <w:spacing w:after="0" w:line="188" w:lineRule="exact"/>
        <w:rPr>
          <w:sz w:val="20"/>
          <w:szCs w:val="20"/>
          <w:color w:val="auto"/>
        </w:rPr>
      </w:pPr>
    </w:p>
    <w:p>
      <w:pPr>
        <w:ind w:left="1" w:right="2639" w:firstLine="863"/>
        <w:spacing w:after="0" w:line="262" w:lineRule="auto"/>
        <w:tabs>
          <w:tab w:leader="none" w:pos="125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Authority. (i) Chase has all requisite corporate power and authority to enter into this Agreement and the Stock Option Agreements and, subject to adoption of this Agreement by the requisite vote of the holders of Chase Common Stock, to consummate the transactions contemplated hereby and thereby. The execution and delivery of this Agreement and the Stock Option Agreements and the consummation of the transactions contemplated hereby and thereby have been duly authorized by all necessary corporate action on the part of Chase, subject in the case of the consummation of the Merger to the adoption of this Agreement by the stockholders of Chase. This Agreement and the Stock Option Agreements have been duly executed and delivered by Chase and each constitutes a valid and binding obligation of Chase, enforceable against Chase in accordance with its terms, subject to bankruptcy, insolvency, fraudulent transfer, reorganization, moratorium and similar laws of general applicability relating to or affecting creditors' rights and to general equitable principles.</w:t>
      </w:r>
    </w:p>
    <w:p>
      <w:pPr>
        <w:sectPr>
          <w:pgSz w:w="11900" w:h="16838" w:orient="portrait"/>
          <w:cols w:equalWidth="0" w:num="1">
            <w:col w:w="10221"/>
          </w:cols>
          <w:pgMar w:left="239" w:top="300" w:right="1440" w:bottom="1440" w:gutter="0" w:footer="0" w:header="0"/>
        </w:sectPr>
      </w:pPr>
    </w:p>
    <w:bookmarkStart w:id="32" w:name="page33"/>
    <w:bookmarkEnd w:id="32"/>
    <w:p>
      <w:pPr>
        <w:spacing w:after="0"/>
        <w:rPr>
          <w:sz w:val="20"/>
          <w:szCs w:val="20"/>
          <w:color w:val="auto"/>
        </w:rPr>
      </w:pPr>
      <w:r>
        <w:rPr>
          <w:rFonts w:ascii="Courier New" w:cs="Courier New" w:eastAsia="Courier New" w:hAnsi="Courier New"/>
          <w:sz w:val="16"/>
          <w:szCs w:val="16"/>
          <w:color w:val="auto"/>
        </w:rPr>
        <w:t>28</w:t>
      </w:r>
    </w:p>
    <w:p>
      <w:pPr>
        <w:spacing w:after="0" w:line="5" w:lineRule="exact"/>
        <w:rPr>
          <w:sz w:val="20"/>
          <w:szCs w:val="20"/>
          <w:color w:val="auto"/>
        </w:rPr>
      </w:pPr>
    </w:p>
    <w:p>
      <w:pPr>
        <w:ind w:left="-280" w:right="2539" w:firstLine="863"/>
        <w:spacing w:after="0" w:line="244" w:lineRule="auto"/>
        <w:tabs>
          <w:tab w:leader="none" w:pos="1065"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execution and delivery of this Agreement and the Stock Option Agreements do not, and the consummation of the transactions contemplated hereby and thereby will not, result in any Violation pursuant to (A) any provision of the Certificate of Incorporation or By-laws of Chase or any Subsidiary of Chase, or (B) except as disclosed in the Chase Disclosure Schedule and subject to obtaining or making the consents, approvals, orders, authorizations, registrations, declarations and filings referred to in paragraph (iii) below, result in any Violation of any loan or credit agreement, note, mortgage, indenture, lease, Chase Benefit Plan or other agreement, obligation, instrument, permit, concession, franchise, license, judgment, order, decree, statute, law, ordinance, rule or regulation applicable to Chase or any Subsidiary of Chase or their respective properties or assets which Violation, individually or in the aggregate, would reasonably be expected to have a material adverse effect on Chase.</w:t>
      </w:r>
    </w:p>
    <w:p>
      <w:pPr>
        <w:spacing w:after="0" w:line="191" w:lineRule="exact"/>
        <w:rPr>
          <w:rFonts w:ascii="Courier New" w:cs="Courier New" w:eastAsia="Courier New" w:hAnsi="Courier New"/>
          <w:sz w:val="16"/>
          <w:szCs w:val="16"/>
          <w:color w:val="auto"/>
        </w:rPr>
      </w:pPr>
    </w:p>
    <w:p>
      <w:pPr>
        <w:ind w:left="-280" w:right="2539" w:firstLine="863"/>
        <w:spacing w:after="0" w:line="261" w:lineRule="auto"/>
        <w:tabs>
          <w:tab w:leader="none" w:pos="1161"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consent, approval, order or authorization of, or registration, declaration or filing with, any Governmental Entity is required by or with respect to Chase or any Subsidiary of Chase in connection with the execution and delivery of this Agreement and the Stock Option Agreements by Chase or the consummation by Chase of the transactions contemplated hereby and thereby, the failure to make or obtain which would have a material adverse effect on Chase, except for (A) the filing of applications and notices with the Federal Reserve under the BHC Act and the FRA and approval of same, (B) the filing with the SEC of the Joint Proxy Statement/Prospectus, the Form S-4 and such reports under Sections 12, 13(a), 13(d), 13(g) and 16(a) of the Exchange Act as may be required in connection with this Agreement, the Stock Option Agreements and the transactions contemplated hereby and thereby and the obtaining from the SEC of such orders as may be required in connection therewith, (C) such filings and approvals as are required to be made or obtained under the securities or blue sky laws of various states in connection with the transactions contemplated by this Agreement, (D) the filing of the Certificate of Merger and the Certificates of Designations for the Chase Merger Preferred Stock with the Secretary of State of the State of Delaware, (E) the State Banking Approvals, (F) consents, authorizations, approvals, filings or exemptions in connection with compliance with the applicable provisions of federal or state securities laws relating to the regulation of broker-dealers, investment companies and investment advisors and federal commodities laws relating to the regulation of futures commission merchants and the rules and regulations of the SEC and the CFTC thereunder and of any applicable industry self-regulatory organization, and the rules of the NYSE, or which are required under consumer finance, mortgage banking and other similar laws of the various states in which Morgan or any of its Subsidiaries is licensed or regulated, (G) notices or filings under the HSR Act, (H) the EU Clearance, (I) such other filings, authorizations, orders and approvals as may be required under foreign banking and similar laws with respect to bank Subsidiaries of Morgan that are chartered or licensed under the laws of foreign jurisdictions, and (J) such filings, notifications and approvals as are required under the SBIA and the rules and regulations of the SBA thereunder.</w:t>
      </w:r>
    </w:p>
    <w:p>
      <w:pPr>
        <w:spacing w:after="0" w:line="369" w:lineRule="exact"/>
        <w:rPr>
          <w:sz w:val="20"/>
          <w:szCs w:val="20"/>
          <w:color w:val="auto"/>
        </w:rPr>
      </w:pPr>
    </w:p>
    <w:p>
      <w:pPr>
        <w:ind w:left="-280" w:right="2719" w:firstLine="863"/>
        <w:spacing w:after="0" w:line="244" w:lineRule="auto"/>
        <w:tabs>
          <w:tab w:leader="none" w:pos="969"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 Documents; Undisclosed Liabilities. (i) Chase has filed all required reports, schedules, registration statements and other documents with the SEC since December 31, 1997 (the "Chase SEC Documents"). As of their respective dates of filing with the SEC (or, if amended or superseded by a filing prior to the date hereof, as of the date of such filing), the Chase SEC Documents complied in all material respects with the requirements of the Securities Act or the Exchange Act, as the case may be, and the rules and regulations of the SEC</w:t>
      </w:r>
    </w:p>
    <w:p>
      <w:pPr>
        <w:sectPr>
          <w:pgSz w:w="11900" w:h="16838" w:orient="portrait"/>
          <w:cols w:equalWidth="0" w:num="1">
            <w:col w:w="9939"/>
          </w:cols>
          <w:pgMar w:left="520" w:top="300" w:right="1440" w:bottom="1440" w:gutter="0" w:footer="0" w:header="0"/>
        </w:sectPr>
      </w:pPr>
    </w:p>
    <w:bookmarkStart w:id="33" w:name="page34"/>
    <w:bookmarkEnd w:id="33"/>
    <w:p>
      <w:pPr>
        <w:ind w:left="280"/>
        <w:spacing w:after="0"/>
        <w:rPr>
          <w:sz w:val="20"/>
          <w:szCs w:val="20"/>
          <w:color w:val="auto"/>
        </w:rPr>
      </w:pPr>
      <w:r>
        <w:rPr>
          <w:rFonts w:ascii="Courier New" w:cs="Courier New" w:eastAsia="Courier New" w:hAnsi="Courier New"/>
          <w:sz w:val="16"/>
          <w:szCs w:val="16"/>
          <w:color w:val="auto"/>
        </w:rPr>
        <w:t>29</w:t>
      </w:r>
    </w:p>
    <w:p>
      <w:pPr>
        <w:spacing w:after="0" w:line="5" w:lineRule="exact"/>
        <w:rPr>
          <w:sz w:val="20"/>
          <w:szCs w:val="20"/>
          <w:color w:val="auto"/>
        </w:rPr>
      </w:pPr>
    </w:p>
    <w:p>
      <w:pPr>
        <w:ind w:right="2539"/>
        <w:spacing w:after="0" w:line="261" w:lineRule="auto"/>
        <w:rPr>
          <w:sz w:val="20"/>
          <w:szCs w:val="20"/>
          <w:color w:val="auto"/>
        </w:rPr>
      </w:pPr>
      <w:r>
        <w:rPr>
          <w:rFonts w:ascii="Courier New" w:cs="Courier New" w:eastAsia="Courier New" w:hAnsi="Courier New"/>
          <w:sz w:val="15"/>
          <w:szCs w:val="15"/>
          <w:color w:val="auto"/>
        </w:rPr>
        <w:t>thereunder applicable to such Chase SEC Documents, and none of the Chase SEC Documents when filed contained any untrue statement of a material fact or omitted to state a material fact required to be stated therein or necessary to make the statements therein, in light of the circumstances under which they were made, not misleading. The financial statements of Chase included in the Chase SEC Documents complied as to form, as of their respective dates of filing with the SEC, in all material respects with all applicable accounting requirements and with the published rules and regulations of the SEC with respect thereto (except, in the case of the unaudited statements, as permitted by Form 10-Q of the SEC), have been prepared in accordance with generally accepted accounting principles applied on a consistent basis during the periods involved (except as may be disclosed therein) and fairly present in all material respects the consolidated financial position of Chase and its consolidated Subsidiaries and the consolidated results of operations, changes in stockholders' equity and cash flows of such companies as of the dates and for the periods shown.</w:t>
      </w:r>
    </w:p>
    <w:p>
      <w:pPr>
        <w:spacing w:after="0" w:line="185" w:lineRule="exact"/>
        <w:rPr>
          <w:sz w:val="20"/>
          <w:szCs w:val="20"/>
          <w:color w:val="auto"/>
        </w:rPr>
      </w:pPr>
    </w:p>
    <w:p>
      <w:pPr>
        <w:ind w:right="2539" w:firstLine="863"/>
        <w:spacing w:after="0" w:line="244" w:lineRule="auto"/>
        <w:tabs>
          <w:tab w:leader="none" w:pos="1345"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for (A) those liabilities that are fully reflected or reserved for in the consolidated financial statements of Chase included in its Quarterly Report on Form 10-Q for the fiscal quarter ended June 30, 2000, as filed with the SEC, (B) liabilities incurred since June 30, 2000 in the ordinary course of business consistent with past practice, and (C) liabilities which would not, individually or in the aggregate, reasonably be expected to have a material adverse effect on Chase, Chase and its Subsidiaries do not have, and since June 30, 2000 Chase and its Subsidiaries have not incurred (except as permitted by Section 4.2), any liabilities or obligations of any nature whatsoever (whether accrued, absolute, contingent or otherwise and whether or not required to be reflected in Chase's financial statements in accordance with generally accepted accounting principles).</w:t>
      </w:r>
    </w:p>
    <w:p>
      <w:pPr>
        <w:spacing w:after="0" w:line="191" w:lineRule="exact"/>
        <w:rPr>
          <w:sz w:val="20"/>
          <w:szCs w:val="20"/>
          <w:color w:val="auto"/>
        </w:rPr>
      </w:pPr>
    </w:p>
    <w:p>
      <w:pPr>
        <w:ind w:right="2639" w:firstLine="863"/>
        <w:spacing w:after="0" w:line="261" w:lineRule="auto"/>
        <w:tabs>
          <w:tab w:leader="none" w:pos="1249"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Information Supplied. None of the information supplied or to be supplied by Chase for inclusion or incorporation by reference in (i) the Form S-4 will, at the time the Form S-4 is filed with the SEC and at the time it becomes effective under the Securities Act, contain any untrue statement of a material fact or omit to state any material fact required to be stated therein or necessary to make the statements therein not misleading and (ii) the Joint Proxy Statement/Prospectus will, at the date of mailing to stockholders and at the times of the meetings of stockholders to be held in connection with the Merger, contain any untrue statement of a material fact or omit to state any material fact required to be stated therein or necessary in order to make the statements therein, in light of the circumstances under which they were made, not misleading. The Joint Proxy Statement/Prospectus will comply as to form in all material respects with the requirements of the Exchange Act and the rules and regulations of the SEC thereunder, and the Form S-4 will comply as to form in all material respects with the requirements of the Securities Act and the rules and regulations of the SEC thereunder, except that no representation or warranty is made by Chase with respect to statements made or incorporated by reference therein based on information supplied by Morgan for inclusion or incorporation by reference in the Joint Proxy Statement/Prospectus or Form S-4.</w:t>
      </w:r>
    </w:p>
    <w:p>
      <w:pPr>
        <w:spacing w:after="0" w:line="184" w:lineRule="exact"/>
        <w:rPr>
          <w:rFonts w:ascii="Courier New" w:cs="Courier New" w:eastAsia="Courier New" w:hAnsi="Courier New"/>
          <w:sz w:val="15"/>
          <w:szCs w:val="15"/>
          <w:color w:val="auto"/>
        </w:rPr>
      </w:pPr>
    </w:p>
    <w:p>
      <w:pPr>
        <w:ind w:right="2719" w:firstLine="863"/>
        <w:spacing w:after="0" w:line="244" w:lineRule="auto"/>
        <w:tabs>
          <w:tab w:leader="none" w:pos="1249"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Compliance with Applicable Laws. Chase and its Subsidiaries hold all permits, licenses, variances, exemptions, orders and approvals of all Governmental Entities which are material to the operation of the businesses of Chase and its Subsidiaries, taken as a whole (the "Chase Permits"), and Chase and its Subsidiaries are in compliance with the terms of the Chase Permits and all applicable laws and regulations, except where the failure so to hold or</w:t>
      </w:r>
    </w:p>
    <w:p>
      <w:pPr>
        <w:sectPr>
          <w:pgSz w:w="11900" w:h="16838" w:orient="portrait"/>
          <w:cols w:equalWidth="0" w:num="1">
            <w:col w:w="10219"/>
          </w:cols>
          <w:pgMar w:left="240" w:top="300" w:right="1440" w:bottom="1440" w:gutter="0" w:footer="0" w:header="0"/>
        </w:sectPr>
      </w:pPr>
    </w:p>
    <w:bookmarkStart w:id="34" w:name="page35"/>
    <w:bookmarkEnd w:id="34"/>
    <w:p>
      <w:pPr>
        <w:ind w:left="281"/>
        <w:spacing w:after="0"/>
        <w:rPr>
          <w:sz w:val="20"/>
          <w:szCs w:val="20"/>
          <w:color w:val="auto"/>
        </w:rPr>
      </w:pPr>
      <w:r>
        <w:rPr>
          <w:rFonts w:ascii="Courier New" w:cs="Courier New" w:eastAsia="Courier New" w:hAnsi="Courier New"/>
          <w:sz w:val="16"/>
          <w:szCs w:val="16"/>
          <w:color w:val="auto"/>
        </w:rPr>
        <w:t>30</w:t>
      </w:r>
    </w:p>
    <w:p>
      <w:pPr>
        <w:spacing w:after="0" w:line="5" w:lineRule="exact"/>
        <w:rPr>
          <w:sz w:val="20"/>
          <w:szCs w:val="20"/>
          <w:color w:val="auto"/>
        </w:rPr>
      </w:pPr>
    </w:p>
    <w:p>
      <w:pPr>
        <w:ind w:left="1" w:right="2539"/>
        <w:spacing w:after="0" w:line="244" w:lineRule="auto"/>
        <w:rPr>
          <w:sz w:val="20"/>
          <w:szCs w:val="20"/>
          <w:color w:val="auto"/>
        </w:rPr>
      </w:pPr>
      <w:r>
        <w:rPr>
          <w:rFonts w:ascii="Courier New" w:cs="Courier New" w:eastAsia="Courier New" w:hAnsi="Courier New"/>
          <w:sz w:val="16"/>
          <w:szCs w:val="16"/>
          <w:color w:val="auto"/>
        </w:rPr>
        <w:t>comply, individually or in the aggregate, would not reasonably be expected to have a material adverse effect on Chase. Except as disclosed in the Chase SEC Documents filed prior to the date hereof or as set forth in the Chase Disclosure Schedule, the businesses of Chase and its Subsidiaries are not being conducted in violation of any law, ordinance or regulation of any Governmental Entity, except for possible violations which, individually or in the aggregate, do not have, and would not reasonably be expected to have, a material adverse effect on Chase. To the knowledge of Chase, no investigation by any Governmental Entity with respect to Chase or any of its Subsidiaries is pending or threatened, other than, in each case, those the outcome of which, individually or in the aggregate, would not reasonably be expected to have a material adverse effect on Chase.</w:t>
      </w:r>
    </w:p>
    <w:p>
      <w:pPr>
        <w:spacing w:after="0" w:line="191" w:lineRule="exact"/>
        <w:rPr>
          <w:sz w:val="20"/>
          <w:szCs w:val="20"/>
          <w:color w:val="auto"/>
        </w:rPr>
      </w:pPr>
    </w:p>
    <w:p>
      <w:pPr>
        <w:ind w:left="1" w:right="2539" w:firstLine="863"/>
        <w:spacing w:after="0" w:line="244" w:lineRule="auto"/>
        <w:tabs>
          <w:tab w:leader="none" w:pos="1250" w:val="left"/>
        </w:tabs>
        <w:numPr>
          <w:ilvl w:val="1"/>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Legal Proceedings. Except as disclosed in the Chase SEC Documents filed prior to the date of this Agreement or as set forth in the Chase Disclosure Schedule, there is no suit, action, investigation or proceeding (whether judicial, arbitral, administrative or other) pending or, to the knowledge of Chase, threatened, against or affecting Chase or any Subsidiary of Chase as to which there is a significant possibility of an adverse outcome which would, individually or in the aggregate, have a material adverse effect on Chase, nor is there any judgment, decree, injunction, rule or order of any Governmental Entity or arbitrator outstanding against Chase or any Subsidiary of Chase having, individually or in the aggregate, a material adverse effect on Chase or on the Surviving Corporation.</w:t>
      </w:r>
    </w:p>
    <w:p>
      <w:pPr>
        <w:spacing w:after="0" w:line="190" w:lineRule="exact"/>
        <w:rPr>
          <w:rFonts w:ascii="Courier New" w:cs="Courier New" w:eastAsia="Courier New" w:hAnsi="Courier New"/>
          <w:sz w:val="16"/>
          <w:szCs w:val="16"/>
          <w:color w:val="auto"/>
        </w:rPr>
      </w:pPr>
    </w:p>
    <w:p>
      <w:pPr>
        <w:ind w:left="1" w:right="2539" w:firstLine="863"/>
        <w:spacing w:after="0" w:line="244" w:lineRule="auto"/>
        <w:tabs>
          <w:tab w:leader="none" w:pos="1250" w:val="left"/>
        </w:tabs>
        <w:numPr>
          <w:ilvl w:val="1"/>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Taxes. Chase and each of its Subsidiaries have filed all tax returns required to be filed by any of them and have paid (or Chase has paid on their behalf), or have set up an adequate reserve for the payment of, all taxes required to be paid as shown on such returns, and the most recent financial statements contained in the Chase SEC Documents reflect an adequate reserve for all taxes payable by Chase and its Subsidiaries accrued through the date of such financial statements. No material deficiencies for any taxes have been proposed, asserted or assessed against Chase or any of its Subsidiaries that are not adequately reserved for. Neither Chase nor any of its Subsidiaries has taken any action or knows of any fact, agreement or plan or other circumstance that is reasonably likely to prevent the Merger from qualifying as a reorganization within the meaning of Section 368(a) of the Code.</w:t>
      </w:r>
    </w:p>
    <w:p>
      <w:pPr>
        <w:spacing w:after="0" w:line="190" w:lineRule="exact"/>
        <w:rPr>
          <w:rFonts w:ascii="Courier New" w:cs="Courier New" w:eastAsia="Courier New" w:hAnsi="Courier New"/>
          <w:sz w:val="16"/>
          <w:szCs w:val="16"/>
          <w:color w:val="auto"/>
        </w:rPr>
      </w:pPr>
    </w:p>
    <w:p>
      <w:pPr>
        <w:ind w:left="1" w:right="2639" w:firstLine="863"/>
        <w:spacing w:after="0" w:line="260" w:lineRule="auto"/>
        <w:tabs>
          <w:tab w:leader="none" w:pos="1250" w:val="left"/>
        </w:tabs>
        <w:numPr>
          <w:ilvl w:val="1"/>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Agreements. Except as disclosed in or filed as exhibits to the Chase SEC Documents filed prior to the date of this Agreement or as disclosed in the Chase Disclosure Schedule and except for this Agreement and the Stock Option Agreements, neither Chase nor any of its Subsidiaries is a party to or bound by any contract, arrangement, commitment or understanding (i) with respect to the employment of any directors, executive officers or key employees, or with any consultants that are natural persons, involving the payment of $10,000,000 or more per annum, (ii) which is a "material contract" (as such term is defined in Item 601(b)(10) of Regulation S-K of the SEC) that has not been filed as an exhibit to or incorporated by reference in the Chase SEC Reports, (iii) which limits in any material way the ability of Chase or any of its Subsidiaries to compete in any line of business, in any geographic area or with any person, or which requires referrals of any material business or requires Chase or any of its affiliates to make available material investment opportunities to any person on a priority, equal or exclusive basis, (iv) with or to a labor union or guild (including any collective bargaining agreement),</w:t>
      </w:r>
    </w:p>
    <w:p>
      <w:pPr>
        <w:spacing w:after="0" w:line="11" w:lineRule="exact"/>
        <w:rPr>
          <w:rFonts w:ascii="Courier New" w:cs="Courier New" w:eastAsia="Courier New" w:hAnsi="Courier New"/>
          <w:sz w:val="15"/>
          <w:szCs w:val="15"/>
          <w:color w:val="auto"/>
        </w:rPr>
      </w:pPr>
    </w:p>
    <w:p>
      <w:pPr>
        <w:ind w:left="1" w:right="2539" w:hanging="1"/>
        <w:spacing w:after="0" w:line="243" w:lineRule="auto"/>
        <w:tabs>
          <w:tab w:leader="none" w:pos="386"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case of a Chase Benefit Plan (as defined in Section 3.2(j)), any of the benefits of which will be increased, or the vesting of the benefits of which will be accelerated, by the occurrence of any of the transactions contemplated by this Agreement or the</w:t>
      </w:r>
    </w:p>
    <w:p>
      <w:pPr>
        <w:sectPr>
          <w:pgSz w:w="11900" w:h="16838" w:orient="portrait"/>
          <w:cols w:equalWidth="0" w:num="1">
            <w:col w:w="10221"/>
          </w:cols>
          <w:pgMar w:left="239" w:top="300" w:right="1440" w:bottom="1440" w:gutter="0" w:footer="0" w:header="0"/>
        </w:sectPr>
      </w:pPr>
    </w:p>
    <w:bookmarkStart w:id="35" w:name="page36"/>
    <w:bookmarkEnd w:id="35"/>
    <w:p>
      <w:pPr>
        <w:ind w:left="280"/>
        <w:spacing w:after="0"/>
        <w:rPr>
          <w:sz w:val="20"/>
          <w:szCs w:val="20"/>
          <w:color w:val="auto"/>
        </w:rPr>
      </w:pPr>
      <w:r>
        <w:rPr>
          <w:rFonts w:ascii="Courier New" w:cs="Courier New" w:eastAsia="Courier New" w:hAnsi="Courier New"/>
          <w:sz w:val="16"/>
          <w:szCs w:val="16"/>
          <w:color w:val="auto"/>
        </w:rPr>
        <w:t>31</w:t>
      </w:r>
    </w:p>
    <w:p>
      <w:pPr>
        <w:spacing w:after="0" w:line="5"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Stock Option Agreements, or the value of any of the benefits of which will be calculated on the basis of any of the transactions contemplated by this Agreement or the Stock Option Agreements, or (vi) which would prohibit or delay the consummation of any of the transactions contemplated by this Agreement or the Stock Option Agreements. Chase has previously made available to Morgan complete and accurate copies of each contract, arrangement, commitment or understanding of the type described in this Section 3.2(i) (collectively referred to herein as "Chase Contracts"). All of the Chase Contracts are valid and in full force and effect, except to the extent they have previously expired in accordance with their terms or if the failure to be in full force and effect, individually or in the aggregate, would not reasonably be expected to have a material adverse effect on Chase. Neither Chase nor any of its Subsidiaries has, and to the best knowledge of Chase, none of the other parties thereto have, violated any provision of, or committed or failed to perform any act which, with or without notice, lapse of time or both would constitute a default under the provisions of, any Chase Contract, except in each case for those violations and defaults which, individually or in the aggregate, would not reasonably be expected to result in a material adverse effect on Chase.</w:t>
      </w:r>
    </w:p>
    <w:p>
      <w:pPr>
        <w:spacing w:after="0" w:line="194" w:lineRule="exact"/>
        <w:rPr>
          <w:sz w:val="20"/>
          <w:szCs w:val="20"/>
          <w:color w:val="auto"/>
        </w:rPr>
      </w:pPr>
    </w:p>
    <w:p>
      <w:pPr>
        <w:ind w:right="2539" w:firstLine="863"/>
        <w:spacing w:after="0" w:line="244" w:lineRule="auto"/>
        <w:tabs>
          <w:tab w:leader="none" w:pos="1249"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Benefit Plans. (i) With respect to each Benefit Plan maintained or contributed to by Chase or Chase Bank or any of their Subsidiaries or under which Chase, Chase Bank or any of their Subsidiaries have any present or future liability (the "Chase Benefit Plans"), Chase has made available, or within 30 days after the execution hereof will make available, to Morgan a true and correct copy of (A) the most recent annual report (Form 5500) filed with the IRS, (B) such Chase Benefit Plan, (C) each trust agreement relating to such Chase Benefit Plan, (D) the most recent summary plan description for each Chase Benefit Plan for which a summary plan description is required, (E) the most recent actuarial report or valuation relating to a Chase Benefit Plan subject to Title IV of ERISA and (F) the most recent determination letter issued by the IRS with respect to any Chase Benefit Plan qualified under Section 401(a) of the Code.</w:t>
      </w:r>
    </w:p>
    <w:p>
      <w:pPr>
        <w:spacing w:after="0" w:line="191" w:lineRule="exact"/>
        <w:rPr>
          <w:sz w:val="20"/>
          <w:szCs w:val="20"/>
          <w:color w:val="auto"/>
        </w:rPr>
      </w:pPr>
    </w:p>
    <w:p>
      <w:pPr>
        <w:ind w:right="2539" w:firstLine="863"/>
        <w:spacing w:after="0" w:line="244" w:lineRule="auto"/>
        <w:tabs>
          <w:tab w:leader="none" w:pos="1345"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 respect to the Chase Benefit Plans, individually and in the aggregate, no event has occurred and, to the knowledge of Chase, there exists no condition or set of circumstances in connection with which Chase or any of its Subsidiaries could be subject to any liability that would reasonably be expected to have a material adverse effect upon Chase under ERISA, the Code or any other applicable law.</w:t>
      </w:r>
    </w:p>
    <w:p>
      <w:pPr>
        <w:spacing w:after="0" w:line="187" w:lineRule="exact"/>
        <w:rPr>
          <w:rFonts w:ascii="Courier New" w:cs="Courier New" w:eastAsia="Courier New" w:hAnsi="Courier New"/>
          <w:sz w:val="16"/>
          <w:szCs w:val="16"/>
          <w:color w:val="auto"/>
        </w:rPr>
      </w:pPr>
    </w:p>
    <w:p>
      <w:pPr>
        <w:jc w:val="both"/>
        <w:ind w:right="2539" w:firstLine="863"/>
        <w:spacing w:after="0" w:line="243" w:lineRule="auto"/>
        <w:tabs>
          <w:tab w:leader="none" w:pos="1441"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True and complete copies of the Chase Stock Plans as in effect on the date hereof have been, or within 30 days after the execution hereof will be, provided or made available to Morgan.</w:t>
      </w:r>
    </w:p>
    <w:p>
      <w:pPr>
        <w:spacing w:after="0" w:line="188" w:lineRule="exact"/>
        <w:rPr>
          <w:rFonts w:ascii="Courier New" w:cs="Courier New" w:eastAsia="Courier New" w:hAnsi="Courier New"/>
          <w:sz w:val="16"/>
          <w:szCs w:val="16"/>
          <w:color w:val="auto"/>
        </w:rPr>
      </w:pPr>
    </w:p>
    <w:p>
      <w:pPr>
        <w:ind w:right="2639" w:firstLine="863"/>
        <w:spacing w:after="0" w:line="263" w:lineRule="auto"/>
        <w:tabs>
          <w:tab w:leader="none" w:pos="1345"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set forth in the Chase Disclosure Schedule, no Chase Benefit Plan or Chase Stock Plan exists that could result in the payment to any present or former employee of Chase or any Subsidiary of Chase of any money or other property or accelerate or provide any other rights or benefits to any present or former employee of Chase or any Subsidiary of Chase as a result of the transactions contemplated by this Agreement, whether or not such payment would constitute a parachute payment within the meaning of Code Section 280G.</w:t>
      </w:r>
    </w:p>
    <w:p>
      <w:pPr>
        <w:spacing w:after="0" w:line="175" w:lineRule="exact"/>
        <w:rPr>
          <w:sz w:val="20"/>
          <w:szCs w:val="20"/>
          <w:color w:val="auto"/>
        </w:rPr>
      </w:pPr>
    </w:p>
    <w:p>
      <w:pPr>
        <w:ind w:right="2539" w:firstLine="863"/>
        <w:spacing w:after="0" w:line="243" w:lineRule="auto"/>
        <w:tabs>
          <w:tab w:leader="none" w:pos="1249"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Subsidiaries. Exhibit 21.1 to Chase's Annual Report on Form 10-K for the fiscal year ended December 31, 1999 includes all the Subsidiaries of Chase which are Significant Subsidiaries. Each of Chase's Subsidiaries that is a bank (as defined in the BHC Act) is an</w:t>
      </w:r>
    </w:p>
    <w:p>
      <w:pPr>
        <w:sectPr>
          <w:pgSz w:w="11900" w:h="16838" w:orient="portrait"/>
          <w:cols w:equalWidth="0" w:num="1">
            <w:col w:w="10219"/>
          </w:cols>
          <w:pgMar w:left="240" w:top="300" w:right="1440" w:bottom="1440" w:gutter="0" w:footer="0" w:header="0"/>
        </w:sectPr>
      </w:pPr>
    </w:p>
    <w:bookmarkStart w:id="36" w:name="page37"/>
    <w:bookmarkEnd w:id="36"/>
    <w:p>
      <w:pPr>
        <w:ind w:left="280"/>
        <w:spacing w:after="0"/>
        <w:rPr>
          <w:sz w:val="20"/>
          <w:szCs w:val="20"/>
          <w:color w:val="auto"/>
        </w:rPr>
      </w:pPr>
      <w:r>
        <w:rPr>
          <w:rFonts w:ascii="Courier New" w:cs="Courier New" w:eastAsia="Courier New" w:hAnsi="Courier New"/>
          <w:sz w:val="16"/>
          <w:szCs w:val="16"/>
          <w:color w:val="auto"/>
        </w:rPr>
        <w:t>32</w:t>
      </w:r>
    </w:p>
    <w:p>
      <w:pPr>
        <w:spacing w:after="0" w:line="5"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"insured bank" as defined in the FDIA and applicable regulations thereunder. All of the shares of capital stock of each of the Subsidiaries held by Chase or by another Subsidiary of Chase are fully paid and, except as provided in Sections 5004(8) and 114 of the New York Banking Law and 12 U.S.C. Section 55, nonassessable and are owned by Chase or a Subsidiary of Chase free and clear of any claim, lien or encumbrance.</w:t>
      </w:r>
    </w:p>
    <w:p>
      <w:pPr>
        <w:spacing w:after="0" w:line="188" w:lineRule="exact"/>
        <w:rPr>
          <w:sz w:val="20"/>
          <w:szCs w:val="20"/>
          <w:color w:val="auto"/>
        </w:rPr>
      </w:pPr>
    </w:p>
    <w:p>
      <w:pPr>
        <w:ind w:right="2539" w:firstLine="863"/>
        <w:spacing w:after="0" w:line="244" w:lineRule="auto"/>
        <w:tabs>
          <w:tab w:leader="none" w:pos="1249"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Agreements with Regulators. Except in connection with matters disclosed in the Chase SEC Reports filed prior to the date hereof, neither Chase nor any Subsidiary of Chase is a party to any written agreement or memorandum of understanding with, or a party to any commitment letter or similar undertaking to, or is subject to any order or directive by, or is a recipient of any extraordinary supervisory letter from, or has adopted any board resolutions at the request of, any Governmental Entity which restricts materially the conduct of its business, or in any manner relates to its capital adequacy, its credit policies or its management, nor has Chase been advised by any Governmental Entity that it is contemplating issuing or requesting (or is considering the appropriateness of issuing or requesting) any such order, decree, agreement, memorandum of understanding, extraordinary supervisory letter, commitment letter or similar submission, or any such board resolutions.</w:t>
      </w:r>
    </w:p>
    <w:p>
      <w:pPr>
        <w:spacing w:after="0" w:line="191" w:lineRule="exact"/>
        <w:rPr>
          <w:rFonts w:ascii="Courier New" w:cs="Courier New" w:eastAsia="Courier New" w:hAnsi="Courier New"/>
          <w:sz w:val="16"/>
          <w:szCs w:val="16"/>
          <w:color w:val="auto"/>
        </w:rPr>
      </w:pPr>
    </w:p>
    <w:p>
      <w:pPr>
        <w:ind w:right="2719" w:firstLine="863"/>
        <w:spacing w:after="0" w:line="244" w:lineRule="auto"/>
        <w:tabs>
          <w:tab w:leader="none" w:pos="1249"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Absence of Certain Changes or Events. Except as disclosed in the Chase SEC Documents filed prior to the date of this Agreement (or, in the case of actions taken after the date hereof, except as permitted by Section 4.2), since June 30, 2000 (i) Chase and its Subsidiaries have conducted their respective businesses in the ordinary course consistent with their past practices and (ii) there has not been any change, circumstance or event (including any event involving a prospective change) which has had, or would reasonably be expected to have, a material adverse effect on Chase.</w:t>
      </w:r>
    </w:p>
    <w:p>
      <w:pPr>
        <w:spacing w:after="0" w:line="188" w:lineRule="exact"/>
        <w:rPr>
          <w:rFonts w:ascii="Courier New" w:cs="Courier New" w:eastAsia="Courier New" w:hAnsi="Courier New"/>
          <w:sz w:val="16"/>
          <w:szCs w:val="16"/>
          <w:color w:val="auto"/>
        </w:rPr>
      </w:pPr>
    </w:p>
    <w:p>
      <w:pPr>
        <w:ind w:right="2539" w:firstLine="863"/>
        <w:spacing w:after="0" w:line="262" w:lineRule="auto"/>
        <w:tabs>
          <w:tab w:leader="none" w:pos="1249"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Board Approval. The Board of Directors of Chase, by resolutions duly adopted by unanimous vote of those voting at a meeting duly called and held (the "Chase Board Approval"), has (i) determined that this Agreement, the Stock Option Agreements and the Merger are fair to and in the best interests of Chase and its stockholders and declared the Merger to be advisable, (ii) approved this Agreement, the Stock Option Agreements and the Merger, and (iii) recommended that the stockholders of Chase adopt this Agreement and directed that such matter be submitted for consideration by Chase stockholders at the Chase Stockholders Meeting (as defined in Section 5.1(c)). The Chase Board Approval constitutes approval of this Agreement, the Chase Stock Option Agreement and the Merger for purposes of Section 203 of the DGCL. To the knowledge of Chase, except for Section 203 of the DGCL (which has been rendered inapplicable), no state takeover statute is applicable to this Agreement, the Stock Option Agreements, the Merger or the other transactions contemplated hereby or thereby.</w:t>
      </w:r>
    </w:p>
    <w:p>
      <w:pPr>
        <w:spacing w:after="0" w:line="174" w:lineRule="exact"/>
        <w:rPr>
          <w:rFonts w:ascii="Courier New" w:cs="Courier New" w:eastAsia="Courier New" w:hAnsi="Courier New"/>
          <w:sz w:val="15"/>
          <w:szCs w:val="15"/>
          <w:color w:val="auto"/>
        </w:rPr>
      </w:pPr>
    </w:p>
    <w:p>
      <w:pPr>
        <w:ind w:right="2539" w:firstLine="863"/>
        <w:spacing w:after="0" w:line="244" w:lineRule="auto"/>
        <w:tabs>
          <w:tab w:leader="none" w:pos="1249"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Vote Required. The affirmative vote of the holders of a majority of the outstanding shares of Chase Common Stock to adopt this Agreement (the "Required Chase Vote") is the only vote of the holders of any class or series of Chase capital stock necessary to approve and adopt this Agreement and the transactions contemplated hereby (including the Merger).</w:t>
      </w:r>
    </w:p>
    <w:p>
      <w:pPr>
        <w:spacing w:after="0" w:line="187" w:lineRule="exact"/>
        <w:rPr>
          <w:rFonts w:ascii="Courier New" w:cs="Courier New" w:eastAsia="Courier New" w:hAnsi="Courier New"/>
          <w:sz w:val="16"/>
          <w:szCs w:val="16"/>
          <w:color w:val="auto"/>
        </w:rPr>
      </w:pPr>
    </w:p>
    <w:p>
      <w:pPr>
        <w:ind w:right="2539" w:firstLine="863"/>
        <w:spacing w:after="0" w:line="244" w:lineRule="auto"/>
        <w:tabs>
          <w:tab w:leader="none" w:pos="1249"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Accounting Matters. Except for the matters disclosed in the Chase Disclosure Schedule, neither Chase nor, to its best knowledge, any of its affiliates, has taken or agreed to take any action that would prevent Chase from accounting for the business combination to be effected by the Merger as a "pooling of interests".</w:t>
      </w:r>
    </w:p>
    <w:p>
      <w:pPr>
        <w:sectPr>
          <w:pgSz w:w="11900" w:h="16838" w:orient="portrait"/>
          <w:cols w:equalWidth="0" w:num="1">
            <w:col w:w="10219"/>
          </w:cols>
          <w:pgMar w:left="240" w:top="300" w:right="1440" w:bottom="1440" w:gutter="0" w:footer="0" w:header="0"/>
        </w:sectPr>
      </w:pPr>
    </w:p>
    <w:bookmarkStart w:id="37" w:name="page38"/>
    <w:bookmarkEnd w:id="37"/>
    <w:p>
      <w:pPr>
        <w:ind w:left="280"/>
        <w:spacing w:after="0"/>
        <w:rPr>
          <w:sz w:val="20"/>
          <w:szCs w:val="20"/>
          <w:color w:val="auto"/>
        </w:rPr>
      </w:pPr>
      <w:r>
        <w:rPr>
          <w:rFonts w:ascii="Courier New" w:cs="Courier New" w:eastAsia="Courier New" w:hAnsi="Courier New"/>
          <w:sz w:val="16"/>
          <w:szCs w:val="16"/>
          <w:color w:val="auto"/>
        </w:rPr>
        <w:t>33</w:t>
      </w:r>
    </w:p>
    <w:p>
      <w:pPr>
        <w:spacing w:after="0" w:line="5" w:lineRule="exact"/>
        <w:rPr>
          <w:sz w:val="20"/>
          <w:szCs w:val="20"/>
          <w:color w:val="auto"/>
        </w:rPr>
      </w:pPr>
    </w:p>
    <w:p>
      <w:pPr>
        <w:ind w:right="2539" w:firstLine="863"/>
        <w:spacing w:after="0" w:line="244" w:lineRule="auto"/>
        <w:tabs>
          <w:tab w:leader="none" w:pos="1249"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Properties. Except as disclosed in the Chase SEC Documents filed prior to the date of this Agreement, Chase or one of its Subsidiaries (i) has good and marketable title to all the properties and assets reflected in the latest audited balance sheet included in such Chase SEC Documents as being owned by Chase or one of its Subsidiaries or acquired after the date thereof which are material to Chase's business on a consolidated basis (except properties sold or otherwise disposed of since the date thereof in the ordinary course of business), free and clear of all claims, liens, charges, security interests or encumbrances of any nature whatsoever, except (A) statutory liens securing payments not yet due, (B) liens on assets of Subsidiaries of Chase which are banks incurred in the ordinary course of their banking business and (C) such imperfections or irregularities of title, claims, liens, charges, security interests or encumbrances as do not materially affect the use of the properties or assets subject thereto or affected thereby or otherwise materially impair business operations at such properties, and (ii) is the lessee of all leasehold estates reflected in the latest audited financial statements included in such Chase SEC Documents or acquired after the date thereof which are material to its business on a consolidated basis (except for leases that have expired by their terms since the date thereof) and is in possession of the properties purported to be leased thereunder and each such lease is valid without default thereunder by the lessee or, to Chase's knowledge, the lessor, except in the case of clauses (i) and (ii) above as would not reasonably be expected to have a material adverse effect on Chase.</w:t>
      </w:r>
    </w:p>
    <w:p>
      <w:pPr>
        <w:spacing w:after="0" w:line="196" w:lineRule="exact"/>
        <w:rPr>
          <w:rFonts w:ascii="Courier New" w:cs="Courier New" w:eastAsia="Courier New" w:hAnsi="Courier New"/>
          <w:sz w:val="16"/>
          <w:szCs w:val="16"/>
          <w:color w:val="auto"/>
        </w:rPr>
      </w:pPr>
    </w:p>
    <w:p>
      <w:pPr>
        <w:ind w:right="2539" w:firstLine="863"/>
        <w:spacing w:after="0" w:line="244" w:lineRule="auto"/>
        <w:tabs>
          <w:tab w:leader="none" w:pos="1249"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Interest Rate Risk Management Instruments. Any interest rate swaps, caps, floors and option agreements and other interest rate risk management arrangements, whether entered into for the account of Chase or one of its Subsidiaries or entered into by Chase or one of its Subsidiaries for the account of a customer of Chase or one of its Subsidiaries, were entered into in the ordinary course of business and in accordance with prudent business practice and applicable rules, regulations and policies of any Governmental Entity and with counterparties reasonably believed by Chase to be financially responsible at the time, and are legal, valid and binding obligations of Chase or one of its Subsidiaries and, to the best knowledge of Chase, of the other parties thereto, enforceable in accordance with their terms (except as may be limited by bankruptcy, insolvency, moratorium, reorganization or similar laws affecting the rights of creditors generally and the availability of equitable remedies), and are in full force and effect, in each case except as would not reasonably be expected to have, either individually or in the aggregate, a material adverse effect on Chase. Chase and each of its Subsidiaries have duly performed all of their respective obligations thereunder to the extent that such obligations to perform have accrued, except as would not reasonably be expected to have, individually or in the aggregate, a material adverse effect on Chase, and, to the best knowledge of Chase, there are no breaches, violations or defaults or allegations or assertions of such by any party thereunder, except as would not reasonably be expected to have, either individually or in the aggregate, a material adverse effect on Chase.</w:t>
      </w:r>
    </w:p>
    <w:p>
      <w:pPr>
        <w:spacing w:after="0" w:line="196" w:lineRule="exact"/>
        <w:rPr>
          <w:rFonts w:ascii="Courier New" w:cs="Courier New" w:eastAsia="Courier New" w:hAnsi="Courier New"/>
          <w:sz w:val="16"/>
          <w:szCs w:val="16"/>
          <w:color w:val="auto"/>
        </w:rPr>
      </w:pPr>
    </w:p>
    <w:p>
      <w:pPr>
        <w:ind w:right="2819" w:firstLine="863"/>
        <w:spacing w:after="0" w:line="243" w:lineRule="auto"/>
        <w:tabs>
          <w:tab w:leader="none" w:pos="1249"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Intellectual Property. Chase and its Subsidiaries own or have a valid license to use all trademarks, service marks and trade names (including any registrations or applications for registration of any of the foregoing)</w:t>
      </w:r>
    </w:p>
    <w:p>
      <w:pPr>
        <w:spacing w:after="0" w:line="3" w:lineRule="exact"/>
        <w:rPr>
          <w:rFonts w:ascii="Courier New" w:cs="Courier New" w:eastAsia="Courier New" w:hAnsi="Courier New"/>
          <w:sz w:val="16"/>
          <w:szCs w:val="16"/>
          <w:color w:val="auto"/>
        </w:rPr>
      </w:pPr>
    </w:p>
    <w:p>
      <w:pPr>
        <w:ind w:right="253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(collectively, the "Chase Intellectual Property") necessary to carry on their business substantially as currently conducted, except where such failures to own or validly license such Chase Intellectual Property would not, individually or in the aggregate, reasonably be expected to have a material adverse effect on Chase. Neither Chase nor any such Subsidiary has received any notice of infringement of or conflict with, and to</w:t>
      </w:r>
    </w:p>
    <w:p>
      <w:pPr>
        <w:sectPr>
          <w:pgSz w:w="11900" w:h="16838" w:orient="portrait"/>
          <w:cols w:equalWidth="0" w:num="1">
            <w:col w:w="10219"/>
          </w:cols>
          <w:pgMar w:left="240" w:top="300" w:right="1440" w:bottom="1440" w:gutter="0" w:footer="0" w:header="0"/>
        </w:sectPr>
      </w:pPr>
    </w:p>
    <w:bookmarkStart w:id="38" w:name="page39"/>
    <w:bookmarkEnd w:id="38"/>
    <w:p>
      <w:pPr>
        <w:ind w:left="281"/>
        <w:spacing w:after="0"/>
        <w:rPr>
          <w:sz w:val="20"/>
          <w:szCs w:val="20"/>
          <w:color w:val="auto"/>
        </w:rPr>
      </w:pPr>
      <w:r>
        <w:rPr>
          <w:rFonts w:ascii="Courier New" w:cs="Courier New" w:eastAsia="Courier New" w:hAnsi="Courier New"/>
          <w:sz w:val="16"/>
          <w:szCs w:val="16"/>
          <w:color w:val="auto"/>
        </w:rPr>
        <w:t>34</w:t>
      </w:r>
    </w:p>
    <w:p>
      <w:pPr>
        <w:spacing w:after="0" w:line="5" w:lineRule="exact"/>
        <w:rPr>
          <w:sz w:val="20"/>
          <w:szCs w:val="20"/>
          <w:color w:val="auto"/>
        </w:rPr>
      </w:pPr>
    </w:p>
    <w:p>
      <w:pPr>
        <w:ind w:left="1" w:right="2719"/>
        <w:spacing w:after="0" w:line="243" w:lineRule="auto"/>
        <w:rPr>
          <w:sz w:val="20"/>
          <w:szCs w:val="20"/>
          <w:color w:val="auto"/>
        </w:rPr>
      </w:pPr>
      <w:r>
        <w:rPr>
          <w:rFonts w:ascii="Courier New" w:cs="Courier New" w:eastAsia="Courier New" w:hAnsi="Courier New"/>
          <w:sz w:val="16"/>
          <w:szCs w:val="16"/>
          <w:color w:val="auto"/>
        </w:rPr>
        <w:t>Chase's knowledge, there are no infringements of or conflicts with, the rights of others with respect to the use of any Chase Intellectual Property that individually or in the aggregate, in either such case, would reasonably be expected to have a material adverse effect on Chase.</w:t>
      </w:r>
    </w:p>
    <w:p>
      <w:pPr>
        <w:spacing w:after="0" w:line="190" w:lineRule="exact"/>
        <w:rPr>
          <w:sz w:val="20"/>
          <w:szCs w:val="20"/>
          <w:color w:val="auto"/>
        </w:rPr>
      </w:pPr>
    </w:p>
    <w:p>
      <w:pPr>
        <w:ind w:left="1" w:right="2539" w:firstLine="863"/>
        <w:spacing w:after="0" w:line="244" w:lineRule="auto"/>
        <w:tabs>
          <w:tab w:leader="none" w:pos="1250"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Brokers or Finders. No agent, broker, investment banker, financial advisor or other firm or person is or will be entitled to any broker's or finder's fee or any other similar commission or fee in connection with any of the transactions contemplated by this Agreement, except Chase Securities Inc., and Chase agrees to indemnify Morgan and to hold Morgan harmless from and against any and all claims, liabilities or obligations with respect to any other fees, commissions or expenses asserted by any person on the basis of any act or statement alleged to have been made by Chase or its affiliates.</w:t>
      </w:r>
    </w:p>
    <w:p>
      <w:pPr>
        <w:spacing w:after="0" w:line="188" w:lineRule="exact"/>
        <w:rPr>
          <w:rFonts w:ascii="Courier New" w:cs="Courier New" w:eastAsia="Courier New" w:hAnsi="Courier New"/>
          <w:sz w:val="16"/>
          <w:szCs w:val="16"/>
          <w:color w:val="auto"/>
        </w:rPr>
      </w:pPr>
    </w:p>
    <w:p>
      <w:pPr>
        <w:ind w:left="1" w:right="2539" w:firstLine="863"/>
        <w:spacing w:after="0" w:line="243" w:lineRule="auto"/>
        <w:tabs>
          <w:tab w:leader="none" w:pos="1250"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Opinion of Chase Financial Advisor. Chase has received the opinion of its financial advisor, Chase Securities Inc., dated the date of this Agreement, to the effect that the Exchange Ratio is fair, from a financial point of view, to Chase and the holders of Chase Common Stock.</w:t>
      </w:r>
    </w:p>
    <w:p>
      <w:pPr>
        <w:spacing w:after="0" w:line="188" w:lineRule="exact"/>
        <w:rPr>
          <w:sz w:val="20"/>
          <w:szCs w:val="20"/>
          <w:color w:val="auto"/>
        </w:rPr>
      </w:pPr>
    </w:p>
    <w:p>
      <w:pPr>
        <w:jc w:val="center"/>
        <w:ind w:right="2538"/>
        <w:spacing w:after="0"/>
        <w:rPr>
          <w:sz w:val="20"/>
          <w:szCs w:val="20"/>
          <w:color w:val="auto"/>
        </w:rPr>
      </w:pPr>
      <w:r>
        <w:rPr>
          <w:rFonts w:ascii="Courier New" w:cs="Courier New" w:eastAsia="Courier New" w:hAnsi="Courier New"/>
          <w:sz w:val="16"/>
          <w:szCs w:val="16"/>
          <w:color w:val="auto"/>
        </w:rPr>
        <w:t>ARTICLE IV</w:t>
      </w:r>
    </w:p>
    <w:p>
      <w:pPr>
        <w:spacing w:after="0" w:line="4" w:lineRule="exact"/>
        <w:rPr>
          <w:sz w:val="20"/>
          <w:szCs w:val="20"/>
          <w:color w:val="auto"/>
        </w:rPr>
      </w:pPr>
    </w:p>
    <w:p>
      <w:pPr>
        <w:jc w:val="center"/>
        <w:ind w:right="2438"/>
        <w:spacing w:after="0"/>
        <w:rPr>
          <w:sz w:val="20"/>
          <w:szCs w:val="20"/>
          <w:color w:val="auto"/>
        </w:rPr>
      </w:pPr>
      <w:r>
        <w:rPr>
          <w:rFonts w:ascii="Courier New" w:cs="Courier New" w:eastAsia="Courier New" w:hAnsi="Courier New"/>
          <w:sz w:val="16"/>
          <w:szCs w:val="16"/>
          <w:color w:val="auto"/>
        </w:rPr>
        <w:t>COVENANTS RELATING TO CONDUCT OF BUSINESS</w:t>
      </w:r>
    </w:p>
    <w:p>
      <w:pPr>
        <w:spacing w:after="0" w:line="190" w:lineRule="exact"/>
        <w:rPr>
          <w:sz w:val="20"/>
          <w:szCs w:val="20"/>
          <w:color w:val="auto"/>
        </w:rPr>
      </w:pPr>
    </w:p>
    <w:p>
      <w:pPr>
        <w:ind w:left="1" w:right="2539" w:firstLine="865"/>
        <w:spacing w:after="0" w:line="244" w:lineRule="auto"/>
        <w:rPr>
          <w:sz w:val="20"/>
          <w:szCs w:val="20"/>
          <w:color w:val="auto"/>
        </w:rPr>
      </w:pPr>
      <w:r>
        <w:rPr>
          <w:rFonts w:ascii="Courier New" w:cs="Courier New" w:eastAsia="Courier New" w:hAnsi="Courier New"/>
          <w:sz w:val="16"/>
          <w:szCs w:val="16"/>
          <w:color w:val="auto"/>
        </w:rPr>
        <w:t>4.1. Covenants of Morgan. During the period from the date of this Agreement and continuing until the Effective Time, Morgan agrees as to itself and its Subsidiaries that, except as expressly contemplated or permitted by this Agreement or the Stock Option Agreements or to the extent that Chase shall otherwise consent in writing:</w:t>
      </w:r>
    </w:p>
    <w:p>
      <w:pPr>
        <w:spacing w:after="0" w:line="187" w:lineRule="exact"/>
        <w:rPr>
          <w:sz w:val="20"/>
          <w:szCs w:val="20"/>
          <w:color w:val="auto"/>
        </w:rPr>
      </w:pPr>
    </w:p>
    <w:p>
      <w:pPr>
        <w:ind w:left="1" w:right="2639" w:firstLine="863"/>
        <w:spacing w:after="0" w:line="260" w:lineRule="auto"/>
        <w:tabs>
          <w:tab w:leader="none" w:pos="1250" w:val="left"/>
        </w:tabs>
        <w:numPr>
          <w:ilvl w:val="1"/>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Ordinary Course. Morgan and its Subsidiaries shall carry on their respective businesses in the usual, regular and ordinary course consistent with past practice and use all reasonable efforts to preserve intact their present business organizations, maintain their rights, franchises, licenses and other authorizations issued by Governmental Entities and preserve their relationships with customers, suppliers and others having business dealings with them to the end that their goodwill and ongoing businesses shall not be impaired in any material respect at the Effective Time. Morgan shall not, nor shall it permit any of its Subsidiaries to, (i) enter into any new material line of business,</w:t>
      </w:r>
    </w:p>
    <w:p>
      <w:pPr>
        <w:spacing w:after="0" w:line="6" w:lineRule="exact"/>
        <w:rPr>
          <w:rFonts w:ascii="Courier New" w:cs="Courier New" w:eastAsia="Courier New" w:hAnsi="Courier New"/>
          <w:sz w:val="15"/>
          <w:szCs w:val="15"/>
          <w:color w:val="auto"/>
        </w:rPr>
      </w:pPr>
    </w:p>
    <w:p>
      <w:pPr>
        <w:ind w:left="1" w:right="2539" w:hanging="1"/>
        <w:spacing w:after="0" w:line="244" w:lineRule="auto"/>
        <w:tabs>
          <w:tab w:leader="none" w:pos="482"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 its or its Subsidiaries' lending, investment, underwriting, risk and asset-liability management and other material banking or operating policies in any respect which is material to Morgan, except as required by law or by policies imposed by a Governmental Entity, (iii) incur or commit to any capital expenditures or any obligations or liabilities in connection therewith other than capital expenditures and obligations or liabilities incurred or committed to in the ordinary course of business consistent with past practice, or (iv) enter into or terminate any material lease, contract or agreement, or make any change to any existing material leases, contracts or agreements, except in the ordinary course of business consistent with past practice.</w:t>
      </w:r>
    </w:p>
    <w:p>
      <w:pPr>
        <w:spacing w:after="0" w:line="189" w:lineRule="exact"/>
        <w:rPr>
          <w:rFonts w:ascii="Courier New" w:cs="Courier New" w:eastAsia="Courier New" w:hAnsi="Courier New"/>
          <w:sz w:val="16"/>
          <w:szCs w:val="16"/>
          <w:color w:val="auto"/>
        </w:rPr>
      </w:pPr>
    </w:p>
    <w:p>
      <w:pPr>
        <w:ind w:left="1" w:right="2639" w:firstLine="863"/>
        <w:spacing w:after="0" w:line="244" w:lineRule="auto"/>
        <w:tabs>
          <w:tab w:leader="none" w:pos="1250" w:val="left"/>
        </w:tabs>
        <w:numPr>
          <w:ilvl w:val="1"/>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Dividends; Changes in Stock. Morgan shall not, nor shall it permit any of its Subsidiaries to, or propose to, (i) declare or pay any dividends on or make other distributions in respect of any of its capital stock, except (A) as provided in Section 5.12, (B) the declaration and payment of regular quarterly cash dividends on the Morgan Common Stock at a rate not in excess of the regular quarterly cash dividend most recently declared prior to the date of this Agreement and regular cash dividends on the Morgan Preferred Stock in accordance with the terms of such preferred stock as in effect on the date of this Agreement, in each case with usual</w:t>
      </w:r>
    </w:p>
    <w:p>
      <w:pPr>
        <w:sectPr>
          <w:pgSz w:w="11900" w:h="16838" w:orient="portrait"/>
          <w:cols w:equalWidth="0" w:num="1">
            <w:col w:w="10221"/>
          </w:cols>
          <w:pgMar w:left="239" w:top="300" w:right="1440" w:bottom="1440" w:gutter="0" w:footer="0" w:header="0"/>
        </w:sectPr>
      </w:pPr>
    </w:p>
    <w:bookmarkStart w:id="39" w:name="page40"/>
    <w:bookmarkEnd w:id="39"/>
    <w:p>
      <w:pPr>
        <w:ind w:left="280"/>
        <w:spacing w:after="0"/>
        <w:rPr>
          <w:sz w:val="20"/>
          <w:szCs w:val="20"/>
          <w:color w:val="auto"/>
        </w:rPr>
      </w:pPr>
      <w:r>
        <w:rPr>
          <w:rFonts w:ascii="Courier New" w:cs="Courier New" w:eastAsia="Courier New" w:hAnsi="Courier New"/>
          <w:sz w:val="16"/>
          <w:szCs w:val="16"/>
          <w:color w:val="auto"/>
        </w:rPr>
        <w:t>35</w:t>
      </w:r>
    </w:p>
    <w:p>
      <w:pPr>
        <w:spacing w:after="0" w:line="5" w:lineRule="exact"/>
        <w:rPr>
          <w:sz w:val="20"/>
          <w:szCs w:val="20"/>
          <w:color w:val="auto"/>
        </w:rPr>
      </w:pPr>
    </w:p>
    <w:p>
      <w:pPr>
        <w:ind w:right="2719"/>
        <w:spacing w:after="0" w:line="244" w:lineRule="auto"/>
        <w:rPr>
          <w:sz w:val="20"/>
          <w:szCs w:val="20"/>
          <w:color w:val="auto"/>
        </w:rPr>
      </w:pPr>
      <w:r>
        <w:rPr>
          <w:rFonts w:ascii="Courier New" w:cs="Courier New" w:eastAsia="Courier New" w:hAnsi="Courier New"/>
          <w:sz w:val="16"/>
          <w:szCs w:val="16"/>
          <w:color w:val="auto"/>
        </w:rPr>
        <w:t>record and payment dates for such dividends in accordance with Morgan's past dividend practice or as required by the terms of such preferred stock, and (C) for dividends by a wholly-owned Subsidiary of Morgan, (ii) split, combine or reclassify any of its capital stock or issue or authorize or propose the issuance of any other securities in respect of, in lieu of or in substitution for shares of its capital stock or (iii) repurchase, redeem or otherwise acquire, or permit any Subsidiary to redeem, purchase or otherwise acquire any shares of its capital stock or any securities convertible into or exercisable for any shares of its capital stock (except for the acquisition of trading account shares, trust account shares and DPC shares in the ordinary course of business consistent with past practice and except pursuant to agreements in effect on the date hereof and disclosed or not required to be disclosed in the Morgan Disclosure Schedule).</w:t>
      </w:r>
    </w:p>
    <w:p>
      <w:pPr>
        <w:spacing w:after="0" w:line="191" w:lineRule="exact"/>
        <w:rPr>
          <w:sz w:val="20"/>
          <w:szCs w:val="20"/>
          <w:color w:val="auto"/>
        </w:rPr>
      </w:pPr>
    </w:p>
    <w:p>
      <w:pPr>
        <w:ind w:right="2539" w:firstLine="863"/>
        <w:spacing w:after="0" w:line="244" w:lineRule="auto"/>
        <w:tabs>
          <w:tab w:leader="none" w:pos="1249"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Issuance of Securities. Morgan shall not, nor shall it permit any of its Subsidiaries to, issue, deliver or sell, or authorize or propose the issuance, delivery or sale of, any shares of its capital stock, any Voting Debt or any securities convertible into or exercisable or exchangeable for, or any rights, warrants or options to acquire, any such shares or Voting Debt, or enter into any agreement with respect to any of the foregoing, other than (i) the issuance of Morgan Common Stock upon the exercise of stock options issued under the Morgan Stock Plans and either outstanding on the date of this Agreement or thereafter issued as permitted by Sections 4.1(j) and 4.1(k), or pursuant to the Morgan Stock Option Agreement, (ii) issuances by a wholly-owned Subsidiary of its capital stock to its parent or to another wholly-owned Subsidiary of Morgan, and (iii) such issuances as may be necessary for Morgan and the Merger to qualify for "pooling of interests" accounting treatment.</w:t>
      </w:r>
    </w:p>
    <w:p>
      <w:pPr>
        <w:spacing w:after="0" w:line="191" w:lineRule="exact"/>
        <w:rPr>
          <w:rFonts w:ascii="Courier New" w:cs="Courier New" w:eastAsia="Courier New" w:hAnsi="Courier New"/>
          <w:sz w:val="16"/>
          <w:szCs w:val="16"/>
          <w:color w:val="auto"/>
        </w:rPr>
      </w:pPr>
    </w:p>
    <w:p>
      <w:pPr>
        <w:ind w:right="2539" w:firstLine="863"/>
        <w:spacing w:after="0" w:line="243" w:lineRule="auto"/>
        <w:tabs>
          <w:tab w:leader="none" w:pos="1249"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Governing Documents, Etc. Morgan shall not amend or propose to amend its Certificate of Incorporation or By-laws or enter into, or permit any Subsidiary to enter into, a plan of consolidation, merger or reorganization with any person other than a wholly-owned Subsidiary of Morgan.</w:t>
      </w:r>
    </w:p>
    <w:p>
      <w:pPr>
        <w:spacing w:after="0" w:line="189" w:lineRule="exact"/>
        <w:rPr>
          <w:rFonts w:ascii="Courier New" w:cs="Courier New" w:eastAsia="Courier New" w:hAnsi="Courier New"/>
          <w:sz w:val="16"/>
          <w:szCs w:val="16"/>
          <w:color w:val="auto"/>
        </w:rPr>
      </w:pPr>
    </w:p>
    <w:p>
      <w:pPr>
        <w:ind w:right="2539" w:firstLine="863"/>
        <w:spacing w:after="0" w:line="261" w:lineRule="auto"/>
        <w:tabs>
          <w:tab w:leader="none" w:pos="1249"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Acquisitions. Other than (i) acquisitions disclosed in the Morgan Disclosure Schedule, and (ii) acquisitions in existing or related lines of business of Morgan and its Subsidiaries the fair market value of the total consideration for which does not exceed $100,000,000 in the aggregate, Morgan shall not, and shall not permit any of its Subsidiaries to, acquire or agree to acquire by merging or consolidating with, by purchasing a substantial equity interest in or a substantial portion of the assets of, by forming a partnership or joint venture with, or by any other manner, any business or any corporation, partnership, association or other business organization or division thereof or otherwise acquire or agree to acquire any assets; provided, however, that the foregoing shall not prohibit (i) internal reorganizations or consolidations involving existing Subsidiaries other than Morgan Bank, (ii) foreclosures and other debt-previously-contracted acquisitions in the ordinary course of business, (iii) acquisitions of control by a banking Subsidiary in its fiduciary capacity, (iv) investments made by small business investment company or venture capital Subsidiaries, acquisitions of financial assets and merchant banking activities, in each case in the ordinary course of business consistent with past practice, (v) the creation of new Subsidiaries organized to conduct or continue activities otherwise permitted by this Agreement, or (vi) acquisitions of securities in the ordinary course of Morgan's or its Subsidiaries' underwriting, trading or market-making businesses consistent with past practice.</w:t>
      </w:r>
    </w:p>
    <w:p>
      <w:pPr>
        <w:sectPr>
          <w:pgSz w:w="11900" w:h="16838" w:orient="portrait"/>
          <w:cols w:equalWidth="0" w:num="1">
            <w:col w:w="10219"/>
          </w:cols>
          <w:pgMar w:left="240" w:top="300" w:right="1440" w:bottom="1440" w:gutter="0" w:footer="0" w:header="0"/>
        </w:sectPr>
      </w:pPr>
    </w:p>
    <w:bookmarkStart w:id="40" w:name="page41"/>
    <w:bookmarkEnd w:id="40"/>
    <w:p>
      <w:pPr>
        <w:spacing w:after="0"/>
        <w:rPr>
          <w:sz w:val="20"/>
          <w:szCs w:val="20"/>
          <w:color w:val="auto"/>
        </w:rPr>
      </w:pPr>
      <w:r>
        <w:rPr>
          <w:rFonts w:ascii="Courier New" w:cs="Courier New" w:eastAsia="Courier New" w:hAnsi="Courier New"/>
          <w:sz w:val="16"/>
          <w:szCs w:val="16"/>
          <w:color w:val="auto"/>
        </w:rPr>
        <w:t>36</w:t>
      </w:r>
    </w:p>
    <w:p>
      <w:pPr>
        <w:spacing w:after="0" w:line="5" w:lineRule="exact"/>
        <w:rPr>
          <w:sz w:val="20"/>
          <w:szCs w:val="20"/>
          <w:color w:val="auto"/>
        </w:rPr>
      </w:pPr>
    </w:p>
    <w:p>
      <w:pPr>
        <w:ind w:left="-280" w:right="2539" w:firstLine="863"/>
        <w:spacing w:after="0" w:line="244" w:lineRule="auto"/>
        <w:tabs>
          <w:tab w:leader="none" w:pos="969"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Dispositions. Other than (i) internal reorganizations or consolidations involving existing Subsidiaries other than Morgan Bank, (ii) dispositions referred to in Morgan SEC Documents filed prior to the date of this Agreement or as disclosed in the Morgan Disclosure Schedule, (iii) securitization activities in the ordinary course of business consistent with past practice, and (iv) other activities in the ordinary course of business consistent with past practice, Morgan shall not, and shall not permit any of its Subsidiaries to, sell, lease, encumber or otherwise dispose of, or agree to sell, lease, encumber or otherwise dispose of, any of its assets (including capital stock of its Subsidiaries) which are material, individually or in the aggregate, to Morgan.</w:t>
      </w:r>
    </w:p>
    <w:p>
      <w:pPr>
        <w:spacing w:after="0" w:line="190" w:lineRule="exact"/>
        <w:rPr>
          <w:rFonts w:ascii="Courier New" w:cs="Courier New" w:eastAsia="Courier New" w:hAnsi="Courier New"/>
          <w:sz w:val="16"/>
          <w:szCs w:val="16"/>
          <w:color w:val="auto"/>
        </w:rPr>
      </w:pPr>
    </w:p>
    <w:p>
      <w:pPr>
        <w:ind w:left="-280" w:right="2539" w:firstLine="863"/>
        <w:spacing w:after="0" w:line="244" w:lineRule="auto"/>
        <w:tabs>
          <w:tab w:leader="none" w:pos="969"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Indebtedness. Morgan shall not, and shall not permit any of its Subsidiaries to, incur, create or assume any long-term indebtedness for borrowed money (or modify any of the material terms of any such outstanding long-term indebtedness) or guarantee any such long-term indebtedness or issue or sell any long-term debt securities or warrants or rights to acquire any long-term debt securities of Morgan or any of its Subsidiaries or guarantee any long-term debt securities of others, other than (i) in replacement of existing or maturing debt, (ii) indebtedness of any Subsidiary of Morgan to Morgan or to another Subsidiary of Morgan, or (iii) in the ordinary course of business consistent with past practice.</w:t>
      </w:r>
    </w:p>
    <w:p>
      <w:pPr>
        <w:spacing w:after="0" w:line="189" w:lineRule="exact"/>
        <w:rPr>
          <w:rFonts w:ascii="Courier New" w:cs="Courier New" w:eastAsia="Courier New" w:hAnsi="Courier New"/>
          <w:sz w:val="16"/>
          <w:szCs w:val="16"/>
          <w:color w:val="auto"/>
        </w:rPr>
      </w:pPr>
    </w:p>
    <w:p>
      <w:pPr>
        <w:ind w:left="-280" w:right="2539" w:firstLine="863"/>
        <w:spacing w:after="0" w:line="244" w:lineRule="auto"/>
        <w:tabs>
          <w:tab w:leader="none" w:pos="969"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Actions. Morgan shall not, and shall not permit any of its Subsidiaries to, intentionally take any action that would, or reasonably might be expected to, result in any of its representations and warranties set forth in this Agreement being or becoming untrue, subject to such exceptions as do not have, and would not reasonably be expected to have, individually or in the aggregate, a material adverse effect on Morgan or on the Surviving Corporation following the Effective Time, or in any of the conditions to the Merger set forth in Article VI not being satisfied or in a violation of any provision of this Agreement or the Stock Option Agreements, or (unless such action is required by applicable law) which would adversely affect the ability of the parties to obtain any of the Requisite Regulatory Approvals without imposition of a condition or restriction of the type referred to in Section 6.1(g).</w:t>
      </w:r>
    </w:p>
    <w:p>
      <w:pPr>
        <w:spacing w:after="0" w:line="190" w:lineRule="exact"/>
        <w:rPr>
          <w:rFonts w:ascii="Courier New" w:cs="Courier New" w:eastAsia="Courier New" w:hAnsi="Courier New"/>
          <w:sz w:val="16"/>
          <w:szCs w:val="16"/>
          <w:color w:val="auto"/>
        </w:rPr>
      </w:pPr>
    </w:p>
    <w:p>
      <w:pPr>
        <w:ind w:left="-280" w:right="2539" w:firstLine="863"/>
        <w:spacing w:after="0" w:line="244" w:lineRule="auto"/>
        <w:tabs>
          <w:tab w:leader="none" w:pos="969"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Accounting Methods. Except as disclosed in Morgan SEC Documents filed prior to the date of this Agreement, Morgan shall not change its methods of accounting in effect at December 31, 1999, except as required by changes in generally accepted accounting principles as concurred in by Morgan's independent auditors.</w:t>
      </w:r>
    </w:p>
    <w:p>
      <w:pPr>
        <w:spacing w:after="0" w:line="187" w:lineRule="exact"/>
        <w:rPr>
          <w:rFonts w:ascii="Courier New" w:cs="Courier New" w:eastAsia="Courier New" w:hAnsi="Courier New"/>
          <w:sz w:val="16"/>
          <w:szCs w:val="16"/>
          <w:color w:val="auto"/>
        </w:rPr>
      </w:pPr>
    </w:p>
    <w:p>
      <w:pPr>
        <w:ind w:left="-280" w:right="2639" w:firstLine="863"/>
        <w:spacing w:after="0" w:line="244" w:lineRule="auto"/>
        <w:tabs>
          <w:tab w:leader="none" w:pos="969"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Pooling and Tax-Free Reorganization Treatment. Morgan shall not, and shall not permit any of its Subsidiaries to, intentionally take or cause to be taken any action, whether before or after the Effective Time, which would disqualify the Merger as a "pooling of interests" for accounting purposes or as a reorganization within the meaning of Section 368(a) of the Code; provided, however, that nothing hereunder shall limit the ability of Morgan to exercise its rights under the Stock Option Agreements.</w:t>
      </w:r>
    </w:p>
    <w:p>
      <w:pPr>
        <w:spacing w:after="0" w:line="188" w:lineRule="exact"/>
        <w:rPr>
          <w:rFonts w:ascii="Courier New" w:cs="Courier New" w:eastAsia="Courier New" w:hAnsi="Courier New"/>
          <w:sz w:val="16"/>
          <w:szCs w:val="16"/>
          <w:color w:val="auto"/>
        </w:rPr>
      </w:pPr>
    </w:p>
    <w:p>
      <w:pPr>
        <w:ind w:left="-280" w:right="2539" w:firstLine="863"/>
        <w:spacing w:after="0" w:line="244" w:lineRule="auto"/>
        <w:tabs>
          <w:tab w:leader="none" w:pos="969"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Compensation and Benefit Plans. During the period from the date of this Agreement and continuing until the Effective Time, Morgan agrees as to itself and its Subsidiaries that, except as disclosed in the Morgan Disclosure Schedule, it will not, without the prior written consent of Chase (and subject in all cases to Morgan's obligations under Section 4.1(j)), (i) enter into, adopt, amend (except for such amendments as may be required by law) or terminate any Morgan Benefit Plan, or any other employee benefit plan or any agreement, arrangement, plan or policy between Morgan or a Subsidiary of Morgan and one or more of its directors or officers, (ii) except for normal</w:t>
      </w:r>
    </w:p>
    <w:p>
      <w:pPr>
        <w:sectPr>
          <w:pgSz w:w="11900" w:h="16838" w:orient="portrait"/>
          <w:cols w:equalWidth="0" w:num="1">
            <w:col w:w="9939"/>
          </w:cols>
          <w:pgMar w:left="520" w:top="300" w:right="1440" w:bottom="1440" w:gutter="0" w:footer="0" w:header="0"/>
        </w:sectPr>
      </w:pPr>
    </w:p>
    <w:bookmarkStart w:id="41" w:name="page42"/>
    <w:bookmarkEnd w:id="41"/>
    <w:p>
      <w:pPr>
        <w:ind w:left="280"/>
        <w:spacing w:after="0"/>
        <w:rPr>
          <w:sz w:val="20"/>
          <w:szCs w:val="20"/>
          <w:color w:val="auto"/>
        </w:rPr>
      </w:pPr>
      <w:r>
        <w:rPr>
          <w:rFonts w:ascii="Courier New" w:cs="Courier New" w:eastAsia="Courier New" w:hAnsi="Courier New"/>
          <w:sz w:val="16"/>
          <w:szCs w:val="16"/>
          <w:color w:val="auto"/>
        </w:rPr>
        <w:t>37</w:t>
      </w:r>
    </w:p>
    <w:p>
      <w:pPr>
        <w:spacing w:after="0" w:line="5"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payments, awards and increases in the ordinary course of business consistent with past practice that, in the aggregate, do not result in a material increase in benefits or compensation expense, increase in any manner the compensation or fringe benefits of any director, officer or employee or pay any benefit not required by any plan and arrangement as in effect as of the date hereof (including, without limitation, the granting of stock options, stock appreciation rights, restricted stock, restricted stock units or performance units or shares) or enter into any contract, agreement, commitment or arrangement to do any of the foregoing or (iii) enter into or renew any contract, agreement, commitment or arrangement (other than a renewal occurring in accordance with the terms thereof) providing for the payment to any director, officer or employee of such party of compensation or benefits contingent, or the terms of which are materially altered, upon the occurrence of any of the transactions contemplated by this Agreement or the Stock Option Agreements; provided however, that any such payments or awards that result in an aggregate compensation expense for the 2000 fiscal year not exceeding 50% of consolidated total revenues, net, of Morgan for that year (the "maximum expense") shall not be regarded as a breach of Morgan's obligations hereunder; and provided further that payments of target awards under the 1998 Performance Plan of J.P. Morgan &amp; Co. Incorporated and Affiliated Companies shall be permitted in all events hereunder in accordance with the terms of such Plan, and any expense resulting therefrom shall not be taken into account when making any calculation pursuant to the previous proviso.</w:t>
      </w:r>
    </w:p>
    <w:p>
      <w:pPr>
        <w:spacing w:after="0" w:line="196" w:lineRule="exact"/>
        <w:rPr>
          <w:sz w:val="20"/>
          <w:szCs w:val="20"/>
          <w:color w:val="auto"/>
        </w:rPr>
      </w:pPr>
    </w:p>
    <w:p>
      <w:pPr>
        <w:ind w:right="2539" w:firstLine="863"/>
        <w:spacing w:after="0" w:line="244" w:lineRule="auto"/>
        <w:tabs>
          <w:tab w:leader="none" w:pos="1249"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Tax Elections. Morgan shall not (i) change any tax election, annual tax accounting period or method of tax accounting in any material respect, (ii) file any material amended tax return, (iii) enter into any closing agreement relating to any material tax, (iv) settle any material tax claim or assessment, or (v) surrender any right to claim a material tax refund or consent to any extension or waiver of the limitations period applicable to any material Tax claim or assessment.</w:t>
      </w:r>
    </w:p>
    <w:p>
      <w:pPr>
        <w:spacing w:after="0" w:line="188" w:lineRule="exact"/>
        <w:rPr>
          <w:rFonts w:ascii="Courier New" w:cs="Courier New" w:eastAsia="Courier New" w:hAnsi="Courier New"/>
          <w:sz w:val="16"/>
          <w:szCs w:val="16"/>
          <w:color w:val="auto"/>
        </w:rPr>
      </w:pPr>
    </w:p>
    <w:p>
      <w:pPr>
        <w:ind w:right="2539" w:firstLine="863"/>
        <w:spacing w:after="0" w:line="244" w:lineRule="auto"/>
        <w:tabs>
          <w:tab w:leader="none" w:pos="1249"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Investment Portfolio. Morgan shall not materially restructure or materially change (on a consolidated basis) its investment securities portfolio, its hedging strategy or its gap position, through purchases, sales or otherwise, or the manner in which the portfolio is classified or reported or materially alter the credit or risk concentrations associated with its underwriting, market-making and other investment banking businesses.</w:t>
      </w:r>
    </w:p>
    <w:p>
      <w:pPr>
        <w:spacing w:after="0" w:line="187" w:lineRule="exact"/>
        <w:rPr>
          <w:rFonts w:ascii="Courier New" w:cs="Courier New" w:eastAsia="Courier New" w:hAnsi="Courier New"/>
          <w:sz w:val="16"/>
          <w:szCs w:val="16"/>
          <w:color w:val="auto"/>
        </w:rPr>
      </w:pPr>
    </w:p>
    <w:p>
      <w:pPr>
        <w:ind w:right="2639" w:firstLine="863"/>
        <w:spacing w:after="0" w:line="243" w:lineRule="auto"/>
        <w:tabs>
          <w:tab w:leader="none" w:pos="1249"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Liquidation. Morgan shall not, and shall not permit any of its Significant Subsidiaries to, adopt a plan of complete or partial liquidation or resolutions providing for or authorizing such a liquidation or a dissolution, restructuring, recapitalization or reorganization.</w:t>
      </w:r>
    </w:p>
    <w:p>
      <w:pPr>
        <w:spacing w:after="0" w:line="189" w:lineRule="exact"/>
        <w:rPr>
          <w:rFonts w:ascii="Courier New" w:cs="Courier New" w:eastAsia="Courier New" w:hAnsi="Courier New"/>
          <w:sz w:val="16"/>
          <w:szCs w:val="16"/>
          <w:color w:val="auto"/>
        </w:rPr>
      </w:pPr>
    </w:p>
    <w:p>
      <w:pPr>
        <w:jc w:val="both"/>
        <w:ind w:right="2539" w:firstLine="863"/>
        <w:spacing w:after="0" w:line="243" w:lineRule="auto"/>
        <w:tabs>
          <w:tab w:leader="none" w:pos="1249"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Agreements. Morgan shall not, and shall not permit any of its Subsidiaries to, agree to, or make any commitment to, take, or authorize, any of the actions prohibited by this Section 4.1.</w:t>
      </w:r>
    </w:p>
    <w:p>
      <w:pPr>
        <w:spacing w:after="0" w:line="189" w:lineRule="exact"/>
        <w:rPr>
          <w:sz w:val="20"/>
          <w:szCs w:val="20"/>
          <w:color w:val="auto"/>
        </w:rPr>
      </w:pPr>
    </w:p>
    <w:p>
      <w:pPr>
        <w:ind w:right="2539" w:firstLine="865"/>
        <w:spacing w:after="0" w:line="244" w:lineRule="auto"/>
        <w:rPr>
          <w:sz w:val="20"/>
          <w:szCs w:val="20"/>
          <w:color w:val="auto"/>
        </w:rPr>
      </w:pPr>
      <w:r>
        <w:rPr>
          <w:rFonts w:ascii="Courier New" w:cs="Courier New" w:eastAsia="Courier New" w:hAnsi="Courier New"/>
          <w:sz w:val="16"/>
          <w:szCs w:val="16"/>
          <w:color w:val="auto"/>
        </w:rPr>
        <w:t>4.2. Covenants of Chase. During the period from the date of this Agreement and continuing until the Effective Time, Chase agrees as to itself and its Subsidiaries that, except as expressly contemplated or permitted by this Agreement or the Stock Option Agreements or to the extent that Morgan shall otherwise consent in writing:</w:t>
      </w:r>
    </w:p>
    <w:p>
      <w:pPr>
        <w:spacing w:after="0" w:line="187" w:lineRule="exact"/>
        <w:rPr>
          <w:sz w:val="20"/>
          <w:szCs w:val="20"/>
          <w:color w:val="auto"/>
        </w:rPr>
      </w:pPr>
    </w:p>
    <w:p>
      <w:pPr>
        <w:ind w:right="2639" w:firstLine="863"/>
        <w:spacing w:after="0" w:line="244" w:lineRule="auto"/>
        <w:tabs>
          <w:tab w:leader="none" w:pos="1249"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Ordinary Course. Chase and its Subsidiaries shall carry on their respective businesses in the usual, regular and ordinary course consistent with past practice and use all reasonable efforts to preserve intact their present business organizations, maintain their rights, franchises, licenses and other authorizations issued by Governmental Entities and preserve their</w:t>
      </w:r>
    </w:p>
    <w:p>
      <w:pPr>
        <w:sectPr>
          <w:pgSz w:w="11900" w:h="16838" w:orient="portrait"/>
          <w:cols w:equalWidth="0" w:num="1">
            <w:col w:w="10219"/>
          </w:cols>
          <w:pgMar w:left="240" w:top="300" w:right="1440" w:bottom="1440" w:gutter="0" w:footer="0" w:header="0"/>
        </w:sectPr>
      </w:pPr>
    </w:p>
    <w:bookmarkStart w:id="42" w:name="page43"/>
    <w:bookmarkEnd w:id="42"/>
    <w:p>
      <w:pPr>
        <w:ind w:left="281"/>
        <w:spacing w:after="0"/>
        <w:rPr>
          <w:sz w:val="20"/>
          <w:szCs w:val="20"/>
          <w:color w:val="auto"/>
        </w:rPr>
      </w:pPr>
      <w:r>
        <w:rPr>
          <w:rFonts w:ascii="Courier New" w:cs="Courier New" w:eastAsia="Courier New" w:hAnsi="Courier New"/>
          <w:sz w:val="16"/>
          <w:szCs w:val="16"/>
          <w:color w:val="auto"/>
        </w:rPr>
        <w:t>38</w:t>
      </w:r>
    </w:p>
    <w:p>
      <w:pPr>
        <w:spacing w:after="0" w:line="5" w:lineRule="exact"/>
        <w:rPr>
          <w:sz w:val="20"/>
          <w:szCs w:val="20"/>
          <w:color w:val="auto"/>
        </w:rPr>
      </w:pPr>
    </w:p>
    <w:p>
      <w:pPr>
        <w:ind w:left="1" w:right="2539"/>
        <w:spacing w:after="0" w:line="244" w:lineRule="auto"/>
        <w:rPr>
          <w:sz w:val="20"/>
          <w:szCs w:val="20"/>
          <w:color w:val="auto"/>
        </w:rPr>
      </w:pPr>
      <w:r>
        <w:rPr>
          <w:rFonts w:ascii="Courier New" w:cs="Courier New" w:eastAsia="Courier New" w:hAnsi="Courier New"/>
          <w:sz w:val="16"/>
          <w:szCs w:val="16"/>
          <w:color w:val="auto"/>
        </w:rPr>
        <w:t>relationships with customers, suppliers and others having business dealings with them to the end that their goodwill and ongoing businesses shall not be impaired in any material respect at the Effective Time. Chase shall not, nor shall it permit any of its Subsidiaries to, (i) enter into any new material line of business, (ii) change its or its Subsidiaries' lending, investment, underwriting, risk and asset-liability management and other material banking or operating policies in any respect which is material to Chase, except as required by law or by policies imposed by a Governmental Entity, (iii) incur or commit to any capital expenditures or any obligations or liabilities in connection therewith other than capital expenditures and obligations or liabilities incurred or committed to in the ordinary course of business consistent with past practice, or (iv) enter into or terminate any material lease, contract or agreement, or make any change to any existing material leases, contracts or agreements, except in the ordinary course of business consistent with past practice.</w:t>
      </w:r>
    </w:p>
    <w:p>
      <w:pPr>
        <w:spacing w:after="0" w:line="192" w:lineRule="exact"/>
        <w:rPr>
          <w:sz w:val="20"/>
          <w:szCs w:val="20"/>
          <w:color w:val="auto"/>
        </w:rPr>
      </w:pPr>
    </w:p>
    <w:p>
      <w:pPr>
        <w:ind w:left="1" w:right="2639" w:firstLine="863"/>
        <w:spacing w:after="0" w:line="261" w:lineRule="auto"/>
        <w:tabs>
          <w:tab w:leader="none" w:pos="1250" w:val="left"/>
        </w:tabs>
        <w:numPr>
          <w:ilvl w:val="1"/>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Dividends; Changes in Stock. Chase shall not, nor shall it permit any of its Subsidiaries to, or propose to, (i) declare or pay any dividends on or make other distributions in respect of any of its capital stock, except (A) as provided in Section 5.12, (B) the declaration and payment of regular quarterly cash dividends on the Chase Common Stock at a rate not in excess of the regular quarterly cash dividend most recently declared prior to the date of this Agreement and regular cash dividends on the Chase Preferred Stock in accordance with the terms of such preferred stock as in effect on the date of this Agreement, in each case with usual record and payment dates for such dividends in accordance with Chase's past dividend practice or as required by the terms of such preferred stock, and (C) for dividends by a wholly-owned Subsidiary of Chase, (ii) split, combine or reclassify any of its capital stock or issue or authorize or propose the issuance or authorization of any other securities in respect of, in lieu of or in substitution for, shares of its capital stock, or (iii) repurchase, redeem or otherwise acquire, or permit any Subsidiary to purchase or otherwise acquire, any shares of its capital stock or any securities convertible into or exercisable for any shares of its capital stock (except for the acquisition of trading account shares, trust account shares and DPC shares in the ordinary course of business consistent with past practice and except pursuant to agreements in effect on the date hereof and disclosed or not required to be disclosed in the Chase Disclosure Schedule).</w:t>
      </w:r>
    </w:p>
    <w:p>
      <w:pPr>
        <w:spacing w:after="0" w:line="369" w:lineRule="exact"/>
        <w:rPr>
          <w:rFonts w:ascii="Courier New" w:cs="Courier New" w:eastAsia="Courier New" w:hAnsi="Courier New"/>
          <w:sz w:val="15"/>
          <w:szCs w:val="15"/>
          <w:color w:val="auto"/>
        </w:rPr>
      </w:pPr>
    </w:p>
    <w:p>
      <w:pPr>
        <w:ind w:left="1" w:right="2539" w:firstLine="863"/>
        <w:spacing w:after="0" w:line="260" w:lineRule="auto"/>
        <w:tabs>
          <w:tab w:leader="none" w:pos="1250" w:val="left"/>
        </w:tabs>
        <w:numPr>
          <w:ilvl w:val="1"/>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Issuance of Securities. Chase shall not, nor shall it permit any of its Subsidiaries to, issue, deliver or sell, or authorize or propose the issuance, delivery or sale of, any shares of its capital stock of any class, any Voting Debt or any securities convertible into or exercisable or exchangeable for, or any rights, warrants or options to acquire, any such shares or Voting Debt, or enter into any agreement with respect to any of the foregoing, other than (i) the issuance of Chase Common Stock upon the exercise of stock options issued under the Chase Stock Plans in accordance with the terms of the applicable Chase Stock Plan in effect on the date of this Agreement, issuances of stock options and other equity awards in the ordinary course of business consistent with past practices or issuances of Chase Common Stock pursuant to the Chase Stock Option Agreement, (ii) issuances by a wholly-owned Subsidiary of its capital stock to its parent or to another wholly-owned Subsidiary of Chase,</w:t>
      </w:r>
    </w:p>
    <w:p>
      <w:pPr>
        <w:spacing w:after="0" w:line="8" w:lineRule="exact"/>
        <w:rPr>
          <w:rFonts w:ascii="Courier New" w:cs="Courier New" w:eastAsia="Courier New" w:hAnsi="Courier New"/>
          <w:sz w:val="15"/>
          <w:szCs w:val="15"/>
          <w:color w:val="auto"/>
        </w:rPr>
      </w:pPr>
    </w:p>
    <w:p>
      <w:pPr>
        <w:ind w:left="1" w:right="2539" w:hanging="1"/>
        <w:spacing w:after="0" w:line="260" w:lineRule="auto"/>
        <w:tabs>
          <w:tab w:leader="none" w:pos="578"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issuances in respect of any acquisitions, mergers, share exchanges, consolidations, business combinations or similar transactions by Chase or its subsidiaries permitted by Section 4.2(e), including any financings therefor, and</w:t>
      </w:r>
    </w:p>
    <w:p>
      <w:pPr>
        <w:ind w:left="481" w:hanging="481"/>
        <w:spacing w:after="0"/>
        <w:tabs>
          <w:tab w:leader="none" w:pos="481"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disclosed in the Chase Disclosure Schedule.</w:t>
      </w:r>
    </w:p>
    <w:p>
      <w:pPr>
        <w:spacing w:after="0" w:line="190" w:lineRule="exact"/>
        <w:rPr>
          <w:rFonts w:ascii="Courier New" w:cs="Courier New" w:eastAsia="Courier New" w:hAnsi="Courier New"/>
          <w:sz w:val="16"/>
          <w:szCs w:val="16"/>
          <w:color w:val="auto"/>
        </w:rPr>
      </w:pPr>
    </w:p>
    <w:p>
      <w:pPr>
        <w:ind w:left="1" w:right="2539" w:firstLine="863"/>
        <w:spacing w:after="0" w:line="243" w:lineRule="auto"/>
        <w:tabs>
          <w:tab w:leader="none" w:pos="1250" w:val="left"/>
        </w:tabs>
        <w:numPr>
          <w:ilvl w:val="1"/>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Governing Documents. Chase shall not amend or propose to amend its Certificate of Incorporation or By-laws in any way that is materially adverse to Morgan or</w:t>
      </w:r>
    </w:p>
    <w:p>
      <w:pPr>
        <w:sectPr>
          <w:pgSz w:w="11900" w:h="16838" w:orient="portrait"/>
          <w:cols w:equalWidth="0" w:num="1">
            <w:col w:w="10221"/>
          </w:cols>
          <w:pgMar w:left="239" w:top="300" w:right="1440" w:bottom="1440" w:gutter="0" w:footer="0" w:header="0"/>
        </w:sectPr>
      </w:pPr>
    </w:p>
    <w:bookmarkStart w:id="43" w:name="page44"/>
    <w:bookmarkEnd w:id="43"/>
    <w:p>
      <w:pPr>
        <w:ind w:left="281"/>
        <w:spacing w:after="0"/>
        <w:rPr>
          <w:sz w:val="20"/>
          <w:szCs w:val="20"/>
          <w:color w:val="auto"/>
        </w:rPr>
      </w:pPr>
      <w:r>
        <w:rPr>
          <w:rFonts w:ascii="Courier New" w:cs="Courier New" w:eastAsia="Courier New" w:hAnsi="Courier New"/>
          <w:sz w:val="16"/>
          <w:szCs w:val="16"/>
          <w:color w:val="auto"/>
        </w:rPr>
        <w:t>39</w:t>
      </w:r>
    </w:p>
    <w:p>
      <w:pPr>
        <w:spacing w:after="0" w:line="5" w:lineRule="exact"/>
        <w:rPr>
          <w:sz w:val="20"/>
          <w:szCs w:val="20"/>
          <w:color w:val="auto"/>
        </w:rPr>
      </w:pPr>
    </w:p>
    <w:p>
      <w:pPr>
        <w:ind w:left="1" w:right="2539"/>
        <w:spacing w:after="0" w:line="244" w:lineRule="auto"/>
        <w:rPr>
          <w:sz w:val="20"/>
          <w:szCs w:val="20"/>
          <w:color w:val="auto"/>
        </w:rPr>
      </w:pPr>
      <w:r>
        <w:rPr>
          <w:rFonts w:ascii="Courier New" w:cs="Courier New" w:eastAsia="Courier New" w:hAnsi="Courier New"/>
          <w:sz w:val="16"/>
          <w:szCs w:val="16"/>
          <w:color w:val="auto"/>
        </w:rPr>
        <w:t>Morgan's stockholders or to Chase's ability to consummate the transactions contemplated hereby or by the Chase Stock Option Agreement or, except as permitted pursuant to Section 4.2(e) or 4.2(f), enter into, or permit any Subsidiary to enter into, a plan of consolidation, merger or reorganization with any person other than a wholly-owned Subsidiary of Chase.</w:t>
      </w:r>
    </w:p>
    <w:p>
      <w:pPr>
        <w:spacing w:after="0" w:line="187" w:lineRule="exact"/>
        <w:rPr>
          <w:sz w:val="20"/>
          <w:szCs w:val="20"/>
          <w:color w:val="auto"/>
        </w:rPr>
      </w:pPr>
    </w:p>
    <w:p>
      <w:pPr>
        <w:ind w:left="1" w:right="2539" w:firstLine="863"/>
        <w:spacing w:after="0" w:line="244" w:lineRule="auto"/>
        <w:tabs>
          <w:tab w:leader="none" w:pos="1250" w:val="left"/>
        </w:tabs>
        <w:numPr>
          <w:ilvl w:val="1"/>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Acquisitions. Other than acquisitions (whether by means of merger, share exchange, consolidation, tender offer, asset purchase or otherwise) and other business combinations (collectively, "Acquisitions") provided that (A) the fair market value of the total consideration paid by Chase and its Subsidiaries in Isuch Acquisitions does not exceed in the aggregate the amount set forth in the Chase Disclosure Schedule, and (B) such Acquisitions do not present a material risk of making it materially more difficult to obtain the Requisite Regulatory Approvals, Chase shall not, and shall not permit any of its Subsidiaries to, acquire or agree to acquire, by merging or consolidating with, by purchasing a substantial equity interest in or a substantial portion of the assets of, by forming a partnership or joint venture, or by any other manner, any business or any corporation, partnership, association or other business organization or division thereof or otherwise acquire or agree to acquire any assets; provided, however, that the foregoing shall not prohibit (i) internal reorganizations or consolidations involving existing Subsidiaries other than Chase Bank, (ii) foreclosures and other debt-previously-contracted acquisitions in the ordinary course of business, (iii) acquisitions of control by a banking Subsidiary in its fiduciary capacity, (iv) investments made by small business investment company or venture capital Subsidiaries, acquisitions of financial assets and merchant banking activities, in each case in the ordinary course of business consistent with past practice, (v) the creation of new Subsidiaries organized to conduct or continue activities otherwise permitted by this Agreement, or (vi) acquisitions of securities in the ordinary course of Chase's or its Subsidiaries' underwriting, trading or market-making businesses consistent with past practice.</w:t>
      </w:r>
    </w:p>
    <w:p>
      <w:pPr>
        <w:spacing w:after="0" w:line="197" w:lineRule="exact"/>
        <w:rPr>
          <w:rFonts w:ascii="Courier New" w:cs="Courier New" w:eastAsia="Courier New" w:hAnsi="Courier New"/>
          <w:sz w:val="16"/>
          <w:szCs w:val="16"/>
          <w:color w:val="auto"/>
        </w:rPr>
      </w:pPr>
    </w:p>
    <w:p>
      <w:pPr>
        <w:ind w:left="1" w:right="2539" w:firstLine="863"/>
        <w:spacing w:after="0" w:line="260" w:lineRule="auto"/>
        <w:tabs>
          <w:tab w:leader="none" w:pos="1250" w:val="left"/>
        </w:tabs>
        <w:numPr>
          <w:ilvl w:val="1"/>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Dispositions. Other than (i) internal reorganizations or consolidations involving existing Subsidiaries other than Chase Bank, (ii) dispositions referred to in Chase SEC Documents filed prior to the date of this Agreement or as disclosed in the Chase Disclosure Schedule, (iii) securitization activities in the ordinary course of business consistent with past practice,</w:t>
      </w:r>
    </w:p>
    <w:p>
      <w:pPr>
        <w:spacing w:after="0" w:line="3" w:lineRule="exact"/>
        <w:rPr>
          <w:rFonts w:ascii="Courier New" w:cs="Courier New" w:eastAsia="Courier New" w:hAnsi="Courier New"/>
          <w:sz w:val="15"/>
          <w:szCs w:val="15"/>
          <w:color w:val="auto"/>
        </w:rPr>
      </w:pPr>
    </w:p>
    <w:p>
      <w:pPr>
        <w:ind w:left="1" w:right="2539" w:hanging="1"/>
        <w:spacing w:after="0" w:line="244" w:lineRule="auto"/>
        <w:tabs>
          <w:tab w:leader="none" w:pos="482"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activities in the ordinary course of business consistent with past practice, and (v) other dispositions of assets (including Subsidiaries) if the fair market value of the total consideration received therefrom does not exceed in the aggregate the amount set forth in the Chase Disclosure Schedule, Chase shall not, and shall not permit any of its Subsidiaries to, sell, lease, encumber or otherwise dispose of, or agree to sell, lease, encumber or otherwise dispose of, any of its assets (including capital stock of its Subsidiaries) which are material, individually or in the aggregate, to Chase.</w:t>
      </w:r>
    </w:p>
    <w:p>
      <w:pPr>
        <w:spacing w:after="0" w:line="188" w:lineRule="exact"/>
        <w:rPr>
          <w:rFonts w:ascii="Courier New" w:cs="Courier New" w:eastAsia="Courier New" w:hAnsi="Courier New"/>
          <w:sz w:val="16"/>
          <w:szCs w:val="16"/>
          <w:color w:val="auto"/>
        </w:rPr>
      </w:pPr>
    </w:p>
    <w:p>
      <w:pPr>
        <w:ind w:left="1" w:right="2539" w:firstLine="863"/>
        <w:spacing w:after="0" w:line="260" w:lineRule="auto"/>
        <w:tabs>
          <w:tab w:leader="none" w:pos="1250" w:val="left"/>
        </w:tabs>
        <w:numPr>
          <w:ilvl w:val="1"/>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Indebtedness. Chase shall not, and shall not permit any of its Subsidiaries to, incur, create or assume any long-term indebtedness for borrowed money (or modify any of the material terms of any such outstanding long-term indebtedness) or guarantee any such long-term indebtedness or issue or sell any long-term debt securities or warrants or rights to acquire any long-term debt securities of Chase or any of its Subsidiaries or guarantee any long-term debt securities of others other than (i) in replacement of existing or maturing debt,</w:t>
      </w:r>
    </w:p>
    <w:p>
      <w:pPr>
        <w:spacing w:after="0" w:line="2" w:lineRule="exact"/>
        <w:rPr>
          <w:rFonts w:ascii="Courier New" w:cs="Courier New" w:eastAsia="Courier New" w:hAnsi="Courier New"/>
          <w:sz w:val="15"/>
          <w:szCs w:val="15"/>
          <w:color w:val="auto"/>
        </w:rPr>
      </w:pPr>
    </w:p>
    <w:p>
      <w:pPr>
        <w:ind w:left="481" w:hanging="481"/>
        <w:spacing w:after="0"/>
        <w:tabs>
          <w:tab w:leader="none" w:pos="481" w:val="left"/>
        </w:tabs>
        <w:numPr>
          <w:ilvl w:val="0"/>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indebtedness of any Subsidiary of Chase or another Subsidiary of Chase or</w:t>
      </w:r>
    </w:p>
    <w:p>
      <w:pPr>
        <w:spacing w:after="0" w:line="3" w:lineRule="exact"/>
        <w:rPr>
          <w:rFonts w:ascii="Courier New" w:cs="Courier New" w:eastAsia="Courier New" w:hAnsi="Courier New"/>
          <w:sz w:val="16"/>
          <w:szCs w:val="16"/>
          <w:color w:val="auto"/>
        </w:rPr>
      </w:pPr>
    </w:p>
    <w:p>
      <w:pPr>
        <w:ind w:left="581" w:hanging="581"/>
        <w:spacing w:after="0"/>
        <w:tabs>
          <w:tab w:leader="none" w:pos="581" w:val="left"/>
        </w:tabs>
        <w:numPr>
          <w:ilvl w:val="0"/>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ordinary course of business consistent with past practice.</w:t>
      </w:r>
    </w:p>
    <w:p>
      <w:pPr>
        <w:sectPr>
          <w:pgSz w:w="11900" w:h="16838" w:orient="portrait"/>
          <w:cols w:equalWidth="0" w:num="1">
            <w:col w:w="10221"/>
          </w:cols>
          <w:pgMar w:left="239" w:top="300" w:right="1440" w:bottom="1440" w:gutter="0" w:footer="0" w:header="0"/>
        </w:sectPr>
      </w:pPr>
    </w:p>
    <w:bookmarkStart w:id="44" w:name="page45"/>
    <w:bookmarkEnd w:id="44"/>
    <w:p>
      <w:pPr>
        <w:ind w:left="280"/>
        <w:spacing w:after="0"/>
        <w:rPr>
          <w:sz w:val="20"/>
          <w:szCs w:val="20"/>
          <w:color w:val="auto"/>
        </w:rPr>
      </w:pPr>
      <w:r>
        <w:rPr>
          <w:rFonts w:ascii="Courier New" w:cs="Courier New" w:eastAsia="Courier New" w:hAnsi="Courier New"/>
          <w:sz w:val="16"/>
          <w:szCs w:val="16"/>
          <w:color w:val="auto"/>
        </w:rPr>
        <w:t>40</w:t>
      </w:r>
    </w:p>
    <w:p>
      <w:pPr>
        <w:spacing w:after="0" w:line="5" w:lineRule="exact"/>
        <w:rPr>
          <w:sz w:val="20"/>
          <w:szCs w:val="20"/>
          <w:color w:val="auto"/>
        </w:rPr>
      </w:pPr>
    </w:p>
    <w:p>
      <w:pPr>
        <w:ind w:right="2639" w:firstLine="1728"/>
        <w:spacing w:after="0" w:line="244" w:lineRule="auto"/>
        <w:tabs>
          <w:tab w:leader="none" w:pos="2114"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Actions. Chase shall not, and shall not permit any of its Subsidiaries to, intentionally take any action that would, or reasonably might be expected to, result in any of its representations and warranties set forth in this Agreement being or becoming untrue, subject to such exceptions as do not have, and would not reasonably be expected to have, individually or in the aggregate, a material adverse effect on Chase or on the Surviving Corporation following the Effective Time, or in any of the conditions to the Merger set forth in Article VI not being satisfied or in a violation of any provision of this Agreement or the Stock Option Agreements, or (unless such action is required by applicable law) which would adversely affect the ability of the parties to obtain any of the Requisite Regulatory Approvals without imposition of a condition or restriction of the type referred to in Section 6.1(g).</w:t>
      </w:r>
    </w:p>
    <w:p>
      <w:pPr>
        <w:spacing w:after="0" w:line="191" w:lineRule="exact"/>
        <w:rPr>
          <w:rFonts w:ascii="Courier New" w:cs="Courier New" w:eastAsia="Courier New" w:hAnsi="Courier New"/>
          <w:sz w:val="16"/>
          <w:szCs w:val="16"/>
          <w:color w:val="auto"/>
        </w:rPr>
      </w:pPr>
    </w:p>
    <w:p>
      <w:pPr>
        <w:ind w:right="2719" w:firstLine="1728"/>
        <w:spacing w:after="0" w:line="244" w:lineRule="auto"/>
        <w:tabs>
          <w:tab w:leader="none" w:pos="2114"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Accounting Methods. Except as disclosed in Chase SEC Document filed prior to the date of this Agreement, Chase shall not change its methods of accounting in effect at December 31, 1999, except as required by changes in generally accepted accounting principles as concurred in by Chase's independent auditors.</w:t>
      </w:r>
    </w:p>
    <w:p>
      <w:pPr>
        <w:spacing w:after="0" w:line="187" w:lineRule="exact"/>
        <w:rPr>
          <w:rFonts w:ascii="Courier New" w:cs="Courier New" w:eastAsia="Courier New" w:hAnsi="Courier New"/>
          <w:sz w:val="16"/>
          <w:szCs w:val="16"/>
          <w:color w:val="auto"/>
        </w:rPr>
      </w:pPr>
    </w:p>
    <w:p>
      <w:pPr>
        <w:ind w:right="2539" w:firstLine="1728"/>
        <w:spacing w:after="0" w:line="244" w:lineRule="auto"/>
        <w:tabs>
          <w:tab w:leader="none" w:pos="2114"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Pooling and Tax-Free Reorganization Treatment. Chase shall not, and shall not permit any of its Subsidiaries to, intentionally take or cause to be taken any action, whether before or after the Effective Time, which would disqualify the Merger as a "pooling of interests" for accounting purposes or as a reorganization within the meaning of Section 368(a) of the Code; provided, however, that nothing hereunder shall limit the ability of Chase to exercise its rights under the Stock Option Agreements.</w:t>
      </w:r>
    </w:p>
    <w:p>
      <w:pPr>
        <w:spacing w:after="0" w:line="188" w:lineRule="exact"/>
        <w:rPr>
          <w:rFonts w:ascii="Courier New" w:cs="Courier New" w:eastAsia="Courier New" w:hAnsi="Courier New"/>
          <w:sz w:val="16"/>
          <w:szCs w:val="16"/>
          <w:color w:val="auto"/>
        </w:rPr>
      </w:pPr>
    </w:p>
    <w:p>
      <w:pPr>
        <w:ind w:right="2639" w:firstLine="1728"/>
        <w:spacing w:after="0" w:line="243" w:lineRule="auto"/>
        <w:tabs>
          <w:tab w:leader="none" w:pos="2114"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Liquidation. Chase shall not, and shall not permit any of its Significant Subsidiaries to, adopt a plan of complete or partial liquidation or resolutions providing for or authorizing such a liquidation or a dissolution, restructuring, recapitalization or reorganization.</w:t>
      </w:r>
    </w:p>
    <w:p>
      <w:pPr>
        <w:spacing w:after="0" w:line="189" w:lineRule="exact"/>
        <w:rPr>
          <w:rFonts w:ascii="Courier New" w:cs="Courier New" w:eastAsia="Courier New" w:hAnsi="Courier New"/>
          <w:sz w:val="16"/>
          <w:szCs w:val="16"/>
          <w:color w:val="auto"/>
        </w:rPr>
      </w:pPr>
    </w:p>
    <w:p>
      <w:pPr>
        <w:ind w:right="2819" w:firstLine="1728"/>
        <w:spacing w:after="0" w:line="243" w:lineRule="auto"/>
        <w:tabs>
          <w:tab w:leader="none" w:pos="2114"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Agreements. Chase shall not, and shall not permit any of its Subsidiaries to, agree to, or make any commitment to, take, or authorize, any of the actions prohibited by this Section 4.2.</w:t>
      </w:r>
    </w:p>
    <w:p>
      <w:pPr>
        <w:spacing w:after="0" w:line="189" w:lineRule="exact"/>
        <w:rPr>
          <w:sz w:val="20"/>
          <w:szCs w:val="20"/>
          <w:color w:val="auto"/>
        </w:rPr>
      </w:pPr>
    </w:p>
    <w:p>
      <w:pPr>
        <w:ind w:right="2539" w:firstLine="865"/>
        <w:spacing w:after="0" w:line="244" w:lineRule="auto"/>
        <w:rPr>
          <w:sz w:val="20"/>
          <w:szCs w:val="20"/>
          <w:color w:val="auto"/>
        </w:rPr>
      </w:pPr>
      <w:r>
        <w:rPr>
          <w:rFonts w:ascii="Courier New" w:cs="Courier New" w:eastAsia="Courier New" w:hAnsi="Courier New"/>
          <w:sz w:val="16"/>
          <w:szCs w:val="16"/>
          <w:color w:val="auto"/>
        </w:rPr>
        <w:t>4.3. Transition. In order to facilitate the integration of the operations of Morgan and Chase and their Subsidiaries and to permit the coordination of their related operations on a timely basis, and in an effort to accelerate to the earliest time possible following the Effective Time the realization of synergies, operating efficiencies and other benefits expected to be realized by the parties as a result of the Merger, each of Morgan and Chase shall, and shall cause its Subsidiaries to, consult with the other on all strategic and operational matters to the extent such consultation is not in violation of applicable laws, including laws regarding the exchange of information and other laws regarding competition. Each of Morgan and Chase shall, and shall cause its Subsidiaries to, make available to the other at its facilities and those of its Subsidiaries, where determined by Chase or Morgan, as the case may be, to be appropriate and necessary, office space in order to assist it in observing all operations and reviewing all matters concerning the affairs of the other party. Without in any way limiting the provisions of Section 5.2, Morgan and Chase, their respective Subsidiaries and their respective officers, employees, counsel, financial advisors and other representatives shall, upon reasonable notice to the other party, be entitled to review the operations and visit the facilities of the other party and its Subsidiaries at all times as may be deemed reasonably necessary by Chase or Morgan, as the case may be, in order to accomplish the foregoing arrangements.</w:t>
      </w:r>
    </w:p>
    <w:p>
      <w:pPr>
        <w:sectPr>
          <w:pgSz w:w="11900" w:h="16838" w:orient="portrait"/>
          <w:cols w:equalWidth="0" w:num="1">
            <w:col w:w="10219"/>
          </w:cols>
          <w:pgMar w:left="240" w:top="300" w:right="1440" w:bottom="1440" w:gutter="0" w:footer="0" w:header="0"/>
        </w:sectPr>
      </w:pPr>
    </w:p>
    <w:bookmarkStart w:id="45" w:name="page46"/>
    <w:bookmarkEnd w:id="45"/>
    <w:p>
      <w:pPr>
        <w:ind w:left="280"/>
        <w:spacing w:after="0"/>
        <w:rPr>
          <w:sz w:val="20"/>
          <w:szCs w:val="20"/>
          <w:color w:val="auto"/>
        </w:rPr>
      </w:pPr>
      <w:r>
        <w:rPr>
          <w:rFonts w:ascii="Courier New" w:cs="Courier New" w:eastAsia="Courier New" w:hAnsi="Courier New"/>
          <w:sz w:val="16"/>
          <w:szCs w:val="16"/>
          <w:color w:val="auto"/>
        </w:rPr>
        <w:t>41</w:t>
      </w:r>
    </w:p>
    <w:p>
      <w:pPr>
        <w:spacing w:after="0" w:line="5" w:lineRule="exact"/>
        <w:rPr>
          <w:sz w:val="20"/>
          <w:szCs w:val="20"/>
          <w:color w:val="auto"/>
        </w:rPr>
      </w:pPr>
    </w:p>
    <w:p>
      <w:pPr>
        <w:ind w:right="2539" w:firstLine="865"/>
        <w:spacing w:after="0" w:line="244" w:lineRule="auto"/>
        <w:rPr>
          <w:sz w:val="20"/>
          <w:szCs w:val="20"/>
          <w:color w:val="auto"/>
        </w:rPr>
      </w:pPr>
      <w:r>
        <w:rPr>
          <w:rFonts w:ascii="Courier New" w:cs="Courier New" w:eastAsia="Courier New" w:hAnsi="Courier New"/>
          <w:sz w:val="16"/>
          <w:szCs w:val="16"/>
          <w:color w:val="auto"/>
        </w:rPr>
        <w:t>4.4. Advice of Changes; Government Filings. Each party shall confer on a regular and frequent basis with the other, report on operational matters and promptly advise the other orally and in writing of any change or event having, or which would reasonably be expected to have, a material adverse effect on such party or which would cause or constitute a material breach of any of the representations, warranties or covenants of such party contained herein. Morgan and Chase shall file all reports required to be filed by each of them with the SEC between the date of this Agreement and the Effective Time and shall deliver to the other party copies of all such reports promptly after the same are filed. Morgan, Chase and each Subsidiary of Chase or Morgan that is a bank shall file all call reports with the appropriate bank regulators and all other reports, applications and other documents required to be filed with the applicable Governmental Entities between the date hereof and the Effective Time and shall make available to the other party copies of all such reports promptly after the same are filed. Each of Morgan and Chase shall have the right to review in advance, and to the extent practicable each will consult with the other, in each case subject to applicable laws relating to the exchange of information, with respect to all the information relating to the other party, and any of their respective Subsidiaries, which appears in any filing made with, or written materials submitted to, any third party or any Governmental Entity in connection with the transactions contemplated by this Agreement. In exercising the foregoing right, each of the parties hereto agrees to act reasonably and as promptly as practicable. Each party hereto agrees that to the extent practicable it will consult with the other party hereto with respect to the obtaining of all permits, consents, approvals and authorizations of all third parties and Governmental Entities necessary or advisable to consummate the transactions contemplated by this Agreement and each party will keep the other party apprised of the status of matters relating to completion of the transactions contemplated hereby.</w:t>
      </w:r>
    </w:p>
    <w:p>
      <w:pPr>
        <w:spacing w:after="0" w:line="199" w:lineRule="exact"/>
        <w:rPr>
          <w:sz w:val="20"/>
          <w:szCs w:val="20"/>
          <w:color w:val="auto"/>
        </w:rPr>
      </w:pPr>
    </w:p>
    <w:p>
      <w:pPr>
        <w:ind w:right="2639" w:firstLine="865"/>
        <w:spacing w:after="0" w:line="262" w:lineRule="auto"/>
        <w:rPr>
          <w:sz w:val="20"/>
          <w:szCs w:val="20"/>
          <w:color w:val="auto"/>
        </w:rPr>
      </w:pPr>
      <w:r>
        <w:rPr>
          <w:rFonts w:ascii="Courier New" w:cs="Courier New" w:eastAsia="Courier New" w:hAnsi="Courier New"/>
          <w:sz w:val="15"/>
          <w:szCs w:val="15"/>
          <w:color w:val="auto"/>
        </w:rPr>
        <w:t>4.5. Control of Other Party's Business. Nothing contained in this Agreement (including, without limitation, Section 4.3) shall give Chase, directly or indirectly, the right to control or direct the operations of Morgan and nothing contained in this Agreement shall give Morgan, directly or indirectly, the right to control or direct the operations of Chase prior to the Effective Time. Prior to the Effective Time, each of Morgan and Chase shall exercise, consistent with the terms and conditions of this Agreement, complete control and supervision over its and its Subsidiaries' respective operations.</w:t>
      </w:r>
    </w:p>
    <w:p>
      <w:pPr>
        <w:spacing w:after="0" w:line="177"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ARTICLE V</w:t>
      </w:r>
    </w:p>
    <w:p>
      <w:pPr>
        <w:spacing w:after="0" w:line="4"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ADDITIONAL AGREEMENTS</w:t>
      </w:r>
    </w:p>
    <w:p>
      <w:pPr>
        <w:spacing w:after="0" w:line="190" w:lineRule="exact"/>
        <w:rPr>
          <w:sz w:val="20"/>
          <w:szCs w:val="20"/>
          <w:color w:val="auto"/>
        </w:rPr>
      </w:pPr>
    </w:p>
    <w:p>
      <w:pPr>
        <w:ind w:right="2539" w:firstLine="865"/>
        <w:spacing w:after="0" w:line="262" w:lineRule="auto"/>
        <w:rPr>
          <w:sz w:val="20"/>
          <w:szCs w:val="20"/>
          <w:color w:val="auto"/>
        </w:rPr>
      </w:pPr>
      <w:r>
        <w:rPr>
          <w:rFonts w:ascii="Courier New" w:cs="Courier New" w:eastAsia="Courier New" w:hAnsi="Courier New"/>
          <w:sz w:val="15"/>
          <w:szCs w:val="15"/>
          <w:color w:val="auto"/>
        </w:rPr>
        <w:t>5.1. Preparation of Proxy Statement; Stockholders Meetings. (a) As promptly as reasonably practicable following the date hereof, Chase and Morgan shall cooperate in preparing and shall cause to be filed with the SEC mutually acceptable proxy materials which shall constitute the proxy statement/prospectus relating to the matters to be submitted to the Morgan stockholders at the Morgan Stockholders Meeting (as defined in Section 5.1(b)) and to the Chase stockholders at the Chase Stockholders Meeting (as defined in Section 5.1(c)) (such joint proxy statement/prospectus, and any amendments or supplements thereto, the "Joint Proxy Statement/Prospectus") and Chase shall prepare and file with the SEC a registration statement on Form S-4 (of which the Joint Proxy Statement/Prospectus shall be a part) with respect to the issuance of Chase Common Stock in the Merger (such Form S-4, and any amendments or supplements thereto, the "Form S-4"). Each of Chase and Morgan shall use reasonable best</w:t>
      </w:r>
    </w:p>
    <w:p>
      <w:pPr>
        <w:sectPr>
          <w:pgSz w:w="11900" w:h="16838" w:orient="portrait"/>
          <w:cols w:equalWidth="0" w:num="1">
            <w:col w:w="10219"/>
          </w:cols>
          <w:pgMar w:left="240" w:top="300" w:right="1440" w:bottom="1440" w:gutter="0" w:footer="0" w:header="0"/>
        </w:sectPr>
      </w:pPr>
    </w:p>
    <w:bookmarkStart w:id="46" w:name="page47"/>
    <w:bookmarkEnd w:id="46"/>
    <w:p>
      <w:pPr>
        <w:ind w:left="280"/>
        <w:spacing w:after="0"/>
        <w:rPr>
          <w:sz w:val="20"/>
          <w:szCs w:val="20"/>
          <w:color w:val="auto"/>
        </w:rPr>
      </w:pPr>
      <w:r>
        <w:rPr>
          <w:rFonts w:ascii="Courier New" w:cs="Courier New" w:eastAsia="Courier New" w:hAnsi="Courier New"/>
          <w:sz w:val="16"/>
          <w:szCs w:val="16"/>
          <w:color w:val="auto"/>
        </w:rPr>
        <w:t>42</w:t>
      </w:r>
    </w:p>
    <w:p>
      <w:pPr>
        <w:spacing w:after="0" w:line="5" w:lineRule="exact"/>
        <w:rPr>
          <w:sz w:val="20"/>
          <w:szCs w:val="20"/>
          <w:color w:val="auto"/>
        </w:rPr>
      </w:pPr>
    </w:p>
    <w:p>
      <w:pPr>
        <w:ind w:right="2539"/>
        <w:spacing w:after="0" w:line="261" w:lineRule="auto"/>
        <w:rPr>
          <w:sz w:val="20"/>
          <w:szCs w:val="20"/>
          <w:color w:val="auto"/>
        </w:rPr>
      </w:pPr>
      <w:r>
        <w:rPr>
          <w:rFonts w:ascii="Courier New" w:cs="Courier New" w:eastAsia="Courier New" w:hAnsi="Courier New"/>
          <w:sz w:val="15"/>
          <w:szCs w:val="15"/>
          <w:color w:val="auto"/>
        </w:rPr>
        <w:t>efforts to have the Joint Proxy Statement/Prospectus cleared by the SEC and the Form S-4 declared effective by the SEC and to keep the Form S-4 effective as long as is necessary to consummate the Merger and the transactions contemplated thereby. Chase and Morgan shall, as promptly as practicable after receipt thereof, provide the other party copies of any written comments and advise the other party of any oral comments with respect to the Joint Proxy Statement/Prospectus or Form S-4 received from the SEC. Each party shall cooperate and provide the other party with a reasonable opportunity to review and comment on any amendment or supplement to the Joint Proxy Statement/Prospectus and the Form S-4 prior to filing such with the SEC, and each party will provide the other party with a copy of all such filings made with the SEC. Notwithstanding any other provision herein to the contrary (but subject to the rights of each of Morgan and Chase to make a Change in Recommendation in accordance with Section 5.4(b)), no amendment or supplement (including by incorporation by reference) to the Joint Proxy Statement/Prospectus or the Form S-4 shall be made without the approval of each party, which approval shall not be unreasonably withheld or delayed; provided that with respect to documents filed by a party which are incorporated by reference in the Form S-4 or Joint Proxy Statement/Prospectus, this right of approval shall apply only with respect to information relating to the other party or its business, financial condition or results of operations. Chase shall use its reasonable best efforts to take any action required to be taken under any applicable state securities laws in connection with the Merger and each party shall furnish all information concerning it and the holders of its capital stock as may be reasonably requested in connection with any such action. Each party will advise the other party, promptly after it receives notice thereof, of the time when the Form S-4 has become effective, the issuance of any stop order, the suspension of the qualification of the Chase Common Stock issuable in connection with the Merger for offering or sale in any jurisdiction, or any request by the SEC for amendment of the Joint Proxy Statement/Prospectus or the Form S-4. If at any time prior to the Effective Time any information relating to either of the parties, or their respective affiliates, officers or directors, should be discovered by either party which should be set forth in an amendment or supplement to any of the Form S-4 or the Joint Proxy Statement/Prospectus so that such documents would not include any misstatement of a material fact or omit to state any material fact necessary to make the statements therein, in light of the circumstances under which they were made, not misleading, the party which discovers such information shall promptly notify the other party hereto and, to the extent required by law, rules or regulations, an appropriate amendment or supplement describing such information shall be promptly filed with the SEC and disseminated to the stockholders of Morgan and Chase.</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right="2539" w:firstLine="1728"/>
        <w:spacing w:after="0" w:line="244" w:lineRule="auto"/>
        <w:tabs>
          <w:tab w:leader="none" w:pos="2114"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Morgan shall duly take all lawful action to call, give notice of, convene and hold a meeting of its stockholders as promptly as practicable following the date upon which the Form S-4 becomes effective (the "Morgan Stockholders Meeting") for the purpose of obtaining the Required Morgan Vote with respect to the transactions contemplated by this Agreement and, unless it is permitted to make a Change in Morgan Recommendation (as defined below) pursuant to Section 5.4(b), shall use all reasonable best efforts to</w:t>
      </w:r>
    </w:p>
    <w:p>
      <w:pPr>
        <w:spacing w:after="0" w:line="3" w:lineRule="exact"/>
        <w:rPr>
          <w:rFonts w:ascii="Courier New" w:cs="Courier New" w:eastAsia="Courier New" w:hAnsi="Courier New"/>
          <w:sz w:val="16"/>
          <w:szCs w:val="16"/>
          <w:color w:val="auto"/>
        </w:rPr>
      </w:pPr>
    </w:p>
    <w:p>
      <w:pPr>
        <w:ind w:right="253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solicit the adoption of this Agreement by the Required Morgan Vote; and the Board of Directors of Morgan shall recommend adoption of this Agreement by the stockholders of Morgan to the effect as set forth in Section 3.1(n) (the "Morgan Recommendation") and shall not (x) withdraw, modify or qualify (or propose to withdraw, modify or qualify) in any manner adverse to Chase such recommendation or (y) take any other action or make any other statement in connection with the Morgan Stockholders Meeting inconsistent with such recommendation (collectively, a "Change</w:t>
      </w:r>
    </w:p>
    <w:p>
      <w:pPr>
        <w:sectPr>
          <w:pgSz w:w="11900" w:h="16838" w:orient="portrait"/>
          <w:cols w:equalWidth="0" w:num="1">
            <w:col w:w="10219"/>
          </w:cols>
          <w:pgMar w:left="240" w:top="300" w:right="1440" w:bottom="1440" w:gutter="0" w:footer="0" w:header="0"/>
        </w:sectPr>
      </w:pPr>
    </w:p>
    <w:bookmarkStart w:id="47" w:name="page48"/>
    <w:bookmarkEnd w:id="47"/>
    <w:p>
      <w:pPr>
        <w:ind w:left="280"/>
        <w:spacing w:after="0"/>
        <w:rPr>
          <w:sz w:val="20"/>
          <w:szCs w:val="20"/>
          <w:color w:val="auto"/>
        </w:rPr>
      </w:pPr>
      <w:r>
        <w:rPr>
          <w:rFonts w:ascii="Courier New" w:cs="Courier New" w:eastAsia="Courier New" w:hAnsi="Courier New"/>
          <w:sz w:val="16"/>
          <w:szCs w:val="16"/>
          <w:color w:val="auto"/>
        </w:rPr>
        <w:t>43</w:t>
      </w:r>
    </w:p>
    <w:p>
      <w:pPr>
        <w:spacing w:after="0" w:line="5" w:lineRule="exact"/>
        <w:rPr>
          <w:sz w:val="20"/>
          <w:szCs w:val="20"/>
          <w:color w:val="auto"/>
        </w:rPr>
      </w:pPr>
    </w:p>
    <w:p>
      <w:pPr>
        <w:ind w:right="2719"/>
        <w:spacing w:after="0" w:line="244" w:lineRule="auto"/>
        <w:rPr>
          <w:sz w:val="20"/>
          <w:szCs w:val="20"/>
          <w:color w:val="auto"/>
        </w:rPr>
      </w:pPr>
      <w:r>
        <w:rPr>
          <w:rFonts w:ascii="Courier New" w:cs="Courier New" w:eastAsia="Courier New" w:hAnsi="Courier New"/>
          <w:sz w:val="16"/>
          <w:szCs w:val="16"/>
          <w:color w:val="auto"/>
        </w:rPr>
        <w:t>in Morgan Recommendation"), except as and to the extent expressly permitted by Section 5.4(b). Notwithstanding any Change in Morgan Recommendation, this Agreement shall be submitted to the stockholders of Morgan at the Morgan Stockholders Meeting for the purpose of adopting this Agreement and nothing contained herein shall be deemed to relieve Morgan of such obligation.</w:t>
      </w:r>
    </w:p>
    <w:p>
      <w:pPr>
        <w:spacing w:after="0" w:line="187" w:lineRule="exact"/>
        <w:rPr>
          <w:sz w:val="20"/>
          <w:szCs w:val="20"/>
          <w:color w:val="auto"/>
        </w:rPr>
      </w:pPr>
    </w:p>
    <w:p>
      <w:pPr>
        <w:ind w:right="2539" w:firstLine="1728"/>
        <w:spacing w:after="0" w:line="261" w:lineRule="auto"/>
        <w:tabs>
          <w:tab w:leader="none" w:pos="2114"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Chase shall duly take all lawful action to call, give notice of, convene and hold a meeting of its stockholders as promptly as practicable following the date upon which the Form S-4 becomes effective (the "Chase Stockholders Meeting") for the purpose of obtaining the Required Chase Vote with respect to the transactions contemplated by this Agreement and, unless it is permitted to make a Change in Chase Recommendation (as defined below) pursuant to Section 5.4(b), shall use all reasonable best efforts to solicit the adoption of this Agreement by the Required Chase Vote; and the Board of Directors of Chase shall recommend adoption of this Agreement by the stockholders of Chase to the effect as set forth in Section 3.2(n) (the "Chase Recommendation") and shall not (x) withdraw, modify or qualify (or propose to withdraw, modify or qualify) in any manner adverse to Morgan such recommendation or (y) take any other action or make any other statement in connection with the Chase Stockholders Meeting inconsistent with such recommendation (a "Change in Chase Recommendation"), except as and to the extent expressly permitted by Section 5.4(b). Notwithstanding any Change in Chase Recommendation, this Agreement shall be submitted to the stockholders of Chase at the Chase Stockholders Meeting for the purpose of adopting this Agreement and nothing contained herein shall be deemed to relieve Chase of such obligation.</w:t>
      </w:r>
    </w:p>
    <w:p>
      <w:pPr>
        <w:spacing w:after="0" w:line="369" w:lineRule="exact"/>
        <w:rPr>
          <w:rFonts w:ascii="Courier New" w:cs="Courier New" w:eastAsia="Courier New" w:hAnsi="Courier New"/>
          <w:sz w:val="15"/>
          <w:szCs w:val="15"/>
          <w:color w:val="auto"/>
        </w:rPr>
      </w:pPr>
    </w:p>
    <w:p>
      <w:pPr>
        <w:jc w:val="both"/>
        <w:ind w:right="3019" w:firstLine="1728"/>
        <w:spacing w:after="0" w:line="243" w:lineRule="auto"/>
        <w:tabs>
          <w:tab w:leader="none" w:pos="2114"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Morgan and Chase shall each use their reasonable best efforts to cause the Morgan Stockholders Meeting and the Chase Stockholders Meeting to be held on the same date.</w:t>
      </w:r>
    </w:p>
    <w:p>
      <w:pPr>
        <w:spacing w:after="0" w:line="189" w:lineRule="exact"/>
        <w:rPr>
          <w:sz w:val="20"/>
          <w:szCs w:val="20"/>
          <w:color w:val="auto"/>
        </w:rPr>
      </w:pPr>
    </w:p>
    <w:p>
      <w:pPr>
        <w:ind w:right="2539" w:firstLine="865"/>
        <w:spacing w:after="0" w:line="244" w:lineRule="auto"/>
        <w:rPr>
          <w:sz w:val="20"/>
          <w:szCs w:val="20"/>
          <w:color w:val="auto"/>
        </w:rPr>
      </w:pPr>
      <w:r>
        <w:rPr>
          <w:rFonts w:ascii="Courier New" w:cs="Courier New" w:eastAsia="Courier New" w:hAnsi="Courier New"/>
          <w:sz w:val="16"/>
          <w:szCs w:val="16"/>
          <w:color w:val="auto"/>
        </w:rPr>
        <w:t>5.2. Access to Information. (a) Upon reasonable notice, Morgan and Chase shall each (and shall cause each of their respective Subsidiaries to) afford to the representatives of the other, access, during normal business hours during the period prior to the Effective Time, to all its properties, books, contracts and records and, during such period, each of Morgan and Chase shall (and shall cause each of their respective Subsidiaries to) make available to the other (i) a copy of each report, schedule, registration statement and other document filed or received by it during such period pursuant to the requirements of Federal securities laws or Federal or state banking laws (other than reports or documents which such party is not permitted to disclose under applicable law) and (ii) all other information concerning its business, properties and personnel as such other party may reasonably request. Neither party nor any of its Subsidiaries shall be required to provide access to or to disclose information where such access or disclosure would violate or prejudice the rights of its customers, jeopardize the attorney-client privilege of the institution in possession or control of such information or contravene any law, rule, regulation, order, judgment, decree or binding agreement entered into prior to the date of this Agreement. The parties will make appropriate substitute disclosure arrangements under circumstances in which the restrictions of the preceding sentence apply.</w:t>
      </w:r>
    </w:p>
    <w:p>
      <w:pPr>
        <w:spacing w:after="0" w:line="195" w:lineRule="exact"/>
        <w:rPr>
          <w:sz w:val="20"/>
          <w:szCs w:val="20"/>
          <w:color w:val="auto"/>
        </w:rPr>
      </w:pPr>
    </w:p>
    <w:p>
      <w:pPr>
        <w:ind w:right="2639" w:firstLine="1728"/>
        <w:spacing w:after="0" w:line="244" w:lineRule="auto"/>
        <w:tabs>
          <w:tab w:leader="none" w:pos="2114"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parties will hold any such information which is nonpublic in confidence to the extent required by, and in accordance with, the provisions of the letter dated September 9, 2000, between Morgan and Chase (the "Confidentiality Agreement"), which Confidentiality Agreement will remain in full force and effect.</w:t>
      </w:r>
    </w:p>
    <w:p>
      <w:pPr>
        <w:sectPr>
          <w:pgSz w:w="11900" w:h="16838" w:orient="portrait"/>
          <w:cols w:equalWidth="0" w:num="1">
            <w:col w:w="10219"/>
          </w:cols>
          <w:pgMar w:left="240" w:top="300" w:right="1440" w:bottom="1440" w:gutter="0" w:footer="0" w:header="0"/>
        </w:sectPr>
      </w:pPr>
    </w:p>
    <w:bookmarkStart w:id="48" w:name="page49"/>
    <w:bookmarkEnd w:id="48"/>
    <w:p>
      <w:pPr>
        <w:ind w:left="280"/>
        <w:spacing w:after="0"/>
        <w:rPr>
          <w:sz w:val="20"/>
          <w:szCs w:val="20"/>
          <w:color w:val="auto"/>
        </w:rPr>
      </w:pPr>
      <w:r>
        <w:rPr>
          <w:rFonts w:ascii="Courier New" w:cs="Courier New" w:eastAsia="Courier New" w:hAnsi="Courier New"/>
          <w:sz w:val="16"/>
          <w:szCs w:val="16"/>
          <w:color w:val="auto"/>
        </w:rPr>
        <w:t>44</w:t>
      </w:r>
    </w:p>
    <w:p>
      <w:pPr>
        <w:spacing w:after="0" w:line="4" w:lineRule="exact"/>
        <w:rPr>
          <w:sz w:val="20"/>
          <w:szCs w:val="20"/>
          <w:color w:val="auto"/>
        </w:rPr>
      </w:pPr>
    </w:p>
    <w:p>
      <w:pPr>
        <w:ind w:left="2120" w:hanging="392"/>
        <w:spacing w:after="0"/>
        <w:tabs>
          <w:tab w:leader="none" w:pos="2120" w:val="left"/>
        </w:tabs>
        <w:numPr>
          <w:ilvl w:val="0"/>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such investigation by either Chase or Morgan shall</w:t>
      </w:r>
    </w:p>
    <w:p>
      <w:pPr>
        <w:spacing w:after="0" w:line="3"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affect the representations and warranties of the other.</w:t>
      </w:r>
    </w:p>
    <w:p>
      <w:pPr>
        <w:spacing w:after="0" w:line="190" w:lineRule="exact"/>
        <w:rPr>
          <w:sz w:val="20"/>
          <w:szCs w:val="20"/>
          <w:color w:val="auto"/>
        </w:rPr>
      </w:pPr>
    </w:p>
    <w:p>
      <w:pPr>
        <w:ind w:right="2539" w:firstLine="865"/>
        <w:spacing w:after="0" w:line="244" w:lineRule="auto"/>
        <w:rPr>
          <w:sz w:val="20"/>
          <w:szCs w:val="20"/>
          <w:color w:val="auto"/>
        </w:rPr>
      </w:pPr>
      <w:r>
        <w:rPr>
          <w:rFonts w:ascii="Courier New" w:cs="Courier New" w:eastAsia="Courier New" w:hAnsi="Courier New"/>
          <w:sz w:val="16"/>
          <w:szCs w:val="16"/>
          <w:color w:val="auto"/>
        </w:rPr>
        <w:t>5.3. Reasonable Best Efforts. (a) Each of Morgan and Chase shall, and shall cause its Subsidiaries to, use all reasonable best efforts (i) to take, or cause to be taken, all actions necessary to comply promptly with all legal requirements which may be imposed on such party or its Subsidiaries with respect to the Merger and to consummate the transactions contemplated by this Agreement as promptly as practicable, and (ii) to obtain (and to cooperate with the other party to obtain) any consent, authorization, order or approval of, or any exemption by, any Governmental Entity and/or any other public or private third party which is required to be obtained or made by such party or any of its Subsidiaries in connection with the Merger and the transactions contemplated by this Agreement; provided, however, that a party shall not be obligated to take any action pursuant to the foregoing if the taking of such action or such compliance or the obtaining of such consent, authorization, order, approval or exemption is reasonably likely to result in a condition or restriction on such party or on the Surviving Corporation having an effect of the type referred to in Section 6.1(g). Each of Morgan and Chase will promptly cooperate with and furnish information to the other in connection with any such efforts by, or requirement imposed upon, any of them or any of their Subsidiaries in connection with the foregoing.</w:t>
      </w:r>
    </w:p>
    <w:p>
      <w:pPr>
        <w:spacing w:after="0" w:line="194" w:lineRule="exact"/>
        <w:rPr>
          <w:sz w:val="20"/>
          <w:szCs w:val="20"/>
          <w:color w:val="auto"/>
        </w:rPr>
      </w:pPr>
    </w:p>
    <w:p>
      <w:pPr>
        <w:ind w:right="2539" w:firstLine="1728"/>
        <w:spacing w:after="0" w:line="244" w:lineRule="auto"/>
        <w:tabs>
          <w:tab w:leader="none" w:pos="2114" w:val="left"/>
        </w:tabs>
        <w:numPr>
          <w:ilvl w:val="0"/>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Chase agrees to execute and deliver, or cause to be executed and delivered by or on behalf of the Surviving Corporation, at or prior to the Effective Time, supplemental indentures and other instruments required for the due assumption of Morgan's outstanding debt and other securities to the extent required by the terms of such securities and the instruments and agreements relating thereto.</w:t>
      </w:r>
    </w:p>
    <w:p>
      <w:pPr>
        <w:spacing w:after="0" w:line="187" w:lineRule="exact"/>
        <w:rPr>
          <w:rFonts w:ascii="Courier New" w:cs="Courier New" w:eastAsia="Courier New" w:hAnsi="Courier New"/>
          <w:sz w:val="16"/>
          <w:szCs w:val="16"/>
          <w:color w:val="auto"/>
        </w:rPr>
      </w:pPr>
    </w:p>
    <w:p>
      <w:pPr>
        <w:ind w:right="2539" w:firstLine="1728"/>
        <w:spacing w:after="0" w:line="244" w:lineRule="auto"/>
        <w:tabs>
          <w:tab w:leader="none" w:pos="2114" w:val="left"/>
        </w:tabs>
        <w:numPr>
          <w:ilvl w:val="0"/>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of Morgan and Chase and their respective Boards of Directors shall, if any state takeover statute or similar statute becomes applicable to this Agreement, the Merger, the Stock Option Agreements or any other transactions contemplated hereby or thereby, use all reasonable best efforts to ensure that the Merger and the other transactions contemplated by this Agreement and the Stock Option Agreements may be consummated as promptly as practicable on the terms contemplated hereby or thereby and otherwise to minimize the effect of such statute or regulation on this Agreement, the Merger, the Stock Option Agreements and the other transactions contemplated hereby or thereby.</w:t>
      </w:r>
    </w:p>
    <w:p>
      <w:pPr>
        <w:spacing w:after="0" w:line="190" w:lineRule="exact"/>
        <w:rPr>
          <w:sz w:val="20"/>
          <w:szCs w:val="20"/>
          <w:color w:val="auto"/>
        </w:rPr>
      </w:pPr>
    </w:p>
    <w:p>
      <w:pPr>
        <w:ind w:right="2539" w:firstLine="865"/>
        <w:spacing w:after="0" w:line="244" w:lineRule="auto"/>
        <w:rPr>
          <w:sz w:val="20"/>
          <w:szCs w:val="20"/>
          <w:color w:val="auto"/>
        </w:rPr>
      </w:pPr>
      <w:r>
        <w:rPr>
          <w:rFonts w:ascii="Courier New" w:cs="Courier New" w:eastAsia="Courier New" w:hAnsi="Courier New"/>
          <w:sz w:val="16"/>
          <w:szCs w:val="16"/>
          <w:color w:val="auto"/>
        </w:rPr>
        <w:t>5.4. Acquisition Proposals. (a) Chase and Morgan each agrees that neither it nor any of its Subsidiaries nor any of the officers and directors of it or its Subsidiaries shall, and that it shall use its reasonable best efforts to cause its and its Subsidiaries' employees, agents and representatives (including any investment banker, attorney or accountant retained by it or any of its Subsidiaries) not to, directly or indirectly, (i) initiate, solicit, encourage or knowingly facilitate any inquiries or the making of any proposal or offer with respect to, or a transaction to effect, a merger, reorganization, share exchange, consolidation, business combination, recapitalization, liquidation, dissolution or similar transaction involving it or any of its Significant Subsidiaries (other than any such transaction permitted by Section 4.1(e) in the case of Morgan, and Section 4.2(e) in the case of Chase) or any purchase or sale of 20% or more of the consolidated assets (including, without limitation, stock of its Subsidiaries) of it and its Subsidiaries, taken as a whole, or any purchase or sale of, or tender or exchange offer for, its</w:t>
      </w:r>
    </w:p>
    <w:p>
      <w:pPr>
        <w:sectPr>
          <w:pgSz w:w="11900" w:h="16838" w:orient="portrait"/>
          <w:cols w:equalWidth="0" w:num="1">
            <w:col w:w="10219"/>
          </w:cols>
          <w:pgMar w:left="240" w:top="300" w:right="1440" w:bottom="1440" w:gutter="0" w:footer="0" w:header="0"/>
        </w:sectPr>
      </w:pPr>
    </w:p>
    <w:bookmarkStart w:id="49" w:name="page50"/>
    <w:bookmarkEnd w:id="49"/>
    <w:p>
      <w:pPr>
        <w:ind w:left="280"/>
        <w:spacing w:after="0"/>
        <w:rPr>
          <w:sz w:val="20"/>
          <w:szCs w:val="20"/>
          <w:color w:val="auto"/>
        </w:rPr>
      </w:pPr>
      <w:r>
        <w:rPr>
          <w:rFonts w:ascii="Courier New" w:cs="Courier New" w:eastAsia="Courier New" w:hAnsi="Courier New"/>
          <w:sz w:val="16"/>
          <w:szCs w:val="16"/>
          <w:color w:val="auto"/>
        </w:rPr>
        <w:t>45</w:t>
      </w:r>
    </w:p>
    <w:p>
      <w:pPr>
        <w:spacing w:after="0" w:line="5"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voting securities that, if consummated, would result in any person (or the stockholders of such person) beneficially owning securities representing 20% or more of its total voting power (or of the surviving parent entity in such transaction) or any of its Significant Subsidiaries (any such proposal, offer or transaction (other than a proposal or offer made by the other party to this Agreement or an affiliate thereof) being hereinafter referred to as an "Acquisition Proposal"), (ii) have any discussions with or provide any confidential information or data to any person relating to an Acquisition Proposal, or engage in any negotiations concerning an Acquisition Proposal, or knowingly facilitate any effort or attempt to make or implement an Acquisition Proposal, (iii) approve or recommend, or propose publicly to approve or recommend, any Acquisition Proposal or (iv) approve or recommend, or propose to approve or recommend, or execute or enter into, any letter of intent, agreement in principle, merger agreement, asset purchase or share exchange agreement, option agreement or other similar agreement related to any Acquisition Proposal or propose or agree to do any of the foregoing.</w:t>
      </w:r>
    </w:p>
    <w:p>
      <w:pPr>
        <w:spacing w:after="0" w:line="193" w:lineRule="exact"/>
        <w:rPr>
          <w:sz w:val="20"/>
          <w:szCs w:val="20"/>
          <w:color w:val="auto"/>
        </w:rPr>
      </w:pPr>
    </w:p>
    <w:p>
      <w:pPr>
        <w:ind w:right="2539" w:firstLine="1728"/>
        <w:spacing w:after="0" w:line="262" w:lineRule="auto"/>
        <w:tabs>
          <w:tab w:leader="none" w:pos="2114" w:val="left"/>
        </w:tabs>
        <w:numPr>
          <w:ilvl w:val="1"/>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anything in this Agreement to the contrary, either party to this Agreement or its respective Board of Directors shall be permitted to (A) to the extent applicable, comply with Rule 14d-9 and Rule 14e-2 promulgated under the Exchange Act with regard to an Acquisition Proposal, (B) effect a Change in Morgan Recommendation or a Change in Chase Recommendation (as applicable, a "Change in Recommendation"), or (C) engage in any discussions or negotiations with, or provide any confidential information or data to, any person in response to an unsolicited bona fide written Acquisition Proposal by any such person first made after the date of this Agreement, if and only to the extent that, in any such case referred to in clause (B) or (C):</w:t>
      </w:r>
    </w:p>
    <w:p>
      <w:pPr>
        <w:spacing w:after="0" w:line="175" w:lineRule="exact"/>
        <w:rPr>
          <w:rFonts w:ascii="Courier New" w:cs="Courier New" w:eastAsia="Courier New" w:hAnsi="Courier New"/>
          <w:sz w:val="15"/>
          <w:szCs w:val="15"/>
          <w:color w:val="auto"/>
        </w:rPr>
      </w:pPr>
    </w:p>
    <w:p>
      <w:pPr>
        <w:ind w:left="1820" w:hanging="380"/>
        <w:spacing w:after="0"/>
        <w:tabs>
          <w:tab w:leader="none" w:pos="1820"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party's stockholders meeting to vote on the adoption</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of this Agreement shall not have occurred,</w:t>
      </w:r>
    </w:p>
    <w:p>
      <w:pPr>
        <w:spacing w:after="0" w:line="190" w:lineRule="exact"/>
        <w:rPr>
          <w:sz w:val="20"/>
          <w:szCs w:val="20"/>
          <w:color w:val="auto"/>
        </w:rPr>
      </w:pPr>
    </w:p>
    <w:p>
      <w:pPr>
        <w:ind w:left="860" w:right="3199" w:firstLine="580"/>
        <w:spacing w:after="0" w:line="242" w:lineRule="auto"/>
        <w:tabs>
          <w:tab w:leader="none" w:pos="1917"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party has complied in all material respects with this Section 5.4,</w:t>
      </w:r>
    </w:p>
    <w:p>
      <w:pPr>
        <w:spacing w:after="0" w:line="188" w:lineRule="exact"/>
        <w:rPr>
          <w:rFonts w:ascii="Courier New" w:cs="Courier New" w:eastAsia="Courier New" w:hAnsi="Courier New"/>
          <w:sz w:val="16"/>
          <w:szCs w:val="16"/>
          <w:color w:val="auto"/>
        </w:rPr>
      </w:pPr>
    </w:p>
    <w:p>
      <w:pPr>
        <w:ind w:left="860" w:right="2539" w:firstLine="580"/>
        <w:spacing w:after="0" w:line="243" w:lineRule="auto"/>
        <w:tabs>
          <w:tab w:leader="none" w:pos="2013"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its Board of Directors, after consultation with outside counsel, determines in good faith that failure to take such action would likely be inconsistent with its fiduciary duties under applicable law,</w:t>
      </w:r>
    </w:p>
    <w:p>
      <w:pPr>
        <w:spacing w:after="0" w:line="189" w:lineRule="exact"/>
        <w:rPr>
          <w:rFonts w:ascii="Courier New" w:cs="Courier New" w:eastAsia="Courier New" w:hAnsi="Courier New"/>
          <w:sz w:val="16"/>
          <w:szCs w:val="16"/>
          <w:color w:val="auto"/>
        </w:rPr>
      </w:pPr>
    </w:p>
    <w:p>
      <w:pPr>
        <w:ind w:left="860" w:right="2539" w:firstLine="580"/>
        <w:spacing w:after="0" w:line="244" w:lineRule="auto"/>
        <w:tabs>
          <w:tab w:leader="none" w:pos="1917"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case only of clause (B) above, (I) it has received an unsolicited bona fide written Acquisition Proposal from a third party and its Board of Directors concludes in good faith that such Acquisition Proposal constitutes a Superior Proposal (as defined below) (after giving effect to all of the concessions which may be offered by the other party to this Agreement pursuant to clause (III) below), (II) it has notified the other party to this Agreement, at least five business days in advance, of its intention to effect a Change in Recommendation, specifying the material terms and conditions of such Superior Proposal and furnishing to the other party to this Agreement a copy of any relevant proposed transaction agreements with the party making such Superior Proposal and any other material documents received by it or its representatives, and (III) prior to effecting such a Change in Recommendation, it has, and has caused its financial and legal advisors to, negotiate with the other party to this Agreement in good faith to make such adjustments in the terms and conditions of this Agreement such that such Acquisition Proposal would no longer constitute a Superior Proposal,</w:t>
      </w:r>
    </w:p>
    <w:p>
      <w:pPr>
        <w:sectPr>
          <w:pgSz w:w="11900" w:h="16838" w:orient="portrait"/>
          <w:cols w:equalWidth="0" w:num="1">
            <w:col w:w="10219"/>
          </w:cols>
          <w:pgMar w:left="240" w:top="300" w:right="1440" w:bottom="1440" w:gutter="0" w:footer="0" w:header="0"/>
        </w:sectPr>
      </w:pPr>
    </w:p>
    <w:bookmarkStart w:id="50" w:name="page51"/>
    <w:bookmarkEnd w:id="50"/>
    <w:p>
      <w:pPr>
        <w:spacing w:after="0"/>
        <w:rPr>
          <w:sz w:val="20"/>
          <w:szCs w:val="20"/>
          <w:color w:val="auto"/>
        </w:rPr>
      </w:pPr>
      <w:r>
        <w:rPr>
          <w:rFonts w:ascii="Courier New" w:cs="Courier New" w:eastAsia="Courier New" w:hAnsi="Courier New"/>
          <w:sz w:val="16"/>
          <w:szCs w:val="16"/>
          <w:color w:val="auto"/>
        </w:rPr>
        <w:t>46</w:t>
      </w:r>
    </w:p>
    <w:p>
      <w:pPr>
        <w:spacing w:after="0" w:line="5" w:lineRule="exact"/>
        <w:rPr>
          <w:sz w:val="20"/>
          <w:szCs w:val="20"/>
          <w:color w:val="auto"/>
        </w:rPr>
      </w:pPr>
    </w:p>
    <w:p>
      <w:pPr>
        <w:ind w:left="580" w:right="2539" w:firstLine="580"/>
        <w:spacing w:after="0" w:line="244" w:lineRule="auto"/>
        <w:tabs>
          <w:tab w:leader="none" w:pos="1541" w:val="left"/>
        </w:tabs>
        <w:numPr>
          <w:ilvl w:val="0"/>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case only of clause (C) above, its Board of Directors concludes in good faith that there is a reasonable likelihood that such Acquisition Proposal constitutes or is reasonably likely to result in a Superior Proposal, and prior to providing any information or data to any person in connection with an Acquisition Proposal by any such person, its Board of Directors receives from such person an executed confidentiality agreement having provisions that are no less favorable to the party providing such information than those contained in the Confidentiality Agreement, and</w:t>
      </w:r>
    </w:p>
    <w:p>
      <w:pPr>
        <w:spacing w:after="0" w:line="189" w:lineRule="exact"/>
        <w:rPr>
          <w:rFonts w:ascii="Courier New" w:cs="Courier New" w:eastAsia="Courier New" w:hAnsi="Courier New"/>
          <w:sz w:val="16"/>
          <w:szCs w:val="16"/>
          <w:color w:val="auto"/>
        </w:rPr>
      </w:pPr>
    </w:p>
    <w:p>
      <w:pPr>
        <w:ind w:left="580" w:right="2539" w:firstLine="580"/>
        <w:spacing w:after="0" w:line="244" w:lineRule="auto"/>
        <w:tabs>
          <w:tab w:leader="none" w:pos="1637" w:val="left"/>
        </w:tabs>
        <w:numPr>
          <w:ilvl w:val="0"/>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it notifies the other party to this Agreement as promptly as practicable (and in any event within 24 hours of providing any confidential information or data to any person or entering into discussions or negotiations with any person), of such inquiries, proposals or offers received by, any such information requested from, or any such discussions or negotiations sought to be initiated or continued with, it or any of its representatives indicating, in connection with such notice, the identity of such person and the material terms and conditions of any inquiries, proposals or offers (including a copy thereof if in writing and any related available documentation or correspondence). Each of Chase and Morgan agrees that it will promptly keep the other party informed of the status and terms of any such proposals or offers and the status and terms of any such discussions or negotiations.</w:t>
      </w:r>
    </w:p>
    <w:p>
      <w:pPr>
        <w:spacing w:after="0" w:line="191" w:lineRule="exact"/>
        <w:rPr>
          <w:rFonts w:ascii="Courier New" w:cs="Courier New" w:eastAsia="Courier New" w:hAnsi="Courier New"/>
          <w:sz w:val="16"/>
          <w:szCs w:val="16"/>
          <w:color w:val="auto"/>
        </w:rPr>
      </w:pPr>
    </w:p>
    <w:p>
      <w:pPr>
        <w:ind w:left="-280" w:right="2539" w:firstLine="1728"/>
        <w:spacing w:after="0" w:line="262" w:lineRule="auto"/>
        <w:tabs>
          <w:tab w:leader="none" w:pos="1834" w:val="left"/>
        </w:tabs>
        <w:numPr>
          <w:ilvl w:val="1"/>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of Chase and Morgan agrees that (i) it will, and will cause its officers, directors and representatives to, immediately cease and cause to be terminated any activities, discussions or negotiations existing as of the date of this Agreement with any parties conducted heretofore with respect to any Acquisition Proposal, (ii) it will immediately cease and cause its Subsidiaries, and its and their officers, directors, agents, representatives and advisors, to cease any and all existing activities, discussions or negotiations with any third parties conducted heretofore with respect to any Acquisition Proposal, and (iii) it will not release any third party from, or waive any provisions of, any confidentiality or standstill agreement to which it or any of its Subsidiaries is a party with respect to any Acquisition Proposal. Each of Chase and Morgan agrees that it will use reasonable best efforts to promptly inform its respective directors, officers, key employees, agents and representatives of the obligations undertaken in this Section 5.4.</w:t>
      </w:r>
    </w:p>
    <w:p>
      <w:pPr>
        <w:spacing w:after="0" w:line="360" w:lineRule="exact"/>
        <w:rPr>
          <w:rFonts w:ascii="Courier New" w:cs="Courier New" w:eastAsia="Courier New" w:hAnsi="Courier New"/>
          <w:sz w:val="15"/>
          <w:szCs w:val="15"/>
          <w:color w:val="auto"/>
        </w:rPr>
      </w:pPr>
    </w:p>
    <w:p>
      <w:pPr>
        <w:ind w:left="-280" w:right="2539" w:firstLine="1728"/>
        <w:spacing w:after="0" w:line="243" w:lineRule="auto"/>
        <w:tabs>
          <w:tab w:leader="none" w:pos="1834" w:val="left"/>
        </w:tabs>
        <w:numPr>
          <w:ilvl w:val="1"/>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Nothing in this Section 5.4 shall (x) permit either party to terminate this Agreement or (y) affect any other obligation of the parties under this Agreement. Neither party shall submit to the vote of its stockholders any Acquisition Proposal other than the Merger.</w:t>
      </w:r>
    </w:p>
    <w:p>
      <w:pPr>
        <w:spacing w:after="0" w:line="189" w:lineRule="exact"/>
        <w:rPr>
          <w:rFonts w:ascii="Courier New" w:cs="Courier New" w:eastAsia="Courier New" w:hAnsi="Courier New"/>
          <w:sz w:val="16"/>
          <w:szCs w:val="16"/>
          <w:color w:val="auto"/>
        </w:rPr>
      </w:pPr>
    </w:p>
    <w:p>
      <w:pPr>
        <w:ind w:left="-280" w:right="2639" w:firstLine="1728"/>
        <w:spacing w:after="0" w:line="262" w:lineRule="auto"/>
        <w:tabs>
          <w:tab w:leader="none" w:pos="1834" w:val="left"/>
        </w:tabs>
        <w:numPr>
          <w:ilvl w:val="1"/>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this Agreement, "Superior Proposal" means a bona fide written Acquisition Proposal which the Board of Directors of Chase or Morgan, as the case may be, concludes in good faith, after consultation with its financial advisors and legal advisors, taking into account all legal, financial, regulatory and other aspects of the proposal and the person making the proposal (including any break-up fees, expense reimbursement provisions and conditions to consummation), (i) is more favorable to the stockholders of Chase or Morgan, as the case may be, from a financial point of view, than the transactions contemplated by this Agreement and (ii) is fully financed or reasonably capable of being fully financed and otherwise reasonably capable of being completed on the terms proposed; provided that, for purposes of this definition of "Superior Proposal," the term Acquisition Proposal shall have the meaning assigned to such term in Section 5.4(a), except that the reference to "20% or more" in the definition of "Acquisition Proposal" shall be deemed to be a reference to "a majority" and "Acquisition</w:t>
      </w:r>
    </w:p>
    <w:p>
      <w:pPr>
        <w:sectPr>
          <w:pgSz w:w="11900" w:h="16838" w:orient="portrait"/>
          <w:cols w:equalWidth="0" w:num="1">
            <w:col w:w="9939"/>
          </w:cols>
          <w:pgMar w:left="520" w:top="300" w:right="1440" w:bottom="1440" w:gutter="0" w:footer="0" w:header="0"/>
        </w:sectPr>
      </w:pPr>
    </w:p>
    <w:bookmarkStart w:id="51" w:name="page52"/>
    <w:bookmarkEnd w:id="51"/>
    <w:p>
      <w:pPr>
        <w:ind w:left="281"/>
        <w:spacing w:after="0"/>
        <w:rPr>
          <w:sz w:val="20"/>
          <w:szCs w:val="20"/>
          <w:color w:val="auto"/>
        </w:rPr>
      </w:pPr>
      <w:r>
        <w:rPr>
          <w:rFonts w:ascii="Courier New" w:cs="Courier New" w:eastAsia="Courier New" w:hAnsi="Courier New"/>
          <w:sz w:val="16"/>
          <w:szCs w:val="16"/>
          <w:color w:val="auto"/>
        </w:rPr>
        <w:t>47</w:t>
      </w:r>
    </w:p>
    <w:p>
      <w:pPr>
        <w:spacing w:after="0" w:line="5" w:lineRule="exact"/>
        <w:rPr>
          <w:sz w:val="20"/>
          <w:szCs w:val="20"/>
          <w:color w:val="auto"/>
        </w:rPr>
      </w:pPr>
    </w:p>
    <w:p>
      <w:pPr>
        <w:ind w:left="1" w:right="3199"/>
        <w:spacing w:after="0" w:line="242" w:lineRule="auto"/>
        <w:rPr>
          <w:sz w:val="20"/>
          <w:szCs w:val="20"/>
          <w:color w:val="auto"/>
        </w:rPr>
      </w:pPr>
      <w:r>
        <w:rPr>
          <w:rFonts w:ascii="Courier New" w:cs="Courier New" w:eastAsia="Courier New" w:hAnsi="Courier New"/>
          <w:sz w:val="16"/>
          <w:szCs w:val="16"/>
          <w:color w:val="auto"/>
        </w:rPr>
        <w:t>Proposal" shall only be deemed to refer to a transaction involving voting securities of Chase or Morgan, as the case may be.</w:t>
      </w:r>
    </w:p>
    <w:p>
      <w:pPr>
        <w:spacing w:after="0" w:line="189" w:lineRule="exact"/>
        <w:rPr>
          <w:sz w:val="20"/>
          <w:szCs w:val="20"/>
          <w:color w:val="auto"/>
        </w:rPr>
      </w:pPr>
    </w:p>
    <w:p>
      <w:pPr>
        <w:ind w:left="1" w:right="2639" w:firstLine="1728"/>
        <w:spacing w:after="0" w:line="244" w:lineRule="auto"/>
        <w:tabs>
          <w:tab w:leader="none" w:pos="2115" w:val="left"/>
        </w:tabs>
        <w:numPr>
          <w:ilvl w:val="0"/>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disclosure (other than a "stop, look and listen" or similar communication of the type contemplated by Rule 14-9(f) under the Exchange Act) made pursuant to clause (A) of Section 5.4(b) shall be deemed to be a Change in Recommendation unless the Board of Directors of the party making such disclosure expressly reaffirms the Morgan Recommendation or Chase Recommendation, as the case may be.</w:t>
      </w:r>
    </w:p>
    <w:p>
      <w:pPr>
        <w:spacing w:after="0" w:line="188" w:lineRule="exact"/>
        <w:rPr>
          <w:sz w:val="20"/>
          <w:szCs w:val="20"/>
          <w:color w:val="auto"/>
        </w:rPr>
      </w:pPr>
    </w:p>
    <w:p>
      <w:pPr>
        <w:ind w:left="1" w:right="2539" w:firstLine="865"/>
        <w:spacing w:after="0" w:line="260" w:lineRule="auto"/>
        <w:rPr>
          <w:sz w:val="20"/>
          <w:szCs w:val="20"/>
          <w:color w:val="auto"/>
        </w:rPr>
      </w:pPr>
      <w:r>
        <w:rPr>
          <w:rFonts w:ascii="Courier New" w:cs="Courier New" w:eastAsia="Courier New" w:hAnsi="Courier New"/>
          <w:sz w:val="15"/>
          <w:szCs w:val="15"/>
          <w:color w:val="auto"/>
        </w:rPr>
        <w:t>5.5. Affiliates. At least 45 days prior to the Closing Date, Morgan shall deliver to Chase a letter identifying all persons who are, at the time this Agreement is submitted for approval to the Morgan Stockholders Meeting, "affiliates" of Morgan for purposes of Rule 145 under the Securities Act and/or Accounting Series Releases 130 and 135 of the SEC, and Chase shall deliver to Morgan a letter identifying all persons who are, at the time this Agreement is submitted for approval to the Chase Stockholders Meeting, "affiliates" of Chase for purposes of such Accounting Series Releases. Each of Chase and Morgan shall use all reasonable efforts to cause each person named in the letter delivered by it to deliver to the other party at least 30 days prior to the Closing Date a written agreement, substantially in the form attached as Exhibits 5.5(a)(i) and</w:t>
      </w:r>
    </w:p>
    <w:p>
      <w:pPr>
        <w:spacing w:after="0" w:line="8" w:lineRule="exact"/>
        <w:rPr>
          <w:sz w:val="20"/>
          <w:szCs w:val="20"/>
          <w:color w:val="auto"/>
        </w:rPr>
      </w:pPr>
    </w:p>
    <w:p>
      <w:pPr>
        <w:ind w:left="1" w:right="2539" w:hanging="1"/>
        <w:spacing w:after="0" w:line="242" w:lineRule="auto"/>
        <w:tabs>
          <w:tab w:leader="none" w:pos="482" w:val="left"/>
        </w:tabs>
        <w:numPr>
          <w:ilvl w:val="0"/>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case of persons named in the letter delivered by Morgan) or Exhibit 5.5(b) (in the case of persons named in the letter delivered by Chase).</w:t>
      </w:r>
    </w:p>
    <w:p>
      <w:pPr>
        <w:spacing w:after="0" w:line="189" w:lineRule="exact"/>
        <w:rPr>
          <w:sz w:val="20"/>
          <w:szCs w:val="20"/>
          <w:color w:val="auto"/>
        </w:rPr>
      </w:pPr>
    </w:p>
    <w:p>
      <w:pPr>
        <w:ind w:left="1" w:right="2539" w:firstLine="865"/>
        <w:spacing w:after="0" w:line="244" w:lineRule="auto"/>
        <w:rPr>
          <w:sz w:val="20"/>
          <w:szCs w:val="20"/>
          <w:color w:val="auto"/>
        </w:rPr>
      </w:pPr>
      <w:r>
        <w:rPr>
          <w:rFonts w:ascii="Courier New" w:cs="Courier New" w:eastAsia="Courier New" w:hAnsi="Courier New"/>
          <w:sz w:val="16"/>
          <w:szCs w:val="16"/>
          <w:color w:val="auto"/>
        </w:rPr>
        <w:t>5.6. Stock Exchange Listing. Chase shall use all reasonable efforts to cause (i) the shares of Chase Common Stock to be issued in the Merger, (ii) the shares of Chase Common Stock to be reserved for issuance upon exercise of Morgan Stock Options (as defined below), and (iii) the shares of Chase Merger Preferred Stock to be issued in the Merger in exchange for the Morgan Series A Preferred Stock and the Morgan Series H Preferred Stock (or depositary shares in respect thereof), each to be approved for listing on the NYSE, subject to official notice of issuance, prior to the Closing Date.</w:t>
      </w:r>
    </w:p>
    <w:p>
      <w:pPr>
        <w:spacing w:after="0" w:line="189" w:lineRule="exact"/>
        <w:rPr>
          <w:sz w:val="20"/>
          <w:szCs w:val="20"/>
          <w:color w:val="auto"/>
        </w:rPr>
      </w:pPr>
    </w:p>
    <w:p>
      <w:pPr>
        <w:ind w:left="1" w:right="2539" w:firstLine="865"/>
        <w:spacing w:after="0" w:line="244" w:lineRule="auto"/>
        <w:rPr>
          <w:sz w:val="20"/>
          <w:szCs w:val="20"/>
          <w:color w:val="auto"/>
        </w:rPr>
      </w:pPr>
      <w:r>
        <w:rPr>
          <w:rFonts w:ascii="Courier New" w:cs="Courier New" w:eastAsia="Courier New" w:hAnsi="Courier New"/>
          <w:sz w:val="16"/>
          <w:szCs w:val="16"/>
          <w:color w:val="auto"/>
        </w:rPr>
        <w:t>5.7. Employee Benefit Plans. (a) Chase and Morgan agree that, unless otherwise mutually determined, the Chase Benefit Plans and Morgan Benefit Plans in effect at the date of this Agreement shall remain in effect after the Effective Time with respect to employees covered by such plans at the Effective Time, and the parties shall negotiate in good faith to formulate Benefit Plans for the Surviving Corporation and its Subsidiaries, with respect both to employees who were covered by the Chase Benefit Plans and Morgan Benefit Plans at the Effective Time and employees who were not covered by such plans at the Effective Time, that provide benefits for services after the Effective Time on a basis that does not discriminate between employees who were covered by the Chase Benefit Plans and employees who were covered by the Morgan Benefit Plans.</w:t>
      </w:r>
    </w:p>
    <w:p>
      <w:pPr>
        <w:spacing w:after="0" w:line="190" w:lineRule="exact"/>
        <w:rPr>
          <w:sz w:val="20"/>
          <w:szCs w:val="20"/>
          <w:color w:val="auto"/>
        </w:rPr>
      </w:pPr>
    </w:p>
    <w:p>
      <w:pPr>
        <w:ind w:left="1" w:right="2719" w:firstLine="1728"/>
        <w:spacing w:after="0" w:line="243" w:lineRule="auto"/>
        <w:tabs>
          <w:tab w:leader="none" w:pos="2115" w:val="left"/>
        </w:tabs>
        <w:numPr>
          <w:ilvl w:val="0"/>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otherwise provided in Section 5.8, in the case of Morgan Benefit Plans under which the employees' interests are based upon Morgan Common Stock, Chase and Morgan agree that such interests shall be based on Chase Common Stock in an equitable manner.</w:t>
      </w:r>
    </w:p>
    <w:p>
      <w:pPr>
        <w:spacing w:after="0" w:line="189" w:lineRule="exact"/>
        <w:rPr>
          <w:rFonts w:ascii="Courier New" w:cs="Courier New" w:eastAsia="Courier New" w:hAnsi="Courier New"/>
          <w:sz w:val="16"/>
          <w:szCs w:val="16"/>
          <w:color w:val="auto"/>
        </w:rPr>
      </w:pPr>
    </w:p>
    <w:p>
      <w:pPr>
        <w:ind w:left="1" w:right="2539" w:firstLine="1728"/>
        <w:spacing w:after="0" w:line="244" w:lineRule="auto"/>
        <w:tabs>
          <w:tab w:leader="none" w:pos="2115" w:val="left"/>
        </w:tabs>
        <w:numPr>
          <w:ilvl w:val="0"/>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 respect to Benefit Plans maintained or contributed to outside the United States for the benefit of non-United States citizens or residents, the principles set forth in the preceding paragraphs of this Section 5.7 shall apply to the extent the application of such principles does not violate applicable foreign law.</w:t>
      </w:r>
    </w:p>
    <w:p>
      <w:pPr>
        <w:sectPr>
          <w:pgSz w:w="11900" w:h="16838" w:orient="portrait"/>
          <w:cols w:equalWidth="0" w:num="1">
            <w:col w:w="10221"/>
          </w:cols>
          <w:pgMar w:left="239" w:top="300" w:right="1440" w:bottom="1440" w:gutter="0" w:footer="0" w:header="0"/>
        </w:sectPr>
      </w:pPr>
    </w:p>
    <w:bookmarkStart w:id="52" w:name="page53"/>
    <w:bookmarkEnd w:id="52"/>
    <w:p>
      <w:pPr>
        <w:ind w:left="281"/>
        <w:spacing w:after="0"/>
        <w:rPr>
          <w:sz w:val="20"/>
          <w:szCs w:val="20"/>
          <w:color w:val="auto"/>
        </w:rPr>
      </w:pPr>
      <w:r>
        <w:rPr>
          <w:rFonts w:ascii="Courier New" w:cs="Courier New" w:eastAsia="Courier New" w:hAnsi="Courier New"/>
          <w:sz w:val="16"/>
          <w:szCs w:val="16"/>
          <w:color w:val="auto"/>
        </w:rPr>
        <w:t>48</w:t>
      </w:r>
    </w:p>
    <w:p>
      <w:pPr>
        <w:spacing w:after="0" w:line="5" w:lineRule="exact"/>
        <w:rPr>
          <w:sz w:val="20"/>
          <w:szCs w:val="20"/>
          <w:color w:val="auto"/>
        </w:rPr>
      </w:pPr>
    </w:p>
    <w:p>
      <w:pPr>
        <w:ind w:left="1" w:right="2539" w:firstLine="865"/>
        <w:spacing w:after="0" w:line="260" w:lineRule="auto"/>
        <w:rPr>
          <w:sz w:val="20"/>
          <w:szCs w:val="20"/>
          <w:color w:val="auto"/>
        </w:rPr>
      </w:pPr>
      <w:r>
        <w:rPr>
          <w:rFonts w:ascii="Courier New" w:cs="Courier New" w:eastAsia="Courier New" w:hAnsi="Courier New"/>
          <w:sz w:val="15"/>
          <w:szCs w:val="15"/>
          <w:color w:val="auto"/>
        </w:rPr>
        <w:t>5.8. Stock Options, SARs and Restricted Stock Units. At the Effective Time, each outstanding option to purchase shares of Morgan Common Stock (a "Morgan Stock Option") and each outstanding stock appreciation right (a "Morgan SAR") or restricted stock unit (a "Morgan Unit") issued pursuant to any Morgan Stock Plan, whether vested or unvested, shall be assumed by Chase. Each Morgan Stock Option shall be deemed to constitute an option to acquire, on the same terms and conditions as were applicable under such Morgan Stock Option, the same number of shares of Chase Common Stock as the holder of such Morgan Stock Option would have been entitled to receive pursuant to the Merger had such holder exercised such option in full immediately prior to the Effective Time, rounded, if necessary, down, to the nearest whole share, at a price per share equal to</w:t>
      </w:r>
    </w:p>
    <w:p>
      <w:pPr>
        <w:spacing w:after="0" w:line="8" w:lineRule="exact"/>
        <w:rPr>
          <w:sz w:val="20"/>
          <w:szCs w:val="20"/>
          <w:color w:val="auto"/>
        </w:rPr>
      </w:pPr>
    </w:p>
    <w:p>
      <w:pPr>
        <w:ind w:left="1" w:right="2539" w:hanging="1"/>
        <w:spacing w:after="0" w:line="244" w:lineRule="auto"/>
        <w:tabs>
          <w:tab w:leader="none" w:pos="386" w:val="left"/>
        </w:tabs>
        <w:numPr>
          <w:ilvl w:val="0"/>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exercise price per share of the shares of Morgan Common Stock otherwise purchasable pursuant to such Morgan Stock Option divided by (z) the Exchange Ratio; provided, however, that in the case of any option to which section 421 of the Code applies by reason of its qualification under section 422 of the Code ("incentive stock options"), the option price, the number of shares purchasable pursuant to such option and the terms and conditions of exercise of such option shall be determined in accordance with the method set forth above unless use of such method will not preserve the status of such options as incentive stock options, in which case the manner of determination shall be adjusted in a manner that both complies with Section 424(a) of the Code and results in the smallest modification in the economic values that otherwise would be achieved by the holder pursuant to the method set forth above; and provided further, that notwithstanding any other provisions of this Section 5.8(a), if use of the above methods would disqualify the Merger as a "pooling of interests" for financial accounting purposes, then such methods will be adjusted to the extent necessary to preserve such accounting treatment.</w:t>
      </w:r>
    </w:p>
    <w:p>
      <w:pPr>
        <w:spacing w:after="0" w:line="192" w:lineRule="exact"/>
        <w:rPr>
          <w:rFonts w:ascii="Courier New" w:cs="Courier New" w:eastAsia="Courier New" w:hAnsi="Courier New"/>
          <w:sz w:val="16"/>
          <w:szCs w:val="16"/>
          <w:color w:val="auto"/>
        </w:rPr>
      </w:pPr>
    </w:p>
    <w:p>
      <w:pPr>
        <w:ind w:left="1" w:right="2719" w:firstLine="1728"/>
        <w:spacing w:after="0" w:line="244" w:lineRule="auto"/>
        <w:tabs>
          <w:tab w:leader="none" w:pos="2115" w:val="left"/>
        </w:tabs>
        <w:numPr>
          <w:ilvl w:val="1"/>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holder of a Morgan SAR shall be entitled to that number of stock appreciation rights of Chase ("Chase SARs"), determined in the same manner as set forth above with respect to Morgan Stock Options assumed by Chase. Each holder of a Morgan Unit shall be entitled to that number of restricted stock units of Chase determined by multiplying the number of Morgan Units held by such holder immediately prior to the Effective Time by the Exchange Ratio.</w:t>
      </w:r>
    </w:p>
    <w:p>
      <w:pPr>
        <w:spacing w:after="0" w:line="188" w:lineRule="exact"/>
        <w:rPr>
          <w:rFonts w:ascii="Courier New" w:cs="Courier New" w:eastAsia="Courier New" w:hAnsi="Courier New"/>
          <w:sz w:val="16"/>
          <w:szCs w:val="16"/>
          <w:color w:val="auto"/>
        </w:rPr>
      </w:pPr>
    </w:p>
    <w:p>
      <w:pPr>
        <w:ind w:left="1" w:right="2539" w:firstLine="1728"/>
        <w:spacing w:after="0" w:line="262" w:lineRule="auto"/>
        <w:tabs>
          <w:tab w:leader="none" w:pos="2115" w:val="left"/>
        </w:tabs>
        <w:numPr>
          <w:ilvl w:val="1"/>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soon as practicable after the Effective Time, Chase shall deliver to the holders of Morgan Stock Options, Morgan SARs and Morgan Units appropriate notices setting forth such holders' rights pursuant to the Morgan Stock Plans and the agreements evidencing the grants of such Morgan Stock Options, Morgan SARs or Morgan Units, as the case may be, shall continue in effect on the same terms and conditions (subject to the adjustments required by this Section 5.8 after giving effect to the Merger and the assumption by Chase as set forth above). If necessary, Chase shall comply with the terms of the applicable Morgan Stock Plan and ensure, to the extent required by, and subject to the provisions of, Section 5.8(a) and such Plan, that Morgan Stock Options which qualified as incentive stock options prior to the Effective Time continue to qualify as incentive stock options of Chase after the Effective Time.</w:t>
      </w:r>
    </w:p>
    <w:p>
      <w:pPr>
        <w:spacing w:after="0" w:line="176" w:lineRule="exact"/>
        <w:rPr>
          <w:rFonts w:ascii="Courier New" w:cs="Courier New" w:eastAsia="Courier New" w:hAnsi="Courier New"/>
          <w:sz w:val="15"/>
          <w:szCs w:val="15"/>
          <w:color w:val="auto"/>
        </w:rPr>
      </w:pPr>
    </w:p>
    <w:p>
      <w:pPr>
        <w:ind w:left="1" w:right="2539" w:firstLine="1728"/>
        <w:spacing w:after="0" w:line="244" w:lineRule="auto"/>
        <w:tabs>
          <w:tab w:leader="none" w:pos="2115" w:val="left"/>
        </w:tabs>
        <w:numPr>
          <w:ilvl w:val="1"/>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Chase shall take all corporate action necessary to reserve for issuance a sufficient number of shares of Chase Common Stock for delivery upon exercise of Morgan Stock Options assumed by it in accordance with this Section 5.8. As soon as practicable after the Effective Time, Chase shall file a registration statement on Form S-3 or Form S-8, as the case may be (or any successor or other appropriate forms), with respect to the shares of Chase</w:t>
      </w:r>
    </w:p>
    <w:p>
      <w:pPr>
        <w:sectPr>
          <w:pgSz w:w="11900" w:h="16838" w:orient="portrait"/>
          <w:cols w:equalWidth="0" w:num="1">
            <w:col w:w="10221"/>
          </w:cols>
          <w:pgMar w:left="239" w:top="300" w:right="1440" w:bottom="1440" w:gutter="0" w:footer="0" w:header="0"/>
        </w:sectPr>
      </w:pPr>
    </w:p>
    <w:bookmarkStart w:id="53" w:name="page54"/>
    <w:bookmarkEnd w:id="53"/>
    <w:p>
      <w:pPr>
        <w:ind w:left="280"/>
        <w:spacing w:after="0"/>
        <w:rPr>
          <w:sz w:val="20"/>
          <w:szCs w:val="20"/>
          <w:color w:val="auto"/>
        </w:rPr>
      </w:pPr>
      <w:r>
        <w:rPr>
          <w:rFonts w:ascii="Courier New" w:cs="Courier New" w:eastAsia="Courier New" w:hAnsi="Courier New"/>
          <w:sz w:val="16"/>
          <w:szCs w:val="16"/>
          <w:color w:val="auto"/>
        </w:rPr>
        <w:t>49</w:t>
      </w:r>
    </w:p>
    <w:p>
      <w:pPr>
        <w:spacing w:after="0" w:line="5"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Common Stock subject to such options and shall use its best efforts to maintain the effectiveness of such registration statement or registration statements (and maintain the current status of the prospectus or prospectuses contained therein) for so long as such options remain outstanding. With respect to those individuals who subsequent to the Merger will be subject to the reporting requirements under Section 16(a) of the Exchange Act, where applicable, Chase shall administer the Morgan Stock Plans assumed pursuant to this Section 5.8 in a manner that complies with Rule 16b-3 promulgated under the Exchange Act to the extent the applicable Morgan Stock Plan complied with such rule prior to the Merger.</w:t>
      </w:r>
    </w:p>
    <w:p>
      <w:pPr>
        <w:spacing w:after="0" w:line="190" w:lineRule="exact"/>
        <w:rPr>
          <w:sz w:val="20"/>
          <w:szCs w:val="20"/>
          <w:color w:val="auto"/>
        </w:rPr>
      </w:pPr>
    </w:p>
    <w:p>
      <w:pPr>
        <w:ind w:right="2539" w:firstLine="865"/>
        <w:spacing w:after="0" w:line="244" w:lineRule="auto"/>
        <w:rPr>
          <w:sz w:val="20"/>
          <w:szCs w:val="20"/>
          <w:color w:val="auto"/>
        </w:rPr>
      </w:pPr>
      <w:r>
        <w:rPr>
          <w:rFonts w:ascii="Courier New" w:cs="Courier New" w:eastAsia="Courier New" w:hAnsi="Courier New"/>
          <w:sz w:val="16"/>
          <w:szCs w:val="16"/>
          <w:color w:val="auto"/>
        </w:rPr>
        <w:t>5.9. Fees and Expenses. Whether or not the Merger is consummated, all costs and expenses incurred in connection with this Agreement, the Stock Option Agreements and the transactions contemplated hereby and thereby shall be paid by the party incurring such expense, except as otherwise provided in the Stock Option Agreements or in Section 7.2 hereof and except that (a) if the Merger is consummated, the Surviving Corporation shall pay, or cause to be paid, any and all property or transfer taxes imposed in connection with the Merger, and (b) expenses incurred in connection with filing, printing and mailing the Joint Proxy Statement/Prospectus and the Form S-4 shall be shared equally by Chase and Morgan.</w:t>
      </w:r>
    </w:p>
    <w:p>
      <w:pPr>
        <w:spacing w:after="0" w:line="190" w:lineRule="exact"/>
        <w:rPr>
          <w:sz w:val="20"/>
          <w:szCs w:val="20"/>
          <w:color w:val="auto"/>
        </w:rPr>
      </w:pPr>
    </w:p>
    <w:p>
      <w:pPr>
        <w:ind w:right="2539" w:firstLine="865"/>
        <w:spacing w:after="0" w:line="244" w:lineRule="auto"/>
        <w:rPr>
          <w:sz w:val="20"/>
          <w:szCs w:val="20"/>
          <w:color w:val="auto"/>
        </w:rPr>
      </w:pPr>
      <w:r>
        <w:rPr>
          <w:rFonts w:ascii="Courier New" w:cs="Courier New" w:eastAsia="Courier New" w:hAnsi="Courier New"/>
          <w:sz w:val="16"/>
          <w:szCs w:val="16"/>
          <w:color w:val="auto"/>
        </w:rPr>
        <w:t>5.10. Governance; Name. (a) Following the date of this Agreement, Chase's Board of Directors shall cause the number of directors that will comprise the full Board of Directors of the Surviving Corporation at the Effective Time to be fifteen. Of the members of the initial Board of Directors of the Surviving Corporation at the Effective Time, nine shall be designated by Chase (and shall include the current Chief Executive Officer of Chase) and six shall be designated by Morgan (and shall include the current Chief Executive Officer of Morgan). No other employees of Chase or Morgan shall be designated to serve on the Board of Directors of the Surviving Corporation at the Effective Time. Chase's Board of Directors shall take all necessary action to cause the persons designated pursuant to the second preceding sentence to constitute the full Board of Directors of the Surviving Corporation at the Effective Time, and further to cause one of such designees of Morgan to be appointed to each of the Audit, Governance and Compensation and Benefits Committees of the Board of Directors of the Surviving Corporation promptly following the Effective Time. Chase's Board of Directors shall also take such actions as are necessary to cause the persons indicated in Exhibit 5.10(a) to be elected or appointed to the offices of the Surviving Corporation specified in such Exhibit as of the Effective Time.</w:t>
      </w:r>
    </w:p>
    <w:p>
      <w:pPr>
        <w:spacing w:after="0" w:line="194" w:lineRule="exact"/>
        <w:rPr>
          <w:sz w:val="20"/>
          <w:szCs w:val="20"/>
          <w:color w:val="auto"/>
        </w:rPr>
      </w:pPr>
    </w:p>
    <w:p>
      <w:pPr>
        <w:ind w:right="3199" w:firstLine="1728"/>
        <w:spacing w:after="0" w:line="242" w:lineRule="auto"/>
        <w:tabs>
          <w:tab w:leader="none" w:pos="2114" w:val="left"/>
        </w:tabs>
        <w:numPr>
          <w:ilvl w:val="0"/>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of the Effective Time, the name of the Surviving Corporation shall be J.P. Morgan Chase &amp; Co.</w:t>
      </w:r>
    </w:p>
    <w:p>
      <w:pPr>
        <w:spacing w:after="0" w:line="189" w:lineRule="exact"/>
        <w:rPr>
          <w:sz w:val="20"/>
          <w:szCs w:val="20"/>
          <w:color w:val="auto"/>
        </w:rPr>
      </w:pPr>
    </w:p>
    <w:p>
      <w:pPr>
        <w:ind w:right="2539" w:firstLine="865"/>
        <w:spacing w:after="0" w:line="244" w:lineRule="auto"/>
        <w:rPr>
          <w:sz w:val="20"/>
          <w:szCs w:val="20"/>
          <w:color w:val="auto"/>
        </w:rPr>
      </w:pPr>
      <w:r>
        <w:rPr>
          <w:rFonts w:ascii="Courier New" w:cs="Courier New" w:eastAsia="Courier New" w:hAnsi="Courier New"/>
          <w:sz w:val="16"/>
          <w:szCs w:val="16"/>
          <w:color w:val="auto"/>
        </w:rPr>
        <w:t>5.11. Indemnification; Directors' and Officers' Insurance. (a) From and after the Effective Time, the Surviving Corporation shall indemnify, defend and hold harmless, and provide advancement of expenses to, each person who is now, or has been at any time prior to the date hereof or who becomes prior to the Effective Time, an officer, director or employee of Morgan or any of its Subsidiaries (the "Indemnified Parties") against all losses, claims, damages, costs, expenses, liabilities or judgments or amounts that are paid in settlement of or in connection with any claim, action, suit, proceeding or investigation based in whole or in part on or arising in whole or in part out of the fact that such person is or was a director, officer or employee of Morgan or any Subsidiary of Morgan, and pertaining to any matter existing or occurring, or any acts or omissions occurring, at or prior to the Effective Time, whether asserted or claimed prior</w:t>
      </w:r>
    </w:p>
    <w:p>
      <w:pPr>
        <w:sectPr>
          <w:pgSz w:w="11900" w:h="16838" w:orient="portrait"/>
          <w:cols w:equalWidth="0" w:num="1">
            <w:col w:w="10219"/>
          </w:cols>
          <w:pgMar w:left="240" w:top="300" w:right="1440" w:bottom="1440" w:gutter="0" w:footer="0" w:header="0"/>
        </w:sectPr>
      </w:pPr>
    </w:p>
    <w:bookmarkStart w:id="54" w:name="page55"/>
    <w:bookmarkEnd w:id="54"/>
    <w:p>
      <w:pPr>
        <w:ind w:left="280"/>
        <w:spacing w:after="0"/>
        <w:rPr>
          <w:sz w:val="20"/>
          <w:szCs w:val="20"/>
          <w:color w:val="auto"/>
        </w:rPr>
      </w:pPr>
      <w:r>
        <w:rPr>
          <w:rFonts w:ascii="Courier New" w:cs="Courier New" w:eastAsia="Courier New" w:hAnsi="Courier New"/>
          <w:sz w:val="16"/>
          <w:szCs w:val="16"/>
          <w:color w:val="auto"/>
        </w:rPr>
        <w:t>50</w:t>
      </w:r>
    </w:p>
    <w:p>
      <w:pPr>
        <w:spacing w:after="0" w:line="5"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to, or at or after, the Effective Time (including matters, acts or omissions occurring in connection with the approval of this Agreement and the consummation of the transactions contemplated hereby) ("Indemnified Liabilities") (i) to the same extent such persons are indemnified or have the right to advancement of expenses as of the date of this Agreement by Morgan pursuant to Morgan's Certificate of Incorporation, By-laws and indemnification agreements, if any, in existence on the date hereof with any directors, officers and employees of Morgan and its Subsidiaries and (ii) without limitation to clause (i), to the fullest extent permitted by law.</w:t>
      </w:r>
    </w:p>
    <w:p>
      <w:pPr>
        <w:spacing w:after="0" w:line="189" w:lineRule="exact"/>
        <w:rPr>
          <w:sz w:val="20"/>
          <w:szCs w:val="20"/>
          <w:color w:val="auto"/>
        </w:rPr>
      </w:pPr>
    </w:p>
    <w:p>
      <w:pPr>
        <w:ind w:right="2539" w:firstLine="1728"/>
        <w:spacing w:after="0" w:line="244" w:lineRule="auto"/>
        <w:tabs>
          <w:tab w:leader="none" w:pos="2114" w:val="left"/>
        </w:tabs>
        <w:numPr>
          <w:ilvl w:val="0"/>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a period of six years after the Effective Time, the Surviving Corporation shall cause to be maintained in effect the current policies of directors' and officers' liability insurance maintained by Morgan (provided that the Surviving Corporation may substitute therefor policies with a substantially comparable insurer of at least the same coverage and amounts containing terms and conditions which are no less advantageous to the insured) with respect to claims arising from facts or events which occurred at or before the Effective Time; provided, however, that the Surviving Corporation shall not be obligated to make annual premium payments for such insurance to the extent such premiums exceed 250% of the premiums paid as of the date hereof by Morgan for such insurance ("Morgan's Current Premium"), and if such premiums for such insurance would at any time exceed 250% of Morgan's Current Premium, then the Surviving Corporation shall cause to be maintained policies of insurance which, in the Surviving Corporation's good faith determination, provide the maximum coverage available at an annual premium equal to 250% of Morgan's Current Premium. In the event that Chase acts as its own insurer for its directors and officers with respect to matters typically covered by a directors' and officers' liability insurance policy, Chase's obligations under this Section 5.11(b) may be satisfied by such self-insurance, so long as Chase's senior debt ratings by Standard &amp; Poor's Corporation and Moody's Investors Services, Inc. are not more than one rating grade lower than such ratings as in effect as of the date of this Agreement.</w:t>
      </w:r>
    </w:p>
    <w:p>
      <w:pPr>
        <w:spacing w:after="0" w:line="195" w:lineRule="exact"/>
        <w:rPr>
          <w:rFonts w:ascii="Courier New" w:cs="Courier New" w:eastAsia="Courier New" w:hAnsi="Courier New"/>
          <w:sz w:val="16"/>
          <w:szCs w:val="16"/>
          <w:color w:val="auto"/>
        </w:rPr>
      </w:pPr>
    </w:p>
    <w:p>
      <w:pPr>
        <w:ind w:right="2539" w:firstLine="1728"/>
        <w:spacing w:after="0" w:line="243" w:lineRule="auto"/>
        <w:tabs>
          <w:tab w:leader="none" w:pos="2114" w:val="left"/>
        </w:tabs>
        <w:numPr>
          <w:ilvl w:val="0"/>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Surviving Corporation shall pay (as incurred) all expenses, including reasonable fees and expenses of counsel, that an Indemnified Person may incur in enforcing the indemnity and other obligations provided for in this Section 5.11.</w:t>
      </w:r>
    </w:p>
    <w:p>
      <w:pPr>
        <w:spacing w:after="0" w:line="189" w:lineRule="exact"/>
        <w:rPr>
          <w:rFonts w:ascii="Courier New" w:cs="Courier New" w:eastAsia="Courier New" w:hAnsi="Courier New"/>
          <w:sz w:val="16"/>
          <w:szCs w:val="16"/>
          <w:color w:val="auto"/>
        </w:rPr>
      </w:pPr>
    </w:p>
    <w:p>
      <w:pPr>
        <w:ind w:right="2639" w:firstLine="1728"/>
        <w:spacing w:after="0" w:line="244" w:lineRule="auto"/>
        <w:tabs>
          <w:tab w:leader="none" w:pos="2114" w:val="left"/>
        </w:tabs>
        <w:numPr>
          <w:ilvl w:val="0"/>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Surviving Corporation or any of its successors or assigns (i) consolidates with or merges into any other person and shall not be the continuing or surviving corporation or entity of such consolidation or merger, or (ii) transfers or conveys all or substantially all of its properties and assets to any person, then, and in each such case, to the extent necessary, proper provision shall be made so that the successors and assigns of the Surviving Corporation, as the case may be, shall assume the obligations set forth in this Section 5.11.</w:t>
      </w:r>
    </w:p>
    <w:p>
      <w:pPr>
        <w:spacing w:after="0" w:line="188" w:lineRule="exact"/>
        <w:rPr>
          <w:rFonts w:ascii="Courier New" w:cs="Courier New" w:eastAsia="Courier New" w:hAnsi="Courier New"/>
          <w:sz w:val="16"/>
          <w:szCs w:val="16"/>
          <w:color w:val="auto"/>
        </w:rPr>
      </w:pPr>
    </w:p>
    <w:p>
      <w:pPr>
        <w:ind w:right="2539" w:firstLine="1728"/>
        <w:spacing w:after="0" w:line="244" w:lineRule="auto"/>
        <w:tabs>
          <w:tab w:leader="none" w:pos="2114" w:val="left"/>
        </w:tabs>
        <w:numPr>
          <w:ilvl w:val="0"/>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provisions of this Section 5.11 (i) are intended to be for the benefit of, and shall be enforceable by, each Indemnified Party, his or her heirs and representatives and (ii) are in addition to, and not in substitution for, any other rights to indemnification or contribution that any such person may have by contract or otherwise.</w:t>
      </w:r>
    </w:p>
    <w:p>
      <w:pPr>
        <w:spacing w:after="0" w:line="187" w:lineRule="exact"/>
        <w:rPr>
          <w:sz w:val="20"/>
          <w:szCs w:val="20"/>
          <w:color w:val="auto"/>
        </w:rPr>
      </w:pPr>
    </w:p>
    <w:p>
      <w:pPr>
        <w:ind w:right="2639" w:firstLine="865"/>
        <w:spacing w:after="0" w:line="243" w:lineRule="auto"/>
        <w:rPr>
          <w:sz w:val="20"/>
          <w:szCs w:val="20"/>
          <w:color w:val="auto"/>
        </w:rPr>
      </w:pPr>
      <w:r>
        <w:rPr>
          <w:rFonts w:ascii="Courier New" w:cs="Courier New" w:eastAsia="Courier New" w:hAnsi="Courier New"/>
          <w:sz w:val="16"/>
          <w:szCs w:val="16"/>
          <w:color w:val="auto"/>
        </w:rPr>
        <w:t>5.12. Dividends. After the date of this Agreement, each of Chase and Morgan shall coordinate with the other the payment of dividends with respect to the Chase Common Stock and</w:t>
      </w:r>
    </w:p>
    <w:p>
      <w:pPr>
        <w:sectPr>
          <w:pgSz w:w="11900" w:h="16838" w:orient="portrait"/>
          <w:cols w:equalWidth="0" w:num="1">
            <w:col w:w="10219"/>
          </w:cols>
          <w:pgMar w:left="240" w:top="300" w:right="1440" w:bottom="1440" w:gutter="0" w:footer="0" w:header="0"/>
        </w:sectPr>
      </w:pPr>
    </w:p>
    <w:bookmarkStart w:id="55" w:name="page56"/>
    <w:bookmarkEnd w:id="55"/>
    <w:p>
      <w:pPr>
        <w:ind w:left="281"/>
        <w:spacing w:after="0"/>
        <w:rPr>
          <w:sz w:val="20"/>
          <w:szCs w:val="20"/>
          <w:color w:val="auto"/>
        </w:rPr>
      </w:pPr>
      <w:r>
        <w:rPr>
          <w:rFonts w:ascii="Courier New" w:cs="Courier New" w:eastAsia="Courier New" w:hAnsi="Courier New"/>
          <w:sz w:val="16"/>
          <w:szCs w:val="16"/>
          <w:color w:val="auto"/>
        </w:rPr>
        <w:t>51</w:t>
      </w:r>
    </w:p>
    <w:p>
      <w:pPr>
        <w:spacing w:after="0" w:line="5" w:lineRule="exact"/>
        <w:rPr>
          <w:sz w:val="20"/>
          <w:szCs w:val="20"/>
          <w:color w:val="auto"/>
        </w:rPr>
      </w:pPr>
    </w:p>
    <w:p>
      <w:pPr>
        <w:ind w:left="1" w:right="2539"/>
        <w:spacing w:after="0" w:line="244" w:lineRule="auto"/>
        <w:rPr>
          <w:sz w:val="20"/>
          <w:szCs w:val="20"/>
          <w:color w:val="auto"/>
        </w:rPr>
      </w:pPr>
      <w:r>
        <w:rPr>
          <w:rFonts w:ascii="Courier New" w:cs="Courier New" w:eastAsia="Courier New" w:hAnsi="Courier New"/>
          <w:sz w:val="16"/>
          <w:szCs w:val="16"/>
          <w:color w:val="auto"/>
        </w:rPr>
        <w:t>Morgan Common Stock and the record dates and payment dates relating thereto, it being the intention of the parties hereto that holders of Chase Common Stock and Morgan Common Stock shall not receive two dividends, or fail to receive one dividend, for any single calendar quarter with respect to their shares of Chase Common Stock and/or Morgan Common Stock or any shares of Chase Common Stock that any such holder receives in exchange for such shares of Morgan Common Stock in the Merger.</w:t>
      </w:r>
    </w:p>
    <w:p>
      <w:pPr>
        <w:spacing w:after="0" w:line="188" w:lineRule="exact"/>
        <w:rPr>
          <w:sz w:val="20"/>
          <w:szCs w:val="20"/>
          <w:color w:val="auto"/>
        </w:rPr>
      </w:pPr>
    </w:p>
    <w:p>
      <w:pPr>
        <w:ind w:left="1" w:right="2539" w:firstLine="865"/>
        <w:spacing w:after="0" w:line="260" w:lineRule="auto"/>
        <w:rPr>
          <w:sz w:val="20"/>
          <w:szCs w:val="20"/>
          <w:color w:val="auto"/>
        </w:rPr>
      </w:pPr>
      <w:r>
        <w:rPr>
          <w:rFonts w:ascii="Courier New" w:cs="Courier New" w:eastAsia="Courier New" w:hAnsi="Courier New"/>
          <w:sz w:val="15"/>
          <w:szCs w:val="15"/>
          <w:color w:val="auto"/>
        </w:rPr>
        <w:t>5.13. Public Announcements. Chase and Morgan shall use reasonable best efforts (i) to develop a joint communications plan, (ii) to ensure that all press releases and other public statements with respect to the transactions contemplated hereby shall be consistent with such joint communications plan, and</w:t>
      </w:r>
    </w:p>
    <w:p>
      <w:pPr>
        <w:spacing w:after="0" w:line="3" w:lineRule="exact"/>
        <w:rPr>
          <w:sz w:val="20"/>
          <w:szCs w:val="20"/>
          <w:color w:val="auto"/>
        </w:rPr>
      </w:pPr>
    </w:p>
    <w:p>
      <w:pPr>
        <w:ind w:left="1" w:right="2539" w:hanging="1"/>
        <w:spacing w:after="0" w:line="244" w:lineRule="auto"/>
        <w:tabs>
          <w:tab w:leader="none" w:pos="578" w:val="left"/>
        </w:tabs>
        <w:numPr>
          <w:ilvl w:val="0"/>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in respect of any announcement required by applicable law or by obligations pursuant to any listing agreement with or rules of any securities exchange, to consult with each other before issuing any press release or, to the extent practical, otherwise making any public statement with respect to this Agreement or the transactions contemplated hereby. In addition to the foregoing, except to the extent disclosed in or consistent with the Joint Proxy Statement/Prospectus in accordance with the provisions of Section 5.1 or as otherwise permitted under Section 4.4, no party shall issue any press release or otherwise make any public statement or disclosure concerning the other party or the other party's business, financial condition or results of operations without the consent of such other party, which consent shall not be unreasonably withheld or delayed.</w:t>
      </w:r>
    </w:p>
    <w:p>
      <w:pPr>
        <w:spacing w:after="0" w:line="191" w:lineRule="exact"/>
        <w:rPr>
          <w:sz w:val="20"/>
          <w:szCs w:val="20"/>
          <w:color w:val="auto"/>
        </w:rPr>
      </w:pPr>
    </w:p>
    <w:p>
      <w:pPr>
        <w:ind w:left="1" w:right="2539" w:firstLine="865"/>
        <w:spacing w:after="0" w:line="244" w:lineRule="auto"/>
        <w:rPr>
          <w:sz w:val="20"/>
          <w:szCs w:val="20"/>
          <w:color w:val="auto"/>
        </w:rPr>
      </w:pPr>
      <w:r>
        <w:rPr>
          <w:rFonts w:ascii="Courier New" w:cs="Courier New" w:eastAsia="Courier New" w:hAnsi="Courier New"/>
          <w:sz w:val="16"/>
          <w:szCs w:val="16"/>
          <w:color w:val="auto"/>
        </w:rPr>
        <w:t>5.14. Additional Agreements. In case at any time after the Effective Time any further action is necessary or desirable to carry out the purposes of this Agreement or to vest the Surviving Corporation with full title to all properties, assets, rights, approvals, immunities and franchises of either of the Constituent Corporations, the proper officers and directors of each party to this Agreement shall take all such necessary action.</w:t>
      </w:r>
    </w:p>
    <w:p>
      <w:pPr>
        <w:spacing w:after="0" w:line="186" w:lineRule="exact"/>
        <w:rPr>
          <w:sz w:val="20"/>
          <w:szCs w:val="20"/>
          <w:color w:val="auto"/>
        </w:rPr>
      </w:pPr>
    </w:p>
    <w:p>
      <w:pPr>
        <w:jc w:val="center"/>
        <w:ind w:right="2538"/>
        <w:spacing w:after="0"/>
        <w:rPr>
          <w:sz w:val="20"/>
          <w:szCs w:val="20"/>
          <w:color w:val="auto"/>
        </w:rPr>
      </w:pPr>
      <w:r>
        <w:rPr>
          <w:rFonts w:ascii="Courier New" w:cs="Courier New" w:eastAsia="Courier New" w:hAnsi="Courier New"/>
          <w:sz w:val="16"/>
          <w:szCs w:val="16"/>
          <w:color w:val="auto"/>
        </w:rPr>
        <w:t>ARTICLE VI</w:t>
      </w:r>
    </w:p>
    <w:p>
      <w:pPr>
        <w:spacing w:after="0" w:line="4" w:lineRule="exact"/>
        <w:rPr>
          <w:sz w:val="20"/>
          <w:szCs w:val="20"/>
          <w:color w:val="auto"/>
        </w:rPr>
      </w:pPr>
    </w:p>
    <w:p>
      <w:pPr>
        <w:jc w:val="center"/>
        <w:ind w:right="2538"/>
        <w:spacing w:after="0"/>
        <w:rPr>
          <w:sz w:val="20"/>
          <w:szCs w:val="20"/>
          <w:color w:val="auto"/>
        </w:rPr>
      </w:pPr>
      <w:r>
        <w:rPr>
          <w:rFonts w:ascii="Courier New" w:cs="Courier New" w:eastAsia="Courier New" w:hAnsi="Courier New"/>
          <w:sz w:val="16"/>
          <w:szCs w:val="16"/>
          <w:color w:val="auto"/>
        </w:rPr>
        <w:t>CONDITIONS PRECEDENT</w:t>
      </w:r>
    </w:p>
    <w:p>
      <w:pPr>
        <w:spacing w:after="0" w:line="190" w:lineRule="exact"/>
        <w:rPr>
          <w:sz w:val="20"/>
          <w:szCs w:val="20"/>
          <w:color w:val="auto"/>
        </w:rPr>
      </w:pPr>
    </w:p>
    <w:p>
      <w:pPr>
        <w:ind w:left="1" w:right="2539" w:firstLine="865"/>
        <w:spacing w:after="0" w:line="243" w:lineRule="auto"/>
        <w:rPr>
          <w:sz w:val="20"/>
          <w:szCs w:val="20"/>
          <w:color w:val="auto"/>
        </w:rPr>
      </w:pPr>
      <w:r>
        <w:rPr>
          <w:rFonts w:ascii="Courier New" w:cs="Courier New" w:eastAsia="Courier New" w:hAnsi="Courier New"/>
          <w:sz w:val="16"/>
          <w:szCs w:val="16"/>
          <w:color w:val="auto"/>
        </w:rPr>
        <w:t>6.1. Conditions to Each Party's Obligation To Effect the Merger. The respective obligation of each party to effect the Merger shall be subject to the satisfaction prior to the Closing Date of the following conditions:</w:t>
      </w:r>
    </w:p>
    <w:p>
      <w:pPr>
        <w:spacing w:after="0" w:line="189" w:lineRule="exact"/>
        <w:rPr>
          <w:sz w:val="20"/>
          <w:szCs w:val="20"/>
          <w:color w:val="auto"/>
        </w:rPr>
      </w:pPr>
    </w:p>
    <w:p>
      <w:pPr>
        <w:ind w:left="1" w:right="2539" w:firstLine="1728"/>
        <w:spacing w:after="0" w:line="243" w:lineRule="auto"/>
        <w:tabs>
          <w:tab w:leader="none" w:pos="2115" w:val="left"/>
        </w:tabs>
        <w:numPr>
          <w:ilvl w:val="0"/>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Stockholder Approval. Morgan shall have obtained the Required Morgan Vote in connection with the adoption of the Merger Agreement and Chase shall have obtained the Required Chase Vote in connection with the adoption of the Merger Agreement.</w:t>
      </w:r>
    </w:p>
    <w:p>
      <w:pPr>
        <w:spacing w:after="0" w:line="189" w:lineRule="exact"/>
        <w:rPr>
          <w:rFonts w:ascii="Courier New" w:cs="Courier New" w:eastAsia="Courier New" w:hAnsi="Courier New"/>
          <w:sz w:val="16"/>
          <w:szCs w:val="16"/>
          <w:color w:val="auto"/>
        </w:rPr>
      </w:pPr>
    </w:p>
    <w:p>
      <w:pPr>
        <w:ind w:left="1" w:right="2639" w:firstLine="1728"/>
        <w:spacing w:after="0" w:line="244" w:lineRule="auto"/>
        <w:tabs>
          <w:tab w:leader="none" w:pos="2115" w:val="left"/>
        </w:tabs>
        <w:numPr>
          <w:ilvl w:val="0"/>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NYSE Listing. The shares of (i) Chase Common Stock to be issued in the Merger, (ii) Chase Common Stock to be reserved for issuance upon exercise of the Morgan Stock Options and (iii) Chase Merger Preferred Stock to be issued in the Merger in exchange for the Morgan Series A Preferred Stock and the Morgan Series H Preferred Stock (or depositary shares in respect thereof), shall have been authorized for listing on the NYSE upon official notice of issuance.</w:t>
      </w:r>
    </w:p>
    <w:p>
      <w:pPr>
        <w:spacing w:after="0" w:line="188" w:lineRule="exact"/>
        <w:rPr>
          <w:rFonts w:ascii="Courier New" w:cs="Courier New" w:eastAsia="Courier New" w:hAnsi="Courier New"/>
          <w:sz w:val="16"/>
          <w:szCs w:val="16"/>
          <w:color w:val="auto"/>
        </w:rPr>
      </w:pPr>
    </w:p>
    <w:p>
      <w:pPr>
        <w:ind w:left="1" w:right="2539" w:firstLine="1728"/>
        <w:spacing w:after="0" w:line="244" w:lineRule="auto"/>
        <w:tabs>
          <w:tab w:leader="none" w:pos="2115" w:val="left"/>
        </w:tabs>
        <w:numPr>
          <w:ilvl w:val="0"/>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Approvals. Other than the filing provided for by Section 1.1, all authorizations, consents, orders or approvals of, or declarations or filings with, and all expirations of waiting periods required from, any Governmental Entity (all the foregoing, "Consents") which are necessary for the consummation of the Merger, other than Consents the failure to obtain which would not reasonably be expected to have a material adverse effect on the</w:t>
      </w:r>
    </w:p>
    <w:p>
      <w:pPr>
        <w:sectPr>
          <w:pgSz w:w="11900" w:h="16838" w:orient="portrait"/>
          <w:cols w:equalWidth="0" w:num="1">
            <w:col w:w="10221"/>
          </w:cols>
          <w:pgMar w:left="239" w:top="300" w:right="1440" w:bottom="1440" w:gutter="0" w:footer="0" w:header="0"/>
        </w:sectPr>
      </w:pPr>
    </w:p>
    <w:bookmarkStart w:id="56" w:name="page57"/>
    <w:bookmarkEnd w:id="56"/>
    <w:p>
      <w:pPr>
        <w:ind w:left="280"/>
        <w:spacing w:after="0"/>
        <w:rPr>
          <w:sz w:val="20"/>
          <w:szCs w:val="20"/>
          <w:color w:val="auto"/>
        </w:rPr>
      </w:pPr>
      <w:r>
        <w:rPr>
          <w:rFonts w:ascii="Courier New" w:cs="Courier New" w:eastAsia="Courier New" w:hAnsi="Courier New"/>
          <w:sz w:val="16"/>
          <w:szCs w:val="16"/>
          <w:color w:val="auto"/>
        </w:rPr>
        <w:t>52</w:t>
      </w:r>
    </w:p>
    <w:p>
      <w:pPr>
        <w:spacing w:after="0" w:line="5" w:lineRule="exact"/>
        <w:rPr>
          <w:sz w:val="20"/>
          <w:szCs w:val="20"/>
          <w:color w:val="auto"/>
        </w:rPr>
      </w:pPr>
    </w:p>
    <w:p>
      <w:pPr>
        <w:ind w:right="2639"/>
        <w:spacing w:after="0" w:line="244" w:lineRule="auto"/>
        <w:rPr>
          <w:sz w:val="20"/>
          <w:szCs w:val="20"/>
          <w:color w:val="auto"/>
        </w:rPr>
      </w:pPr>
      <w:r>
        <w:rPr>
          <w:rFonts w:ascii="Courier New" w:cs="Courier New" w:eastAsia="Courier New" w:hAnsi="Courier New"/>
          <w:sz w:val="16"/>
          <w:szCs w:val="16"/>
          <w:color w:val="auto"/>
        </w:rPr>
        <w:t>consummation of the Merger or on the Surviving Corporation, shall have been filed, have occurred or been obtained (all such permits, approvals, filings and consents and the lapse of all such waiting periods being referred to as the "Requisite Regulatory Approvals") and all such Requisite Regulatory Approvals shall be in full force and effect. Chase shall have received all state securities or blue sky permits and other authorizations necessary to issue the Chase Common Stock and Chase Merger Preferred Stock in exchange for Morgan Common Stock and Morgan Preferred Stock and to consummate the Merger.</w:t>
      </w:r>
    </w:p>
    <w:p>
      <w:pPr>
        <w:spacing w:after="0" w:line="189" w:lineRule="exact"/>
        <w:rPr>
          <w:sz w:val="20"/>
          <w:szCs w:val="20"/>
          <w:color w:val="auto"/>
        </w:rPr>
      </w:pPr>
    </w:p>
    <w:p>
      <w:pPr>
        <w:ind w:right="2539" w:firstLine="1728"/>
        <w:spacing w:after="0" w:line="243" w:lineRule="auto"/>
        <w:tabs>
          <w:tab w:leader="none" w:pos="2114" w:val="left"/>
        </w:tabs>
        <w:numPr>
          <w:ilvl w:val="0"/>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Form S-4. The Form S-4 shall have become effective under the Securities Act and shall not be the subject of any stop order or proceedings seeking a stop order.</w:t>
      </w:r>
    </w:p>
    <w:p>
      <w:pPr>
        <w:spacing w:after="0" w:line="188" w:lineRule="exact"/>
        <w:rPr>
          <w:rFonts w:ascii="Courier New" w:cs="Courier New" w:eastAsia="Courier New" w:hAnsi="Courier New"/>
          <w:sz w:val="16"/>
          <w:szCs w:val="16"/>
          <w:color w:val="auto"/>
        </w:rPr>
      </w:pPr>
    </w:p>
    <w:p>
      <w:pPr>
        <w:ind w:right="2539" w:firstLine="1728"/>
        <w:spacing w:after="0" w:line="263" w:lineRule="auto"/>
        <w:tabs>
          <w:tab w:leader="none" w:pos="2114"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Injunctions or Restraints; Illegality. No temporary restraining order, preliminary or permanent injunction or other order issued by any court of competent jurisdiction or other legal restraint or prohibition (an "Injunction") preventing the consummation of the Merger shall be in effect. There shall not be any action taken, or any statute, rule, regulation or order enacted, entered, enforced or deemed applicable to the Merger, by any Federal or state Governmental Entity which makes the consummation of the Merger illegal.</w:t>
      </w:r>
    </w:p>
    <w:p>
      <w:pPr>
        <w:spacing w:after="0" w:line="174" w:lineRule="exact"/>
        <w:rPr>
          <w:rFonts w:ascii="Courier New" w:cs="Courier New" w:eastAsia="Courier New" w:hAnsi="Courier New"/>
          <w:sz w:val="15"/>
          <w:szCs w:val="15"/>
          <w:color w:val="auto"/>
        </w:rPr>
      </w:pPr>
    </w:p>
    <w:p>
      <w:pPr>
        <w:ind w:right="2539" w:firstLine="1728"/>
        <w:spacing w:after="0" w:line="243" w:lineRule="auto"/>
        <w:tabs>
          <w:tab w:leader="none" w:pos="2114" w:val="left"/>
        </w:tabs>
        <w:numPr>
          <w:ilvl w:val="0"/>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Pooling. Chase and Morgan shall each have received letters from PricewaterhouseCoopers LLP to the effect that the Merger qualifies for "pooling of interests" accounting treatment if consummated in accordance with this Agreement, and such letters shall not have been withdrawn.</w:t>
      </w:r>
    </w:p>
    <w:p>
      <w:pPr>
        <w:spacing w:after="0" w:line="189" w:lineRule="exact"/>
        <w:rPr>
          <w:rFonts w:ascii="Courier New" w:cs="Courier New" w:eastAsia="Courier New" w:hAnsi="Courier New"/>
          <w:sz w:val="16"/>
          <w:szCs w:val="16"/>
          <w:color w:val="auto"/>
        </w:rPr>
      </w:pPr>
    </w:p>
    <w:p>
      <w:pPr>
        <w:ind w:right="2539" w:firstLine="1728"/>
        <w:spacing w:after="0" w:line="244" w:lineRule="auto"/>
        <w:tabs>
          <w:tab w:leader="none" w:pos="2114" w:val="left"/>
        </w:tabs>
        <w:numPr>
          <w:ilvl w:val="0"/>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Burdensome Condition. There shall not be any action taken, or any statute, rule, regulation, order or decree enacted, entered, enforced or deemed applicable to the Merger by any Federal or state Governmental Entity which, in connection with the grant of a Requisite Regulatory Approval or otherwise, imposes any condition or restriction (a "Burdensome Condition") upon the Surviving Corporation or its Subsidiaries which would reasonably be expected to have a material adverse effect after the Effective Time on the present or prospective consolidated financial condition, business or operating results of the Surviving Corporation.</w:t>
      </w:r>
    </w:p>
    <w:p>
      <w:pPr>
        <w:spacing w:after="0" w:line="189" w:lineRule="exact"/>
        <w:rPr>
          <w:sz w:val="20"/>
          <w:szCs w:val="20"/>
          <w:color w:val="auto"/>
        </w:rPr>
      </w:pPr>
    </w:p>
    <w:p>
      <w:pPr>
        <w:jc w:val="both"/>
        <w:ind w:right="2919" w:firstLine="865"/>
        <w:spacing w:after="0" w:line="243" w:lineRule="auto"/>
        <w:rPr>
          <w:sz w:val="20"/>
          <w:szCs w:val="20"/>
          <w:color w:val="auto"/>
        </w:rPr>
      </w:pPr>
      <w:r>
        <w:rPr>
          <w:rFonts w:ascii="Courier New" w:cs="Courier New" w:eastAsia="Courier New" w:hAnsi="Courier New"/>
          <w:sz w:val="16"/>
          <w:szCs w:val="16"/>
          <w:color w:val="auto"/>
        </w:rPr>
        <w:t>6.2. Conditions to Obligations of Chase. The obligation of Chase to effect the Merger is subject to the satisfaction of the following conditions unless waived by Chase:</w:t>
      </w:r>
    </w:p>
    <w:p>
      <w:pPr>
        <w:spacing w:after="0" w:line="189" w:lineRule="exact"/>
        <w:rPr>
          <w:sz w:val="20"/>
          <w:szCs w:val="20"/>
          <w:color w:val="auto"/>
        </w:rPr>
      </w:pPr>
    </w:p>
    <w:p>
      <w:pPr>
        <w:ind w:right="2539" w:firstLine="1728"/>
        <w:spacing w:after="0" w:line="244" w:lineRule="auto"/>
        <w:tabs>
          <w:tab w:leader="none" w:pos="2114" w:val="left"/>
        </w:tabs>
        <w:numPr>
          <w:ilvl w:val="0"/>
          <w:numId w:val="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Representations and Warranties. The representations and warranties of Morgan set forth in this Agreement shall be true and correct as of the date of this Agreement and (except to the extent such representations and warranties speak as of an earlier date) as of the Closing Date as though made on and as of the Closing Date, subject to such exceptions as do not have and would not reasonably be expected to have, individually or in the aggregate, a material adverse effect on Chase or the Surviving Corporation following the Effective Time, and Chase shall have received a certificate signed on behalf of Morgan by the Chief Executive Officer and Chief Financial Officer of Morgan to such effect.</w:t>
      </w:r>
    </w:p>
    <w:p>
      <w:pPr>
        <w:spacing w:after="0" w:line="189" w:lineRule="exact"/>
        <w:rPr>
          <w:rFonts w:ascii="Courier New" w:cs="Courier New" w:eastAsia="Courier New" w:hAnsi="Courier New"/>
          <w:sz w:val="16"/>
          <w:szCs w:val="16"/>
          <w:color w:val="auto"/>
        </w:rPr>
      </w:pPr>
    </w:p>
    <w:p>
      <w:pPr>
        <w:ind w:right="2539" w:firstLine="1728"/>
        <w:spacing w:after="0" w:line="244" w:lineRule="auto"/>
        <w:tabs>
          <w:tab w:leader="none" w:pos="2114" w:val="left"/>
        </w:tabs>
        <w:numPr>
          <w:ilvl w:val="0"/>
          <w:numId w:val="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Performance of Obligations of Morgan. Morgan shall have performed in all material respects all obligations required to be performed by it under this Agreement at or prior to the Closing Date, and Chase shall have received a certificate signed on behalf of Morgan by the Chief Executive Officer and Chief Financial Officer of Morgan to such effect.</w:t>
      </w:r>
    </w:p>
    <w:p>
      <w:pPr>
        <w:spacing w:after="0" w:line="187" w:lineRule="exact"/>
        <w:rPr>
          <w:rFonts w:ascii="Courier New" w:cs="Courier New" w:eastAsia="Courier New" w:hAnsi="Courier New"/>
          <w:sz w:val="16"/>
          <w:szCs w:val="16"/>
          <w:color w:val="auto"/>
        </w:rPr>
      </w:pPr>
    </w:p>
    <w:p>
      <w:pPr>
        <w:ind w:right="2919" w:firstLine="1728"/>
        <w:spacing w:after="0" w:line="243" w:lineRule="auto"/>
        <w:tabs>
          <w:tab w:leader="none" w:pos="2114" w:val="left"/>
        </w:tabs>
        <w:numPr>
          <w:ilvl w:val="0"/>
          <w:numId w:val="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Tax Opinion. Chase shall have received the opinion of Simpson Thacher &amp; Bartlett, counsel to Chase, dated the Closing Date, to the effect that the Merger will be treated for Federal income tax purposes as a reorganization within the meaning of Section 368(a) of the</w:t>
      </w:r>
    </w:p>
    <w:p>
      <w:pPr>
        <w:sectPr>
          <w:pgSz w:w="11900" w:h="16838" w:orient="portrait"/>
          <w:cols w:equalWidth="0" w:num="1">
            <w:col w:w="10219"/>
          </w:cols>
          <w:pgMar w:left="240" w:top="300" w:right="1440" w:bottom="1440" w:gutter="0" w:footer="0" w:header="0"/>
        </w:sectPr>
      </w:pPr>
    </w:p>
    <w:bookmarkStart w:id="57" w:name="page58"/>
    <w:bookmarkEnd w:id="57"/>
    <w:p>
      <w:pPr>
        <w:ind w:left="280"/>
        <w:spacing w:after="0"/>
        <w:rPr>
          <w:sz w:val="20"/>
          <w:szCs w:val="20"/>
          <w:color w:val="auto"/>
        </w:rPr>
      </w:pPr>
      <w:r>
        <w:rPr>
          <w:rFonts w:ascii="Courier New" w:cs="Courier New" w:eastAsia="Courier New" w:hAnsi="Courier New"/>
          <w:sz w:val="16"/>
          <w:szCs w:val="16"/>
          <w:color w:val="auto"/>
        </w:rPr>
        <w:t>53</w:t>
      </w:r>
    </w:p>
    <w:p>
      <w:pPr>
        <w:spacing w:after="0" w:line="5" w:lineRule="exact"/>
        <w:rPr>
          <w:sz w:val="20"/>
          <w:szCs w:val="20"/>
          <w:color w:val="auto"/>
        </w:rPr>
      </w:pPr>
    </w:p>
    <w:p>
      <w:pPr>
        <w:ind w:right="2539"/>
        <w:spacing w:after="0" w:line="243" w:lineRule="auto"/>
        <w:rPr>
          <w:sz w:val="20"/>
          <w:szCs w:val="20"/>
          <w:color w:val="auto"/>
        </w:rPr>
      </w:pPr>
      <w:r>
        <w:rPr>
          <w:rFonts w:ascii="Courier New" w:cs="Courier New" w:eastAsia="Courier New" w:hAnsi="Courier New"/>
          <w:sz w:val="16"/>
          <w:szCs w:val="16"/>
          <w:color w:val="auto"/>
        </w:rPr>
        <w:t>Code. In rendering such opinion, counsel to Chase shall be entitled to rely upon customary representations and assumptions provided by Chase and Morgan that counsel to Chase reasonably deems relevant.</w:t>
      </w:r>
    </w:p>
    <w:p>
      <w:pPr>
        <w:spacing w:after="0" w:line="189" w:lineRule="exact"/>
        <w:rPr>
          <w:sz w:val="20"/>
          <w:szCs w:val="20"/>
          <w:color w:val="auto"/>
        </w:rPr>
      </w:pPr>
    </w:p>
    <w:p>
      <w:pPr>
        <w:ind w:right="2719" w:firstLine="865"/>
        <w:spacing w:after="0" w:line="243" w:lineRule="auto"/>
        <w:rPr>
          <w:sz w:val="20"/>
          <w:szCs w:val="20"/>
          <w:color w:val="auto"/>
        </w:rPr>
      </w:pPr>
      <w:r>
        <w:rPr>
          <w:rFonts w:ascii="Courier New" w:cs="Courier New" w:eastAsia="Courier New" w:hAnsi="Courier New"/>
          <w:sz w:val="16"/>
          <w:szCs w:val="16"/>
          <w:color w:val="auto"/>
        </w:rPr>
        <w:t>6.3. Conditions to Obligations of Morgan. The obligation of Morgan to effect the Merger is subject to the satisfaction of the following conditions unless waived by Morgan:</w:t>
      </w:r>
    </w:p>
    <w:p>
      <w:pPr>
        <w:spacing w:after="0" w:line="189" w:lineRule="exact"/>
        <w:rPr>
          <w:sz w:val="20"/>
          <w:szCs w:val="20"/>
          <w:color w:val="auto"/>
        </w:rPr>
      </w:pPr>
    </w:p>
    <w:p>
      <w:pPr>
        <w:ind w:right="2539" w:firstLine="1728"/>
        <w:spacing w:after="0" w:line="244" w:lineRule="auto"/>
        <w:tabs>
          <w:tab w:leader="none" w:pos="2114" w:val="left"/>
        </w:tabs>
        <w:numPr>
          <w:ilvl w:val="0"/>
          <w:numId w:val="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Representations and Warranties. Each of the representations and warranties of Chase set forth in this Agreement shall be true and correct as of the date of this Agreement and (except to the extent such representations speak as of an earlier date) as of the Closing Date as though made on and as of the Closing Date, subject to such exceptions as do not have, and would not reasonably be expected to have, a material adverse effect on Chase or the Surviving Corporation following the Closing Date, and Morgan shall have received a certificate signed on behalf of Chase by the Chairman and Chief Executive Officer and by the Vice Chairman-Finance or the Chief Financial Officer of Chase to such effect.</w:t>
      </w:r>
    </w:p>
    <w:p>
      <w:pPr>
        <w:spacing w:after="0" w:line="189" w:lineRule="exact"/>
        <w:rPr>
          <w:rFonts w:ascii="Courier New" w:cs="Courier New" w:eastAsia="Courier New" w:hAnsi="Courier New"/>
          <w:sz w:val="16"/>
          <w:szCs w:val="16"/>
          <w:color w:val="auto"/>
        </w:rPr>
      </w:pPr>
    </w:p>
    <w:p>
      <w:pPr>
        <w:ind w:right="2719" w:firstLine="1728"/>
        <w:spacing w:after="0" w:line="244" w:lineRule="auto"/>
        <w:tabs>
          <w:tab w:leader="none" w:pos="2114" w:val="left"/>
        </w:tabs>
        <w:numPr>
          <w:ilvl w:val="0"/>
          <w:numId w:val="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Performance of Obligations of Chase. Chase shall have performed in all material respects all obligations required to be performed by it under this Agreement at or prior to the Closing Date, and Morgan shall have received a certificate signed on behalf of Chase by the Chairman and Chief Executive Officer and the Vice Chairman-Finance or the Chief Financial Officer of Chase to such effect.</w:t>
      </w:r>
    </w:p>
    <w:p>
      <w:pPr>
        <w:spacing w:after="0" w:line="187" w:lineRule="exact"/>
        <w:rPr>
          <w:rFonts w:ascii="Courier New" w:cs="Courier New" w:eastAsia="Courier New" w:hAnsi="Courier New"/>
          <w:sz w:val="16"/>
          <w:szCs w:val="16"/>
          <w:color w:val="auto"/>
        </w:rPr>
      </w:pPr>
    </w:p>
    <w:p>
      <w:pPr>
        <w:ind w:right="2639" w:firstLine="1728"/>
        <w:spacing w:after="0" w:line="244" w:lineRule="auto"/>
        <w:tabs>
          <w:tab w:leader="none" w:pos="2114" w:val="left"/>
        </w:tabs>
        <w:numPr>
          <w:ilvl w:val="0"/>
          <w:numId w:val="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Tax Opinion. Morgan shall have received the opinion of Davis Polk &amp; Wardwell, counsel to Morgan, dated the Closing Date, to the effect that the Merger will be treated for Federal income tax purposes as a reorganization within the meaning of Section 368(a) of the Code. In rendering such opinion, counsel to Morgan shall be entitled to rely upon customary representations and assumptions provided by Chase and Morgan that counsel to Morgan reasonably deems relevant.</w:t>
      </w:r>
    </w:p>
    <w:p>
      <w:pPr>
        <w:spacing w:after="0" w:line="186"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ARTICLE VII</w:t>
      </w:r>
    </w:p>
    <w:p>
      <w:pPr>
        <w:spacing w:after="0" w:line="4" w:lineRule="exact"/>
        <w:rPr>
          <w:sz w:val="20"/>
          <w:szCs w:val="20"/>
          <w:color w:val="auto"/>
        </w:rPr>
      </w:pPr>
    </w:p>
    <w:p>
      <w:pPr>
        <w:ind w:left="2680"/>
        <w:spacing w:after="0"/>
        <w:rPr>
          <w:sz w:val="20"/>
          <w:szCs w:val="20"/>
          <w:color w:val="auto"/>
        </w:rPr>
      </w:pPr>
      <w:r>
        <w:rPr>
          <w:rFonts w:ascii="Courier New" w:cs="Courier New" w:eastAsia="Courier New" w:hAnsi="Courier New"/>
          <w:sz w:val="16"/>
          <w:szCs w:val="16"/>
          <w:color w:val="auto"/>
        </w:rPr>
        <w:t>TERMINATION AND AMENDMENT</w:t>
      </w:r>
    </w:p>
    <w:p>
      <w:pPr>
        <w:spacing w:after="0" w:line="190" w:lineRule="exact"/>
        <w:rPr>
          <w:sz w:val="20"/>
          <w:szCs w:val="20"/>
          <w:color w:val="auto"/>
        </w:rPr>
      </w:pPr>
    </w:p>
    <w:p>
      <w:pPr>
        <w:ind w:right="2539" w:firstLine="865"/>
        <w:spacing w:after="0" w:line="243" w:lineRule="auto"/>
        <w:rPr>
          <w:sz w:val="20"/>
          <w:szCs w:val="20"/>
          <w:color w:val="auto"/>
        </w:rPr>
      </w:pPr>
      <w:r>
        <w:rPr>
          <w:rFonts w:ascii="Courier New" w:cs="Courier New" w:eastAsia="Courier New" w:hAnsi="Courier New"/>
          <w:sz w:val="16"/>
          <w:szCs w:val="16"/>
          <w:color w:val="auto"/>
        </w:rPr>
        <w:t>7.1. Termination. This Agreement may be terminated at any time prior to the Effective Time, by action taken or authorized by the Board of Directors of the terminating party or parties, whether before or after approval of the Merger by the stockholders of Morgan or Chase:</w:t>
      </w:r>
    </w:p>
    <w:p>
      <w:pPr>
        <w:spacing w:after="0" w:line="188" w:lineRule="exact"/>
        <w:rPr>
          <w:sz w:val="20"/>
          <w:szCs w:val="20"/>
          <w:color w:val="auto"/>
        </w:rPr>
      </w:pPr>
    </w:p>
    <w:p>
      <w:pPr>
        <w:ind w:left="1720"/>
        <w:spacing w:after="0"/>
        <w:rPr>
          <w:sz w:val="20"/>
          <w:szCs w:val="20"/>
          <w:color w:val="auto"/>
        </w:rPr>
      </w:pPr>
      <w:r>
        <w:rPr>
          <w:rFonts w:ascii="Courier New" w:cs="Courier New" w:eastAsia="Courier New" w:hAnsi="Courier New"/>
          <w:sz w:val="16"/>
          <w:szCs w:val="16"/>
          <w:color w:val="auto"/>
        </w:rPr>
        <w:t>(a) by mutual consent of Chase and Morgan in a written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instrument;</w:t>
      </w:r>
    </w:p>
    <w:p>
      <w:pPr>
        <w:spacing w:after="0" w:line="190" w:lineRule="exact"/>
        <w:rPr>
          <w:sz w:val="20"/>
          <w:szCs w:val="20"/>
          <w:color w:val="auto"/>
        </w:rPr>
      </w:pPr>
    </w:p>
    <w:p>
      <w:pPr>
        <w:ind w:right="2539" w:firstLine="1728"/>
        <w:spacing w:after="0" w:line="244" w:lineRule="auto"/>
        <w:tabs>
          <w:tab w:leader="none" w:pos="2114" w:val="left"/>
        </w:tabs>
        <w:numPr>
          <w:ilvl w:val="0"/>
          <w:numId w:val="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either Chase or Morgan, upon written notice to the other party, if a Governmental Entity of competent jurisdiction which must grant a Requisite Regulatory Approval has denied approval of the Merger and such denial has become final and non-appealable; or any Governmental Entity of competent jurisdiction shall have issued an order, decree or ruling or taken any other action permanently restraining, enjoining or otherwise prohibiting the Merger, and such order, decree, ruling or other action has become final and nonappealable; provided, however, that the right to terminate this Agreement under this Section 7.1(b) shall not be available to any party whose failure to comply with Section 5.3 or any other provision of this Agreement has been the cause of, or resulted in, such action;</w:t>
      </w:r>
    </w:p>
    <w:p>
      <w:pPr>
        <w:sectPr>
          <w:pgSz w:w="11900" w:h="16838" w:orient="portrait"/>
          <w:cols w:equalWidth="0" w:num="1">
            <w:col w:w="10219"/>
          </w:cols>
          <w:pgMar w:left="240" w:top="300" w:right="1440" w:bottom="1440" w:gutter="0" w:footer="0" w:header="0"/>
        </w:sectPr>
      </w:pPr>
    </w:p>
    <w:bookmarkStart w:id="58" w:name="page59"/>
    <w:bookmarkEnd w:id="58"/>
    <w:p>
      <w:pPr>
        <w:ind w:left="280"/>
        <w:spacing w:after="0"/>
        <w:rPr>
          <w:sz w:val="20"/>
          <w:szCs w:val="20"/>
          <w:color w:val="auto"/>
        </w:rPr>
      </w:pPr>
      <w:r>
        <w:rPr>
          <w:rFonts w:ascii="Courier New" w:cs="Courier New" w:eastAsia="Courier New" w:hAnsi="Courier New"/>
          <w:sz w:val="16"/>
          <w:szCs w:val="16"/>
          <w:color w:val="auto"/>
        </w:rPr>
        <w:t>54</w:t>
      </w:r>
    </w:p>
    <w:p>
      <w:pPr>
        <w:spacing w:after="0" w:line="5" w:lineRule="exact"/>
        <w:rPr>
          <w:sz w:val="20"/>
          <w:szCs w:val="20"/>
          <w:color w:val="auto"/>
        </w:rPr>
      </w:pPr>
    </w:p>
    <w:p>
      <w:pPr>
        <w:ind w:right="2539" w:firstLine="1728"/>
        <w:spacing w:after="0" w:line="263" w:lineRule="auto"/>
        <w:tabs>
          <w:tab w:leader="none" w:pos="2114"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either Chase or Morgan, upon written notice to the other party, if the Merger shall not have been consummated on or before June 30, 2001; provided, however, that the right to terminate this Agreement under this Section 7.1(c) shall not be available to any party whose failure to comply with Section 5.3 or any other provision of this Agreement has been the cause of, or resulted in, the failure of the Effective Time to occur on or before such date;</w:t>
      </w:r>
    </w:p>
    <w:p>
      <w:pPr>
        <w:spacing w:after="0" w:line="176" w:lineRule="exact"/>
        <w:rPr>
          <w:rFonts w:ascii="Courier New" w:cs="Courier New" w:eastAsia="Courier New" w:hAnsi="Courier New"/>
          <w:sz w:val="15"/>
          <w:szCs w:val="15"/>
          <w:color w:val="auto"/>
        </w:rPr>
      </w:pPr>
    </w:p>
    <w:p>
      <w:pPr>
        <w:ind w:right="2539" w:firstLine="1728"/>
        <w:spacing w:after="0" w:line="244" w:lineRule="auto"/>
        <w:tabs>
          <w:tab w:leader="none" w:pos="2114" w:val="left"/>
        </w:tabs>
        <w:numPr>
          <w:ilvl w:val="0"/>
          <w:numId w:val="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Chase, upon written notice to Morgan, if Morgan shall have (i) failed to make the Morgan Board Recommendation or effected a Change in Morgan Recommendation (or resolved to take any such action), whether or not permitted by the terms hereof, or (ii) materially breached its obligations under this Agreement by reason of a failure to call the Morgan Stockholders Meeting in accordance with Section 5.1(b) or a failure to prepare and mail to its stockholders the Joint Proxy Statement/Prospectus in accordance with Section 5.1(a); or</w:t>
      </w:r>
    </w:p>
    <w:p>
      <w:pPr>
        <w:spacing w:after="0" w:line="188" w:lineRule="exact"/>
        <w:rPr>
          <w:rFonts w:ascii="Courier New" w:cs="Courier New" w:eastAsia="Courier New" w:hAnsi="Courier New"/>
          <w:sz w:val="16"/>
          <w:szCs w:val="16"/>
          <w:color w:val="auto"/>
        </w:rPr>
      </w:pPr>
    </w:p>
    <w:p>
      <w:pPr>
        <w:ind w:right="2539" w:firstLine="1728"/>
        <w:spacing w:after="0" w:line="244" w:lineRule="auto"/>
        <w:tabs>
          <w:tab w:leader="none" w:pos="2114" w:val="left"/>
        </w:tabs>
        <w:numPr>
          <w:ilvl w:val="0"/>
          <w:numId w:val="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Morgan, upon written notice to Chase, if Chase shall have (i) failed to make the Chase Board Recommendation or effected a Change in Chase Recommendation (or resolved to take any such action), whether or not permitted by the terms hereof, or (ii) materially breached its obligations under this Agreement by reason of a failure to call the Chase Stockholders Meeting in accordance with Section 5.1(c) or a failure to prepare and mail to its stockholders the Joint Proxy Statement/Prospectus in accordance with Section 5.1(a).</w:t>
      </w:r>
    </w:p>
    <w:p>
      <w:pPr>
        <w:spacing w:after="0" w:line="189" w:lineRule="exact"/>
        <w:rPr>
          <w:sz w:val="20"/>
          <w:szCs w:val="20"/>
          <w:color w:val="auto"/>
        </w:rPr>
      </w:pPr>
    </w:p>
    <w:p>
      <w:pPr>
        <w:ind w:right="2539" w:firstLine="865"/>
        <w:spacing w:after="0" w:line="244" w:lineRule="auto"/>
        <w:rPr>
          <w:sz w:val="20"/>
          <w:szCs w:val="20"/>
          <w:color w:val="auto"/>
        </w:rPr>
      </w:pPr>
      <w:r>
        <w:rPr>
          <w:rFonts w:ascii="Courier New" w:cs="Courier New" w:eastAsia="Courier New" w:hAnsi="Courier New"/>
          <w:sz w:val="16"/>
          <w:szCs w:val="16"/>
          <w:color w:val="auto"/>
        </w:rPr>
        <w:t>7.2. Effect of Termination. (a) In the event of termination of this Agreement by either Morgan or Chase as provided in Section 7.1, this Agreement shall forthwith become void and there shall be no liability or obligation on the part of Chase or Morgan or their respective officers or directors, except with respect to Sections 3.1(t) and 3.2(t), Section 5.2(b), Section 5.9, this Section 7.2 and Article VIII, which shall survive such termination and except that no party shall be relieved or released from any liabilities or damages arising out of its willful and material breach of this Agreement.</w:t>
      </w:r>
    </w:p>
    <w:p>
      <w:pPr>
        <w:spacing w:after="0" w:line="189" w:lineRule="exact"/>
        <w:rPr>
          <w:sz w:val="20"/>
          <w:szCs w:val="20"/>
          <w:color w:val="auto"/>
        </w:rPr>
      </w:pPr>
    </w:p>
    <w:p>
      <w:pPr>
        <w:ind w:right="2639" w:firstLine="1728"/>
        <w:spacing w:after="0" w:line="243" w:lineRule="auto"/>
        <w:tabs>
          <w:tab w:leader="none" w:pos="2114" w:val="left"/>
        </w:tabs>
        <w:numPr>
          <w:ilvl w:val="1"/>
          <w:numId w:val="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Chase shall pay Morgan, by wire transfer of immediately available funds, the sum of $1.25 billion (the "Chase Termination Fee") if this Agreement is terminated as follows:</w:t>
      </w:r>
    </w:p>
    <w:p>
      <w:pPr>
        <w:spacing w:after="0" w:line="188" w:lineRule="exact"/>
        <w:rPr>
          <w:rFonts w:ascii="Courier New" w:cs="Courier New" w:eastAsia="Courier New" w:hAnsi="Courier New"/>
          <w:sz w:val="16"/>
          <w:szCs w:val="16"/>
          <w:color w:val="auto"/>
        </w:rPr>
      </w:pPr>
    </w:p>
    <w:p>
      <w:pPr>
        <w:ind w:left="860" w:right="2719" w:firstLine="676"/>
        <w:spacing w:after="0" w:line="243" w:lineRule="auto"/>
        <w:tabs>
          <w:tab w:leader="none" w:pos="1917" w:val="left"/>
        </w:tabs>
        <w:numPr>
          <w:ilvl w:val="0"/>
          <w:numId w:val="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Morgan shall terminate this Agreement pursuant to Section 7.1(e), then Chase shall pay the Chase Termination Fee on the business day following such termination;</w:t>
      </w:r>
    </w:p>
    <w:p>
      <w:pPr>
        <w:spacing w:after="0" w:line="188" w:lineRule="exact"/>
        <w:rPr>
          <w:rFonts w:ascii="Courier New" w:cs="Courier New" w:eastAsia="Courier New" w:hAnsi="Courier New"/>
          <w:sz w:val="16"/>
          <w:szCs w:val="16"/>
          <w:color w:val="auto"/>
        </w:rPr>
      </w:pPr>
    </w:p>
    <w:p>
      <w:pPr>
        <w:ind w:left="860" w:right="2539" w:firstLine="676"/>
        <w:spacing w:after="0" w:line="244" w:lineRule="auto"/>
        <w:tabs>
          <w:tab w:leader="none" w:pos="2013" w:val="left"/>
        </w:tabs>
        <w:numPr>
          <w:ilvl w:val="0"/>
          <w:numId w:val="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 either party shall terminate this Agreement pursuant to Section 7.1(c), (B) the approval of the stockholders of Chase contemplated by this Agreement shall not have been obtained by reason of the failure to obtain the Required Chase Vote at the Chase Stockholders Meeting; and (C) at any time after the date of this Agreement and at or before the date of the Chase Stockholders Meeting an Acquisition Proposal shall have been publicly announced or otherwise communicated to the senior management or Board of Directors of Chase (a "Public Proposal" with respect to Chase), then Chase shall pay one-third of the Chase Termination Fee on the business day following such termination; and if (D) within eighteen (18) months of the date of such termination of this Agreement, Chase or any of its Subsidiaries executes any definitive agreement with respect to, or consummates, any Acquisition Proposal, then Chase shall pay the remaining two-thirds of the Chase Termination Fee upon the date of such execution or consummation; and</w:t>
      </w:r>
    </w:p>
    <w:p>
      <w:pPr>
        <w:sectPr>
          <w:pgSz w:w="11900" w:h="16838" w:orient="portrait"/>
          <w:cols w:equalWidth="0" w:num="1">
            <w:col w:w="10219"/>
          </w:cols>
          <w:pgMar w:left="240" w:top="300" w:right="1440" w:bottom="1440" w:gutter="0" w:footer="0" w:header="0"/>
        </w:sectPr>
      </w:pPr>
    </w:p>
    <w:bookmarkStart w:id="59" w:name="page60"/>
    <w:bookmarkEnd w:id="59"/>
    <w:p>
      <w:pPr>
        <w:ind w:left="280"/>
        <w:spacing w:after="0"/>
        <w:rPr>
          <w:sz w:val="20"/>
          <w:szCs w:val="20"/>
          <w:color w:val="auto"/>
        </w:rPr>
      </w:pPr>
      <w:r>
        <w:rPr>
          <w:rFonts w:ascii="Courier New" w:cs="Courier New" w:eastAsia="Courier New" w:hAnsi="Courier New"/>
          <w:sz w:val="16"/>
          <w:szCs w:val="16"/>
          <w:color w:val="auto"/>
        </w:rPr>
        <w:t>55</w:t>
      </w:r>
    </w:p>
    <w:p>
      <w:pPr>
        <w:spacing w:after="0" w:line="5" w:lineRule="exact"/>
        <w:rPr>
          <w:sz w:val="20"/>
          <w:szCs w:val="20"/>
          <w:color w:val="auto"/>
        </w:rPr>
      </w:pPr>
    </w:p>
    <w:p>
      <w:pPr>
        <w:ind w:left="860" w:right="2539" w:firstLine="676"/>
        <w:spacing w:after="0" w:line="244" w:lineRule="auto"/>
        <w:tabs>
          <w:tab w:leader="none" w:pos="2109" w:val="left"/>
        </w:tabs>
        <w:numPr>
          <w:ilvl w:val="0"/>
          <w:numId w:val="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 either party shall terminate this Agreement pursuant to Section 7.1(c), (B) at any time after the date of this Agreement and before such termination there shall have been a Public Proposal with respect to Chase, and (C) following the occurrence of such Public Proposal, Chase shall have intentionally breached (and not cured after notice thereof) any representations, warranties, covenants or agreements set forth in this Agreement, which breach shall have materially contributed to the failure of the Effective Time to occur on or before the date specified in Section 7.1(c), then Chase shall pay one-third of the Chase Termination Fee on the business day following such termination; and if (D) within eighteen (18) months of the date of such termination of this Agreement, Chase or any of its Subsidiaries executes any definitive agreement with respect to, or consummates, any Acquisition Proposal, then Chase shall pay the remaining two-thirds of the Chase Termination Fee upon the date of such execution or consummation.</w:t>
      </w:r>
    </w:p>
    <w:p>
      <w:pPr>
        <w:spacing w:after="0" w:line="193"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If Chase fails to pay all amounts due to Morgan on the dates specified, then Chase shall pay all costs and expenses (including legal fees and expenses) incurred by Morgan in connection with any action or proceeding (including the filing of any lawsuit) taken by it to collect such unpaid amounts, together with interest on such unpaid amounts at the prime lending rate prevailing at such time, as published in the Wall Street Journal, from the date such amounts were required to be paid until the date actually received by Morgan.</w:t>
      </w:r>
    </w:p>
    <w:p>
      <w:pPr>
        <w:spacing w:after="0" w:line="188" w:lineRule="exact"/>
        <w:rPr>
          <w:sz w:val="20"/>
          <w:szCs w:val="20"/>
          <w:color w:val="auto"/>
        </w:rPr>
      </w:pPr>
    </w:p>
    <w:p>
      <w:pPr>
        <w:ind w:right="2539" w:firstLine="1728"/>
        <w:spacing w:after="0" w:line="243" w:lineRule="auto"/>
        <w:tabs>
          <w:tab w:leader="none" w:pos="2114" w:val="left"/>
        </w:tabs>
        <w:numPr>
          <w:ilvl w:val="1"/>
          <w:numId w:val="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Morgan shall pay Chase, by wire transfer of immediately available funds, the sum of $1.25 billion (the "Morgan Termination Fee") if this Agreement is terminated as follows:</w:t>
      </w:r>
    </w:p>
    <w:p>
      <w:pPr>
        <w:spacing w:after="0" w:line="186" w:lineRule="exact"/>
        <w:rPr>
          <w:rFonts w:ascii="Courier New" w:cs="Courier New" w:eastAsia="Courier New" w:hAnsi="Courier New"/>
          <w:sz w:val="16"/>
          <w:szCs w:val="16"/>
          <w:color w:val="auto"/>
        </w:rPr>
      </w:pPr>
    </w:p>
    <w:p>
      <w:pPr>
        <w:ind w:left="1920" w:hanging="384"/>
        <w:spacing w:after="0"/>
        <w:tabs>
          <w:tab w:leader="none" w:pos="1920" w:val="left"/>
        </w:tabs>
        <w:numPr>
          <w:ilvl w:val="0"/>
          <w:numId w:val="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Chase shall terminate this Agreement pursuant to</w:t>
      </w:r>
    </w:p>
    <w:p>
      <w:pPr>
        <w:spacing w:after="0" w:line="5" w:lineRule="exact"/>
        <w:rPr>
          <w:sz w:val="20"/>
          <w:szCs w:val="20"/>
          <w:color w:val="auto"/>
        </w:rPr>
      </w:pPr>
    </w:p>
    <w:p>
      <w:pPr>
        <w:ind w:left="860" w:right="2539"/>
        <w:spacing w:after="0" w:line="242" w:lineRule="auto"/>
        <w:rPr>
          <w:sz w:val="20"/>
          <w:szCs w:val="20"/>
          <w:color w:val="auto"/>
        </w:rPr>
      </w:pPr>
      <w:r>
        <w:rPr>
          <w:rFonts w:ascii="Courier New" w:cs="Courier New" w:eastAsia="Courier New" w:hAnsi="Courier New"/>
          <w:sz w:val="16"/>
          <w:szCs w:val="16"/>
          <w:color w:val="auto"/>
        </w:rPr>
        <w:t>Section 7.1(d), then Morgan shall pay the Morgan Termination Fee on the business day following such termination;</w:t>
      </w:r>
    </w:p>
    <w:p>
      <w:pPr>
        <w:spacing w:after="0" w:line="189" w:lineRule="exact"/>
        <w:rPr>
          <w:sz w:val="20"/>
          <w:szCs w:val="20"/>
          <w:color w:val="auto"/>
        </w:rPr>
      </w:pPr>
    </w:p>
    <w:p>
      <w:pPr>
        <w:ind w:left="860" w:right="2639" w:firstLine="676"/>
        <w:spacing w:after="0" w:line="260" w:lineRule="auto"/>
        <w:tabs>
          <w:tab w:leader="none" w:pos="2013" w:val="left"/>
        </w:tabs>
        <w:numPr>
          <w:ilvl w:val="1"/>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 either party shall terminate this Agreement pursuant to Section 7.1(c), (B) the approval of the stockholders of Morgan contemplated by this Agreement shall not have been obtained by reason of the failure to obtain the Required Morgan Vote at the Morgan Stockholders Meeting, and (C) at any time after the date of this Agreement and at or before the date of the Morgan Stockholders Meeting there shall have been a Public Proposal with respect to Morgan, then Morgan shall pay one-third of the Morgan Termination Fee on the business day following such termination; and if (D) within eighteen</w:t>
      </w:r>
    </w:p>
    <w:p>
      <w:pPr>
        <w:spacing w:after="0" w:line="6" w:lineRule="exact"/>
        <w:rPr>
          <w:rFonts w:ascii="Courier New" w:cs="Courier New" w:eastAsia="Courier New" w:hAnsi="Courier New"/>
          <w:sz w:val="15"/>
          <w:szCs w:val="15"/>
          <w:color w:val="auto"/>
        </w:rPr>
      </w:pPr>
    </w:p>
    <w:p>
      <w:pPr>
        <w:ind w:left="860" w:right="2539" w:firstLine="3"/>
        <w:spacing w:after="0" w:line="244" w:lineRule="auto"/>
        <w:tabs>
          <w:tab w:leader="none" w:pos="1340" w:val="left"/>
        </w:tabs>
        <w:numPr>
          <w:ilvl w:val="0"/>
          <w:numId w:val="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months of the date of such termination of this Agreement, Morgan or any of its Subsidiaries enters into any definitive agreement with respect to, or consummates, any Acquisition Proposal, then Morgan shall pay the remaining two-thirds of the Morgan Termination Fee on the date of such execution or consummation; and</w:t>
      </w:r>
    </w:p>
    <w:p>
      <w:pPr>
        <w:spacing w:after="0" w:line="187" w:lineRule="exact"/>
        <w:rPr>
          <w:rFonts w:ascii="Courier New" w:cs="Courier New" w:eastAsia="Courier New" w:hAnsi="Courier New"/>
          <w:sz w:val="16"/>
          <w:szCs w:val="16"/>
          <w:color w:val="auto"/>
        </w:rPr>
      </w:pPr>
    </w:p>
    <w:p>
      <w:pPr>
        <w:ind w:left="860" w:right="2539" w:firstLine="676"/>
        <w:spacing w:after="0" w:line="244" w:lineRule="auto"/>
        <w:tabs>
          <w:tab w:leader="none" w:pos="2109" w:val="left"/>
        </w:tabs>
        <w:numPr>
          <w:ilvl w:val="1"/>
          <w:numId w:val="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 either party shall terminate this Agreement pursuant to Section 7.1(c), (B) at any time after the date of this Agreement and before such termination there shall have been a Public Proposal with respect to Morgan, (C) following the occurrence of such Public Proposal, Morgan shall have intentionally breached (and not cured after notice thereof) any representations, warranties, covenants or agreements set forth in this Agreement, which breach shall have materially contributed to the failure of the Effective Time to occur on or before the date specified in Section 7.1(c), then Morgan shall pay one-third of the Morgan Termination Fee on the business day following such termination; and if (D) within eighteen</w:t>
      </w:r>
    </w:p>
    <w:p>
      <w:pPr>
        <w:sectPr>
          <w:pgSz w:w="11900" w:h="16838" w:orient="portrait"/>
          <w:cols w:equalWidth="0" w:num="1">
            <w:col w:w="10219"/>
          </w:cols>
          <w:pgMar w:left="240" w:top="300" w:right="1440" w:bottom="1440" w:gutter="0" w:footer="0" w:header="0"/>
        </w:sectPr>
      </w:pPr>
    </w:p>
    <w:bookmarkStart w:id="60" w:name="page61"/>
    <w:bookmarkEnd w:id="60"/>
    <w:p>
      <w:pPr>
        <w:ind w:left="281"/>
        <w:spacing w:after="0"/>
        <w:rPr>
          <w:sz w:val="20"/>
          <w:szCs w:val="20"/>
          <w:color w:val="auto"/>
        </w:rPr>
      </w:pPr>
      <w:r>
        <w:rPr>
          <w:rFonts w:ascii="Courier New" w:cs="Courier New" w:eastAsia="Courier New" w:hAnsi="Courier New"/>
          <w:sz w:val="16"/>
          <w:szCs w:val="16"/>
          <w:color w:val="auto"/>
        </w:rPr>
        <w:t>56</w:t>
      </w:r>
    </w:p>
    <w:p>
      <w:pPr>
        <w:spacing w:after="0" w:line="5" w:lineRule="exact"/>
        <w:rPr>
          <w:sz w:val="20"/>
          <w:szCs w:val="20"/>
          <w:color w:val="auto"/>
        </w:rPr>
      </w:pPr>
    </w:p>
    <w:p>
      <w:pPr>
        <w:ind w:left="861" w:right="2539" w:firstLine="3"/>
        <w:spacing w:after="0" w:line="244" w:lineRule="auto"/>
        <w:tabs>
          <w:tab w:leader="none" w:pos="1342" w:val="left"/>
        </w:tabs>
        <w:numPr>
          <w:ilvl w:val="0"/>
          <w:numId w:val="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months of the date of such termination of this Agreement, Morgan or any of its Subsidiaries enters into any definitive agreement with respect to, or consummates, any Acquisition Proposal, then Morgan shall pay the remaining two-thirds of the Morgan Termination Fee upon the date of such execution or consummation.</w:t>
      </w:r>
    </w:p>
    <w:p>
      <w:pPr>
        <w:spacing w:after="0" w:line="187" w:lineRule="exact"/>
        <w:rPr>
          <w:sz w:val="20"/>
          <w:szCs w:val="20"/>
          <w:color w:val="auto"/>
        </w:rPr>
      </w:pPr>
    </w:p>
    <w:p>
      <w:pPr>
        <w:ind w:left="1" w:right="2539"/>
        <w:spacing w:after="0" w:line="244" w:lineRule="auto"/>
        <w:rPr>
          <w:sz w:val="20"/>
          <w:szCs w:val="20"/>
          <w:color w:val="auto"/>
        </w:rPr>
      </w:pPr>
      <w:r>
        <w:rPr>
          <w:rFonts w:ascii="Courier New" w:cs="Courier New" w:eastAsia="Courier New" w:hAnsi="Courier New"/>
          <w:sz w:val="16"/>
          <w:szCs w:val="16"/>
          <w:color w:val="auto"/>
        </w:rPr>
        <w:t>If Morgan fails to pay all amounts due to Chase on the dates specified, then Morgan shall pay all costs and expenses (including legal fees and expenses) incurred by Chase in connection with any action or proceeding (including the filing of any lawsuit) taken by it to collect such unpaid amounts, together with interest on such unpaid amounts at the prime lending rate prevailing at such time, as published in the Wall Street Journal, from the date such amounts were required to be paid until the date actually received by Chase.</w:t>
      </w:r>
    </w:p>
    <w:p>
      <w:pPr>
        <w:spacing w:after="0" w:line="188" w:lineRule="exact"/>
        <w:rPr>
          <w:sz w:val="20"/>
          <w:szCs w:val="20"/>
          <w:color w:val="auto"/>
        </w:rPr>
      </w:pPr>
    </w:p>
    <w:p>
      <w:pPr>
        <w:ind w:left="1" w:right="2539" w:firstLine="865"/>
        <w:spacing w:after="0" w:line="244" w:lineRule="auto"/>
        <w:rPr>
          <w:sz w:val="20"/>
          <w:szCs w:val="20"/>
          <w:color w:val="auto"/>
        </w:rPr>
      </w:pPr>
      <w:r>
        <w:rPr>
          <w:rFonts w:ascii="Courier New" w:cs="Courier New" w:eastAsia="Courier New" w:hAnsi="Courier New"/>
          <w:sz w:val="16"/>
          <w:szCs w:val="16"/>
          <w:color w:val="auto"/>
        </w:rPr>
        <w:t>7.3. Amendment. This Agreement may be amended by the parties hereto, by action taken or authorized by their respective Boards of Directors, at any time before or after approval of the matters presented in connection with the Merger by the stockholders of Morgan or of Chase, but, after any such approval, no amendment shall be made which by law requires further approval by such stockholders without such further approval. This Agreement may not be amended except by an instrument in writing signed on behalf of each of the parties hereto.</w:t>
      </w:r>
    </w:p>
    <w:p>
      <w:pPr>
        <w:spacing w:after="0" w:line="189" w:lineRule="exact"/>
        <w:rPr>
          <w:sz w:val="20"/>
          <w:szCs w:val="20"/>
          <w:color w:val="auto"/>
        </w:rPr>
      </w:pPr>
    </w:p>
    <w:p>
      <w:pPr>
        <w:ind w:left="1" w:right="2719" w:firstLine="865"/>
        <w:spacing w:after="0" w:line="243" w:lineRule="auto"/>
        <w:rPr>
          <w:sz w:val="20"/>
          <w:szCs w:val="20"/>
          <w:color w:val="auto"/>
        </w:rPr>
      </w:pPr>
      <w:r>
        <w:rPr>
          <w:rFonts w:ascii="Courier New" w:cs="Courier New" w:eastAsia="Courier New" w:hAnsi="Courier New"/>
          <w:sz w:val="16"/>
          <w:szCs w:val="16"/>
          <w:color w:val="auto"/>
        </w:rPr>
        <w:t>7.4. Extension; Waiver. At any time prior to the Effective Time, the parties hereto, by action taken or authorized by their respective Board of Directors, may, to the extent legally allowed, (i) extend the time for the performance of any of the obligations or other acts of the other party hereto,</w:t>
      </w:r>
    </w:p>
    <w:p>
      <w:pPr>
        <w:spacing w:after="0" w:line="5" w:lineRule="exact"/>
        <w:rPr>
          <w:sz w:val="20"/>
          <w:szCs w:val="20"/>
          <w:color w:val="auto"/>
        </w:rPr>
      </w:pPr>
    </w:p>
    <w:p>
      <w:pPr>
        <w:ind w:left="1" w:right="2539" w:hanging="1"/>
        <w:spacing w:after="0" w:line="244" w:lineRule="auto"/>
        <w:tabs>
          <w:tab w:leader="none" w:pos="482" w:val="left"/>
        </w:tabs>
        <w:numPr>
          <w:ilvl w:val="0"/>
          <w:numId w:val="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waive any inaccuracies in the representations and warranties contained herein or in any document delivered pursuant hereto and (iii) waive compliance with any of the agreements or conditions contained herein. Any agreement on the part of a party hereto to any such extension or waiver shall be valid only if set forth in a written instrument signed on behalf of such party. The failure of a party to assert any of its rights under this Agreement or otherwise shall not constitute a waiver of those rights.</w:t>
      </w:r>
    </w:p>
    <w:p>
      <w:pPr>
        <w:spacing w:after="0" w:line="186" w:lineRule="exact"/>
        <w:rPr>
          <w:sz w:val="20"/>
          <w:szCs w:val="20"/>
          <w:color w:val="auto"/>
        </w:rPr>
      </w:pPr>
    </w:p>
    <w:p>
      <w:pPr>
        <w:jc w:val="center"/>
        <w:ind w:right="2538"/>
        <w:spacing w:after="0"/>
        <w:rPr>
          <w:sz w:val="20"/>
          <w:szCs w:val="20"/>
          <w:color w:val="auto"/>
        </w:rPr>
      </w:pPr>
      <w:r>
        <w:rPr>
          <w:rFonts w:ascii="Courier New" w:cs="Courier New" w:eastAsia="Courier New" w:hAnsi="Courier New"/>
          <w:sz w:val="16"/>
          <w:szCs w:val="16"/>
          <w:color w:val="auto"/>
        </w:rPr>
        <w:t>ARTICLE VIII</w:t>
      </w:r>
    </w:p>
    <w:p>
      <w:pPr>
        <w:spacing w:after="0" w:line="4" w:lineRule="exact"/>
        <w:rPr>
          <w:sz w:val="20"/>
          <w:szCs w:val="20"/>
          <w:color w:val="auto"/>
        </w:rPr>
      </w:pPr>
    </w:p>
    <w:p>
      <w:pPr>
        <w:jc w:val="center"/>
        <w:ind w:right="2538"/>
        <w:spacing w:after="0"/>
        <w:rPr>
          <w:sz w:val="20"/>
          <w:szCs w:val="20"/>
          <w:color w:val="auto"/>
        </w:rPr>
      </w:pPr>
      <w:r>
        <w:rPr>
          <w:rFonts w:ascii="Courier New" w:cs="Courier New" w:eastAsia="Courier New" w:hAnsi="Courier New"/>
          <w:sz w:val="16"/>
          <w:szCs w:val="16"/>
          <w:color w:val="auto"/>
        </w:rPr>
        <w:t>GENERAL PROVISIONS</w:t>
      </w:r>
    </w:p>
    <w:p>
      <w:pPr>
        <w:spacing w:after="0" w:line="190" w:lineRule="exact"/>
        <w:rPr>
          <w:sz w:val="20"/>
          <w:szCs w:val="20"/>
          <w:color w:val="auto"/>
        </w:rPr>
      </w:pPr>
    </w:p>
    <w:p>
      <w:pPr>
        <w:ind w:left="1" w:right="2539" w:firstLine="865"/>
        <w:spacing w:after="0" w:line="262" w:lineRule="auto"/>
        <w:rPr>
          <w:sz w:val="20"/>
          <w:szCs w:val="20"/>
          <w:color w:val="auto"/>
        </w:rPr>
      </w:pPr>
      <w:r>
        <w:rPr>
          <w:rFonts w:ascii="Courier New" w:cs="Courier New" w:eastAsia="Courier New" w:hAnsi="Courier New"/>
          <w:sz w:val="15"/>
          <w:szCs w:val="15"/>
          <w:color w:val="auto"/>
        </w:rPr>
        <w:t>8.1. Non-survival of Representations, Warranties and Agreements. None of the representations, warranties, covenants and agreements in this Agreement or in any instrument delivered pursuant to this Agreement (other than the Stock Option Agreements, which shall terminate in accordance with their terms), including any rights arising out of any breach of such representations, warranties, covenants, and agreements, shall survive the Effective Time, except for those covenants and agreements contained herein and therein that by their terms apply or are to be performed in whole or in part after the Effective Time.</w:t>
      </w:r>
    </w:p>
    <w:p>
      <w:pPr>
        <w:spacing w:after="0" w:line="179" w:lineRule="exact"/>
        <w:rPr>
          <w:sz w:val="20"/>
          <w:szCs w:val="20"/>
          <w:color w:val="auto"/>
        </w:rPr>
      </w:pPr>
    </w:p>
    <w:p>
      <w:pPr>
        <w:ind w:left="1" w:right="2539" w:firstLine="865"/>
        <w:spacing w:after="0" w:line="262" w:lineRule="auto"/>
        <w:rPr>
          <w:sz w:val="20"/>
          <w:szCs w:val="20"/>
          <w:color w:val="auto"/>
        </w:rPr>
      </w:pPr>
      <w:r>
        <w:rPr>
          <w:rFonts w:ascii="Courier New" w:cs="Courier New" w:eastAsia="Courier New" w:hAnsi="Courier New"/>
          <w:sz w:val="15"/>
          <w:szCs w:val="15"/>
          <w:color w:val="auto"/>
        </w:rPr>
        <w:t>8.2. Notices. All notices and other communications hereunder shall be in writing and shall be deemed duly given (a) on the date of delivery if delivered personally, or by telecopy or telefacsimile, upon confirmation of receipt, (b) on the first business day following the date of dispatch if delivered by a recognized next-day courier service, or (c) on the third business day following the date of mailing if delivered by registered or certified mail, return receipt requested, postage prepaid. All notices hereunder shall be delivered as set forth below, or pursuant to such other instructions as may be designated in writing by the party to receive such notice.</w:t>
      </w:r>
    </w:p>
    <w:p>
      <w:pPr>
        <w:spacing w:after="0" w:line="176" w:lineRule="exact"/>
        <w:rPr>
          <w:sz w:val="20"/>
          <w:szCs w:val="20"/>
          <w:color w:val="auto"/>
        </w:rPr>
      </w:pPr>
    </w:p>
    <w:p>
      <w:pPr>
        <w:ind w:left="861"/>
        <w:spacing w:after="0"/>
        <w:rPr>
          <w:sz w:val="20"/>
          <w:szCs w:val="20"/>
          <w:color w:val="auto"/>
        </w:rPr>
      </w:pPr>
      <w:r>
        <w:rPr>
          <w:rFonts w:ascii="Courier New" w:cs="Courier New" w:eastAsia="Courier New" w:hAnsi="Courier New"/>
          <w:sz w:val="16"/>
          <w:szCs w:val="16"/>
          <w:color w:val="auto"/>
        </w:rPr>
        <w:t>(a) if to Chase, to</w:t>
      </w:r>
    </w:p>
    <w:p>
      <w:pPr>
        <w:sectPr>
          <w:pgSz w:w="11900" w:h="16838" w:orient="portrait"/>
          <w:cols w:equalWidth="0" w:num="1">
            <w:col w:w="10221"/>
          </w:cols>
          <w:pgMar w:left="239" w:top="300" w:right="1440" w:bottom="1440" w:gutter="0" w:footer="0" w:header="0"/>
        </w:sectPr>
      </w:pPr>
    </w:p>
    <w:bookmarkStart w:id="61" w:name="page62"/>
    <w:bookmarkEnd w:id="61"/>
    <w:p>
      <w:pPr>
        <w:ind w:left="280"/>
        <w:spacing w:after="0"/>
        <w:rPr>
          <w:sz w:val="20"/>
          <w:szCs w:val="20"/>
          <w:color w:val="auto"/>
        </w:rPr>
      </w:pPr>
      <w:r>
        <w:rPr>
          <w:rFonts w:ascii="Courier New" w:cs="Courier New" w:eastAsia="Courier New" w:hAnsi="Courier New"/>
          <w:sz w:val="16"/>
          <w:szCs w:val="16"/>
          <w:color w:val="auto"/>
        </w:rPr>
        <w:t>57</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The Chase Manhattan Corporation</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270 Park Avenue</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New York, N.Y. 10017</w:t>
      </w:r>
    </w:p>
    <w:p>
      <w:pPr>
        <w:spacing w:after="0" w:line="4" w:lineRule="exact"/>
        <w:rPr>
          <w:sz w:val="20"/>
          <w:szCs w:val="20"/>
          <w:color w:val="auto"/>
        </w:rPr>
      </w:pPr>
    </w:p>
    <w:p>
      <w:pPr>
        <w:ind w:left="860"/>
        <w:spacing w:after="0"/>
        <w:tabs>
          <w:tab w:leader="none" w:pos="2000" w:val="left"/>
        </w:tabs>
        <w:rPr>
          <w:sz w:val="20"/>
          <w:szCs w:val="20"/>
          <w:color w:val="auto"/>
        </w:rPr>
      </w:pPr>
      <w:r>
        <w:rPr>
          <w:rFonts w:ascii="Courier New" w:cs="Courier New" w:eastAsia="Courier New" w:hAnsi="Courier New"/>
          <w:sz w:val="16"/>
          <w:szCs w:val="16"/>
          <w:color w:val="auto"/>
        </w:rPr>
        <w:t>Attention:</w:t>
        <w:tab/>
        <w:t>William H. McDavid, Esq.</w:t>
      </w:r>
    </w:p>
    <w:p>
      <w:pPr>
        <w:spacing w:after="0" w:line="4" w:lineRule="exact"/>
        <w:rPr>
          <w:sz w:val="20"/>
          <w:szCs w:val="20"/>
          <w:color w:val="auto"/>
        </w:rPr>
      </w:pPr>
    </w:p>
    <w:p>
      <w:pPr>
        <w:ind w:left="860"/>
        <w:spacing w:after="0"/>
        <w:tabs>
          <w:tab w:leader="none" w:pos="2280" w:val="left"/>
        </w:tabs>
        <w:rPr>
          <w:sz w:val="20"/>
          <w:szCs w:val="20"/>
          <w:color w:val="auto"/>
        </w:rPr>
      </w:pPr>
      <w:r>
        <w:rPr>
          <w:rFonts w:ascii="Courier New" w:cs="Courier New" w:eastAsia="Courier New" w:hAnsi="Courier New"/>
          <w:sz w:val="16"/>
          <w:szCs w:val="16"/>
          <w:color w:val="auto"/>
        </w:rPr>
        <w:t>Telecopy No.:</w:t>
      </w:r>
      <w:r>
        <w:rPr>
          <w:sz w:val="20"/>
          <w:szCs w:val="20"/>
          <w:color w:val="auto"/>
        </w:rPr>
        <w:tab/>
      </w:r>
      <w:r>
        <w:rPr>
          <w:rFonts w:ascii="Courier New" w:cs="Courier New" w:eastAsia="Courier New" w:hAnsi="Courier New"/>
          <w:sz w:val="15"/>
          <w:szCs w:val="15"/>
          <w:color w:val="auto"/>
        </w:rPr>
        <w:t>(212) 270-4288</w:t>
      </w:r>
    </w:p>
    <w:p>
      <w:pPr>
        <w:spacing w:after="0" w:line="188"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with a copy to</w:t>
      </w:r>
    </w:p>
    <w:p>
      <w:pPr>
        <w:spacing w:after="0" w:line="188"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Simpson Thacher &amp; Bartlett</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425 Lexington Avenue</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New York, N.Y. 10017</w:t>
      </w:r>
    </w:p>
    <w:p>
      <w:pPr>
        <w:spacing w:after="0" w:line="4" w:lineRule="exact"/>
        <w:rPr>
          <w:sz w:val="20"/>
          <w:szCs w:val="20"/>
          <w:color w:val="auto"/>
        </w:rPr>
      </w:pPr>
    </w:p>
    <w:p>
      <w:pPr>
        <w:ind w:left="860"/>
        <w:spacing w:after="0"/>
        <w:tabs>
          <w:tab w:leader="none" w:pos="2000" w:val="left"/>
        </w:tabs>
        <w:rPr>
          <w:sz w:val="20"/>
          <w:szCs w:val="20"/>
          <w:color w:val="auto"/>
        </w:rPr>
      </w:pPr>
      <w:r>
        <w:rPr>
          <w:rFonts w:ascii="Courier New" w:cs="Courier New" w:eastAsia="Courier New" w:hAnsi="Courier New"/>
          <w:sz w:val="16"/>
          <w:szCs w:val="16"/>
          <w:color w:val="auto"/>
        </w:rPr>
        <w:t>Attention:</w:t>
        <w:tab/>
        <w:t>Richard I. Beattie, Esq.</w:t>
      </w:r>
    </w:p>
    <w:p>
      <w:pPr>
        <w:spacing w:after="0" w:line="4" w:lineRule="exact"/>
        <w:rPr>
          <w:sz w:val="20"/>
          <w:szCs w:val="20"/>
          <w:color w:val="auto"/>
        </w:rPr>
      </w:pPr>
    </w:p>
    <w:p>
      <w:pPr>
        <w:ind w:left="2020"/>
        <w:spacing w:after="0"/>
        <w:rPr>
          <w:sz w:val="20"/>
          <w:szCs w:val="20"/>
          <w:color w:val="auto"/>
        </w:rPr>
      </w:pPr>
      <w:r>
        <w:rPr>
          <w:rFonts w:ascii="Courier New" w:cs="Courier New" w:eastAsia="Courier New" w:hAnsi="Courier New"/>
          <w:sz w:val="16"/>
          <w:szCs w:val="16"/>
          <w:color w:val="auto"/>
        </w:rPr>
        <w:t>Lee Meyerson, Esq.</w:t>
      </w:r>
    </w:p>
    <w:p>
      <w:pPr>
        <w:spacing w:after="0" w:line="4" w:lineRule="exact"/>
        <w:rPr>
          <w:sz w:val="20"/>
          <w:szCs w:val="20"/>
          <w:color w:val="auto"/>
        </w:rPr>
      </w:pPr>
    </w:p>
    <w:p>
      <w:pPr>
        <w:ind w:left="860"/>
        <w:spacing w:after="0"/>
        <w:tabs>
          <w:tab w:leader="none" w:pos="2280" w:val="left"/>
        </w:tabs>
        <w:rPr>
          <w:sz w:val="20"/>
          <w:szCs w:val="20"/>
          <w:color w:val="auto"/>
        </w:rPr>
      </w:pPr>
      <w:r>
        <w:rPr>
          <w:rFonts w:ascii="Courier New" w:cs="Courier New" w:eastAsia="Courier New" w:hAnsi="Courier New"/>
          <w:sz w:val="16"/>
          <w:szCs w:val="16"/>
          <w:color w:val="auto"/>
        </w:rPr>
        <w:t>Telecopy No.:</w:t>
      </w:r>
      <w:r>
        <w:rPr>
          <w:sz w:val="20"/>
          <w:szCs w:val="20"/>
          <w:color w:val="auto"/>
        </w:rPr>
        <w:tab/>
      </w:r>
      <w:r>
        <w:rPr>
          <w:rFonts w:ascii="Courier New" w:cs="Courier New" w:eastAsia="Courier New" w:hAnsi="Courier New"/>
          <w:sz w:val="15"/>
          <w:szCs w:val="15"/>
          <w:color w:val="auto"/>
        </w:rPr>
        <w:t>(212) 455-2502</w:t>
      </w:r>
    </w:p>
    <w:p>
      <w:pPr>
        <w:spacing w:after="0" w:line="188" w:lineRule="exact"/>
        <w:rPr>
          <w:sz w:val="20"/>
          <w:szCs w:val="20"/>
          <w:color w:val="auto"/>
        </w:rPr>
      </w:pPr>
    </w:p>
    <w:p>
      <w:pPr>
        <w:ind w:left="1720"/>
        <w:spacing w:after="0"/>
        <w:rPr>
          <w:sz w:val="20"/>
          <w:szCs w:val="20"/>
          <w:color w:val="auto"/>
        </w:rPr>
      </w:pPr>
      <w:r>
        <w:rPr>
          <w:rFonts w:ascii="Courier New" w:cs="Courier New" w:eastAsia="Courier New" w:hAnsi="Courier New"/>
          <w:sz w:val="16"/>
          <w:szCs w:val="16"/>
          <w:color w:val="auto"/>
        </w:rPr>
        <w:t>and</w:t>
      </w:r>
    </w:p>
    <w:p>
      <w:pPr>
        <w:spacing w:after="0" w:line="188"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(b) if to Morgan, to</w:t>
      </w:r>
    </w:p>
    <w:p>
      <w:pPr>
        <w:spacing w:after="0" w:line="188"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J.P. Morgan &amp; Co. Incorporated</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60 Wall Street</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New York, N.Y. 10260</w:t>
      </w:r>
    </w:p>
    <w:p>
      <w:pPr>
        <w:spacing w:after="0" w:line="4" w:lineRule="exact"/>
        <w:rPr>
          <w:sz w:val="20"/>
          <w:szCs w:val="20"/>
          <w:color w:val="auto"/>
        </w:rPr>
      </w:pPr>
    </w:p>
    <w:p>
      <w:pPr>
        <w:ind w:left="860"/>
        <w:spacing w:after="0"/>
        <w:tabs>
          <w:tab w:leader="none" w:pos="2000" w:val="left"/>
        </w:tabs>
        <w:rPr>
          <w:sz w:val="20"/>
          <w:szCs w:val="20"/>
          <w:color w:val="auto"/>
        </w:rPr>
      </w:pPr>
      <w:r>
        <w:rPr>
          <w:rFonts w:ascii="Courier New" w:cs="Courier New" w:eastAsia="Courier New" w:hAnsi="Courier New"/>
          <w:sz w:val="16"/>
          <w:szCs w:val="16"/>
          <w:color w:val="auto"/>
        </w:rPr>
        <w:t>Attention:</w:t>
        <w:tab/>
        <w:t>Edward J. Kelly III</w:t>
      </w:r>
    </w:p>
    <w:p>
      <w:pPr>
        <w:spacing w:after="0" w:line="4" w:lineRule="exact"/>
        <w:rPr>
          <w:sz w:val="20"/>
          <w:szCs w:val="20"/>
          <w:color w:val="auto"/>
        </w:rPr>
      </w:pPr>
    </w:p>
    <w:p>
      <w:pPr>
        <w:ind w:left="860"/>
        <w:spacing w:after="0"/>
        <w:tabs>
          <w:tab w:leader="none" w:pos="2280" w:val="left"/>
        </w:tabs>
        <w:rPr>
          <w:sz w:val="20"/>
          <w:szCs w:val="20"/>
          <w:color w:val="auto"/>
        </w:rPr>
      </w:pPr>
      <w:r>
        <w:rPr>
          <w:rFonts w:ascii="Courier New" w:cs="Courier New" w:eastAsia="Courier New" w:hAnsi="Courier New"/>
          <w:sz w:val="16"/>
          <w:szCs w:val="16"/>
          <w:color w:val="auto"/>
        </w:rPr>
        <w:t>Telecopy No.:</w:t>
      </w:r>
      <w:r>
        <w:rPr>
          <w:sz w:val="20"/>
          <w:szCs w:val="20"/>
          <w:color w:val="auto"/>
        </w:rPr>
        <w:tab/>
      </w:r>
      <w:r>
        <w:rPr>
          <w:rFonts w:ascii="Courier New" w:cs="Courier New" w:eastAsia="Courier New" w:hAnsi="Courier New"/>
          <w:sz w:val="15"/>
          <w:szCs w:val="15"/>
          <w:color w:val="auto"/>
        </w:rPr>
        <w:t>(212) 648-5484</w:t>
      </w:r>
    </w:p>
    <w:p>
      <w:pPr>
        <w:spacing w:after="0" w:line="188"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with a copy to</w:t>
      </w:r>
    </w:p>
    <w:p>
      <w:pPr>
        <w:spacing w:after="0" w:line="188"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Davis Polk &amp; Wardwell</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450 Lexington Avenue</w:t>
      </w:r>
    </w:p>
    <w:p>
      <w:pPr>
        <w:spacing w:after="0" w:line="4" w:lineRule="exact"/>
        <w:rPr>
          <w:sz w:val="20"/>
          <w:szCs w:val="20"/>
          <w:color w:val="auto"/>
        </w:rPr>
      </w:pPr>
    </w:p>
    <w:p>
      <w:pPr>
        <w:ind w:left="860"/>
        <w:spacing w:after="0"/>
        <w:tabs>
          <w:tab w:leader="none" w:pos="2180" w:val="left"/>
        </w:tabs>
        <w:rPr>
          <w:sz w:val="20"/>
          <w:szCs w:val="20"/>
          <w:color w:val="auto"/>
        </w:rPr>
      </w:pPr>
      <w:r>
        <w:rPr>
          <w:rFonts w:ascii="Courier New" w:cs="Courier New" w:eastAsia="Courier New" w:hAnsi="Courier New"/>
          <w:sz w:val="16"/>
          <w:szCs w:val="16"/>
          <w:color w:val="auto"/>
        </w:rPr>
        <w:t>New York, NY</w:t>
        <w:tab/>
        <w:t>10017</w:t>
      </w:r>
    </w:p>
    <w:p>
      <w:pPr>
        <w:spacing w:after="0" w:line="4" w:lineRule="exact"/>
        <w:rPr>
          <w:sz w:val="20"/>
          <w:szCs w:val="20"/>
          <w:color w:val="auto"/>
        </w:rPr>
      </w:pPr>
    </w:p>
    <w:p>
      <w:pPr>
        <w:ind w:left="860"/>
        <w:spacing w:after="0"/>
        <w:tabs>
          <w:tab w:leader="none" w:pos="2000" w:val="left"/>
        </w:tabs>
        <w:rPr>
          <w:sz w:val="20"/>
          <w:szCs w:val="20"/>
          <w:color w:val="auto"/>
        </w:rPr>
      </w:pPr>
      <w:r>
        <w:rPr>
          <w:rFonts w:ascii="Courier New" w:cs="Courier New" w:eastAsia="Courier New" w:hAnsi="Courier New"/>
          <w:sz w:val="16"/>
          <w:szCs w:val="16"/>
          <w:color w:val="auto"/>
        </w:rPr>
        <w:t>Attention:</w:t>
        <w:tab/>
        <w:t>George R. Bason, Jr., Esq.</w:t>
      </w:r>
    </w:p>
    <w:p>
      <w:pPr>
        <w:spacing w:after="0" w:line="4" w:lineRule="exact"/>
        <w:rPr>
          <w:sz w:val="20"/>
          <w:szCs w:val="20"/>
          <w:color w:val="auto"/>
        </w:rPr>
      </w:pPr>
    </w:p>
    <w:p>
      <w:pPr>
        <w:ind w:left="860"/>
        <w:spacing w:after="0"/>
        <w:tabs>
          <w:tab w:leader="none" w:pos="2280" w:val="left"/>
        </w:tabs>
        <w:rPr>
          <w:sz w:val="20"/>
          <w:szCs w:val="20"/>
          <w:color w:val="auto"/>
        </w:rPr>
      </w:pPr>
      <w:r>
        <w:rPr>
          <w:rFonts w:ascii="Courier New" w:cs="Courier New" w:eastAsia="Courier New" w:hAnsi="Courier New"/>
          <w:sz w:val="16"/>
          <w:szCs w:val="16"/>
          <w:color w:val="auto"/>
        </w:rPr>
        <w:t>Telecopy No.:</w:t>
      </w:r>
      <w:r>
        <w:rPr>
          <w:sz w:val="20"/>
          <w:szCs w:val="20"/>
          <w:color w:val="auto"/>
        </w:rPr>
        <w:tab/>
      </w:r>
      <w:r>
        <w:rPr>
          <w:rFonts w:ascii="Courier New" w:cs="Courier New" w:eastAsia="Courier New" w:hAnsi="Courier New"/>
          <w:sz w:val="15"/>
          <w:szCs w:val="15"/>
          <w:color w:val="auto"/>
        </w:rPr>
        <w:t>(212) 450-4800</w:t>
      </w:r>
    </w:p>
    <w:p>
      <w:pPr>
        <w:spacing w:after="0" w:line="190" w:lineRule="exact"/>
        <w:rPr>
          <w:sz w:val="20"/>
          <w:szCs w:val="20"/>
          <w:color w:val="auto"/>
        </w:rPr>
      </w:pPr>
    </w:p>
    <w:p>
      <w:pPr>
        <w:ind w:right="2539" w:firstLine="865"/>
        <w:spacing w:after="0" w:line="262" w:lineRule="auto"/>
        <w:rPr>
          <w:sz w:val="20"/>
          <w:szCs w:val="20"/>
          <w:color w:val="auto"/>
        </w:rPr>
      </w:pPr>
      <w:r>
        <w:rPr>
          <w:rFonts w:ascii="Courier New" w:cs="Courier New" w:eastAsia="Courier New" w:hAnsi="Courier New"/>
          <w:sz w:val="15"/>
          <w:szCs w:val="15"/>
          <w:color w:val="auto"/>
        </w:rPr>
        <w:t>8.3. Interpretation. When a reference is made in this Agreement to Sections, Exhibits or Schedules, such reference shall be to a Section of or Exhibit or Schedule to this Agreement unless otherwise indicated. The table of contents and headings contained in this Agreement are for reference purposes only and shall not affect in any way the meaning or interpretation of this Agreement. Whenever the words "include", "includes" or "including" are used in this Agreement, they shall be deemed to be followed by the words "without limitation". The phrase "made available" in this Agreement shall mean that the information referred to has been made available if requested by the party to whom such information is to be made available. The phrases "the date of this Agreement", "the date hereof" and terms of similar import, unless the context otherwise requires, shall be deemed to refer to September 12, 2000. The phrases "known" or "knowledge" mean, with respect to either party to this Agreement, the actual knowledge of such party's executive officers after reasonable inquiry.</w:t>
      </w:r>
    </w:p>
    <w:p>
      <w:pPr>
        <w:sectPr>
          <w:pgSz w:w="11900" w:h="16838" w:orient="portrait"/>
          <w:cols w:equalWidth="0" w:num="1">
            <w:col w:w="10219"/>
          </w:cols>
          <w:pgMar w:left="240" w:top="300" w:right="1440" w:bottom="1440" w:gutter="0" w:footer="0" w:header="0"/>
        </w:sectPr>
      </w:pPr>
    </w:p>
    <w:bookmarkStart w:id="62" w:name="page63"/>
    <w:bookmarkEnd w:id="62"/>
    <w:p>
      <w:pPr>
        <w:ind w:left="281"/>
        <w:spacing w:after="0"/>
        <w:rPr>
          <w:sz w:val="20"/>
          <w:szCs w:val="20"/>
          <w:color w:val="auto"/>
        </w:rPr>
      </w:pPr>
      <w:r>
        <w:rPr>
          <w:rFonts w:ascii="Courier New" w:cs="Courier New" w:eastAsia="Courier New" w:hAnsi="Courier New"/>
          <w:sz w:val="16"/>
          <w:szCs w:val="16"/>
          <w:color w:val="auto"/>
        </w:rPr>
        <w:t>58</w:t>
      </w:r>
    </w:p>
    <w:p>
      <w:pPr>
        <w:spacing w:after="0" w:line="5" w:lineRule="exact"/>
        <w:rPr>
          <w:sz w:val="20"/>
          <w:szCs w:val="20"/>
          <w:color w:val="auto"/>
        </w:rPr>
      </w:pPr>
    </w:p>
    <w:p>
      <w:pPr>
        <w:ind w:left="1" w:right="2539" w:firstLine="865"/>
        <w:spacing w:after="0" w:line="244" w:lineRule="auto"/>
        <w:rPr>
          <w:sz w:val="20"/>
          <w:szCs w:val="20"/>
          <w:color w:val="auto"/>
        </w:rPr>
      </w:pPr>
      <w:r>
        <w:rPr>
          <w:rFonts w:ascii="Courier New" w:cs="Courier New" w:eastAsia="Courier New" w:hAnsi="Courier New"/>
          <w:sz w:val="16"/>
          <w:szCs w:val="16"/>
          <w:color w:val="auto"/>
        </w:rPr>
        <w:t>8.4. Counterparts. This Agreement may be executed in counterparts, each of which shall be considered one and the same agreement and shall become effective when both counterparts have been signed by each of the parties and delivered to the other party, it being understood that both parties need not sign the same counterpart.</w:t>
      </w:r>
    </w:p>
    <w:p>
      <w:pPr>
        <w:spacing w:after="0" w:line="187" w:lineRule="exact"/>
        <w:rPr>
          <w:sz w:val="20"/>
          <w:szCs w:val="20"/>
          <w:color w:val="auto"/>
        </w:rPr>
      </w:pPr>
    </w:p>
    <w:p>
      <w:pPr>
        <w:ind w:left="1" w:right="2539" w:firstLine="865"/>
        <w:spacing w:after="0" w:line="260" w:lineRule="auto"/>
        <w:rPr>
          <w:sz w:val="20"/>
          <w:szCs w:val="20"/>
          <w:color w:val="auto"/>
        </w:rPr>
      </w:pPr>
      <w:r>
        <w:rPr>
          <w:rFonts w:ascii="Courier New" w:cs="Courier New" w:eastAsia="Courier New" w:hAnsi="Courier New"/>
          <w:sz w:val="15"/>
          <w:szCs w:val="15"/>
          <w:color w:val="auto"/>
        </w:rPr>
        <w:t>8.5. Entire Agreement; No Third Party Beneficiaries. This Agreement (including the documents and the instruments referred to herein, including the Stock Option Agreements) (a) constitutes the entire agreement and supersedes all prior agreements and understandings, both written and oral, between the parties with respect to the subject matter hereof, other than the Confidentiality Agreement, which shall survive the execution and delivery of this Agreement and</w:t>
      </w:r>
    </w:p>
    <w:p>
      <w:pPr>
        <w:spacing w:after="0" w:line="4" w:lineRule="exact"/>
        <w:rPr>
          <w:sz w:val="20"/>
          <w:szCs w:val="20"/>
          <w:color w:val="auto"/>
        </w:rPr>
      </w:pPr>
    </w:p>
    <w:p>
      <w:pPr>
        <w:ind w:left="1" w:right="3119" w:hanging="1"/>
        <w:spacing w:after="0" w:line="274" w:lineRule="auto"/>
        <w:tabs>
          <w:tab w:leader="none" w:pos="386"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provided in Section 5.11, is not intended to confer upon any person other than the parties hereto any rights or remedies hereunder.</w:t>
      </w:r>
    </w:p>
    <w:p>
      <w:pPr>
        <w:spacing w:after="0" w:line="166" w:lineRule="exact"/>
        <w:rPr>
          <w:sz w:val="20"/>
          <w:szCs w:val="20"/>
          <w:color w:val="auto"/>
        </w:rPr>
      </w:pPr>
    </w:p>
    <w:p>
      <w:pPr>
        <w:ind w:left="1" w:right="2719" w:firstLine="865"/>
        <w:spacing w:after="0" w:line="243" w:lineRule="auto"/>
        <w:rPr>
          <w:sz w:val="20"/>
          <w:szCs w:val="20"/>
          <w:color w:val="auto"/>
        </w:rPr>
      </w:pPr>
      <w:r>
        <w:rPr>
          <w:rFonts w:ascii="Courier New" w:cs="Courier New" w:eastAsia="Courier New" w:hAnsi="Courier New"/>
          <w:sz w:val="16"/>
          <w:szCs w:val="16"/>
          <w:color w:val="auto"/>
        </w:rPr>
        <w:t>8.6. Governing Law. This Agreement shall be governed and construed in accordance with the laws of the State of Delaware (without giving effect to choice of law principles thereof).</w:t>
      </w:r>
    </w:p>
    <w:p>
      <w:pPr>
        <w:spacing w:after="0" w:line="189" w:lineRule="exact"/>
        <w:rPr>
          <w:sz w:val="20"/>
          <w:szCs w:val="20"/>
          <w:color w:val="auto"/>
        </w:rPr>
      </w:pPr>
    </w:p>
    <w:p>
      <w:pPr>
        <w:ind w:left="1" w:right="2539" w:firstLine="865"/>
        <w:spacing w:after="0" w:line="244" w:lineRule="auto"/>
        <w:rPr>
          <w:sz w:val="20"/>
          <w:szCs w:val="20"/>
          <w:color w:val="auto"/>
        </w:rPr>
      </w:pPr>
      <w:r>
        <w:rPr>
          <w:rFonts w:ascii="Courier New" w:cs="Courier New" w:eastAsia="Courier New" w:hAnsi="Courier New"/>
          <w:sz w:val="16"/>
          <w:szCs w:val="16"/>
          <w:color w:val="auto"/>
        </w:rPr>
        <w:t>8.7. Severability. Any term or provision of this Agreement which is invalid or unenforceable in any jurisdiction shall, as to that jurisdiction, be ineffective to the extent of such invalidity or unenforceability and, unless the effect of such invalidity or unenforceability would prevent the parties from realizing the major portion of the economic benefits of the Merger that they currently anticipate obtaining therefrom, shall not render invalid or unenforceable the remaining terms and provisions of this Agreement or affect the validity or enforceability of any of the terms or provisions of this Agreement in any other jurisdiction. If any provision of this Agreement is so broad as to be unenforceable, the provision shall be interpreted to be only so broad as is enforceable.</w:t>
      </w:r>
    </w:p>
    <w:p>
      <w:pPr>
        <w:spacing w:after="0" w:line="190" w:lineRule="exact"/>
        <w:rPr>
          <w:sz w:val="20"/>
          <w:szCs w:val="20"/>
          <w:color w:val="auto"/>
        </w:rPr>
      </w:pPr>
    </w:p>
    <w:p>
      <w:pPr>
        <w:ind w:left="1" w:right="2639" w:firstLine="865"/>
        <w:spacing w:after="0" w:line="244" w:lineRule="auto"/>
        <w:rPr>
          <w:sz w:val="20"/>
          <w:szCs w:val="20"/>
          <w:color w:val="auto"/>
        </w:rPr>
      </w:pPr>
      <w:r>
        <w:rPr>
          <w:rFonts w:ascii="Courier New" w:cs="Courier New" w:eastAsia="Courier New" w:hAnsi="Courier New"/>
          <w:sz w:val="16"/>
          <w:szCs w:val="16"/>
          <w:color w:val="auto"/>
        </w:rPr>
        <w:t>8.8. Assignment. Neither this Agreement nor any of the rights, interests or obligations hereunder shall be assigned by either of the parties hereto (whether by operation of law or otherwise) without the prior written consent of the other party, and any attempt to make any such assignment without such consent shall be null and void. Subject to the preceding sentence, this Agreement will be binding upon, inure to the benefit of and be enforceable by the parties and their respective successors and assigns.</w:t>
      </w:r>
    </w:p>
    <w:p>
      <w:pPr>
        <w:spacing w:after="0" w:line="188" w:lineRule="exact"/>
        <w:rPr>
          <w:sz w:val="20"/>
          <w:szCs w:val="20"/>
          <w:color w:val="auto"/>
        </w:rPr>
      </w:pPr>
    </w:p>
    <w:p>
      <w:pPr>
        <w:ind w:left="1" w:right="2539" w:firstLine="865"/>
        <w:spacing w:after="0" w:line="244" w:lineRule="auto"/>
        <w:rPr>
          <w:sz w:val="20"/>
          <w:szCs w:val="20"/>
          <w:color w:val="auto"/>
        </w:rPr>
      </w:pPr>
      <w:r>
        <w:rPr>
          <w:rFonts w:ascii="Courier New" w:cs="Courier New" w:eastAsia="Courier New" w:hAnsi="Courier New"/>
          <w:sz w:val="16"/>
          <w:szCs w:val="16"/>
          <w:color w:val="auto"/>
        </w:rPr>
        <w:t>8.9. Enforcement. The parties agree that irreparable damage would occur in the event that any of the provisions of this Agreement were not performed in accordance with their specific terms or were otherwise breached. It is accordingly agreed that the parties shall be entitled to an injunction or injunctions to prevent breaches of this Agreement and to enforce specifically the terms and provisions of this Agreement in any Federal Court or New York State Court sitting in the Borough of Manhattan, City of New York, this being in addition to any other remedy to which they are entitled at law or in equity.</w:t>
      </w:r>
    </w:p>
    <w:p>
      <w:pPr>
        <w:sectPr>
          <w:pgSz w:w="11900" w:h="16838" w:orient="portrait"/>
          <w:cols w:equalWidth="0" w:num="1">
            <w:col w:w="10221"/>
          </w:cols>
          <w:pgMar w:left="239" w:top="300" w:right="1440" w:bottom="1440" w:gutter="0" w:footer="0" w:header="0"/>
        </w:sectPr>
      </w:pPr>
    </w:p>
    <w:bookmarkStart w:id="63" w:name="page64"/>
    <w:bookmarkEnd w:id="63"/>
    <w:p>
      <w:pPr>
        <w:ind w:left="280"/>
        <w:spacing w:after="0"/>
        <w:rPr>
          <w:sz w:val="20"/>
          <w:szCs w:val="20"/>
          <w:color w:val="auto"/>
        </w:rPr>
      </w:pPr>
      <w:r>
        <w:rPr>
          <w:rFonts w:ascii="Courier New" w:cs="Courier New" w:eastAsia="Courier New" w:hAnsi="Courier New"/>
          <w:sz w:val="16"/>
          <w:szCs w:val="16"/>
          <w:color w:val="auto"/>
        </w:rPr>
        <w:t>59</w:t>
      </w:r>
    </w:p>
    <w:p>
      <w:pPr>
        <w:spacing w:after="0" w:line="5" w:lineRule="exact"/>
        <w:rPr>
          <w:sz w:val="20"/>
          <w:szCs w:val="20"/>
          <w:color w:val="auto"/>
        </w:rPr>
      </w:pPr>
    </w:p>
    <w:p>
      <w:pPr>
        <w:ind w:right="2639"/>
        <w:spacing w:after="0" w:line="243" w:lineRule="auto"/>
        <w:rPr>
          <w:sz w:val="20"/>
          <w:szCs w:val="20"/>
          <w:color w:val="auto"/>
        </w:rPr>
      </w:pPr>
      <w:r>
        <w:rPr>
          <w:rFonts w:ascii="Courier New" w:cs="Courier New" w:eastAsia="Courier New" w:hAnsi="Courier New"/>
          <w:sz w:val="16"/>
          <w:szCs w:val="16"/>
          <w:color w:val="auto"/>
        </w:rPr>
        <w:t>IN WITNESS WHEREOF, Chase and Morgan have caused this Agreement to be signed by their respective officers thereunto duly authorized, all as of September 12, 2000.</w:t>
      </w:r>
    </w:p>
    <w:p>
      <w:pPr>
        <w:spacing w:after="0" w:line="187" w:lineRule="exact"/>
        <w:rPr>
          <w:sz w:val="20"/>
          <w:szCs w:val="20"/>
          <w:color w:val="auto"/>
        </w:rPr>
      </w:pPr>
    </w:p>
    <w:p>
      <w:pPr>
        <w:jc w:val="center"/>
        <w:ind w:right="139"/>
        <w:spacing w:after="0"/>
        <w:rPr>
          <w:sz w:val="20"/>
          <w:szCs w:val="20"/>
          <w:color w:val="auto"/>
        </w:rPr>
      </w:pPr>
      <w:r>
        <w:rPr>
          <w:rFonts w:ascii="Courier New" w:cs="Courier New" w:eastAsia="Courier New" w:hAnsi="Courier New"/>
          <w:sz w:val="16"/>
          <w:szCs w:val="16"/>
          <w:color w:val="auto"/>
        </w:rPr>
        <w:t>THE CHASE MANHATTAN CORPORATION</w:t>
      </w:r>
    </w:p>
    <w:p>
      <w:pPr>
        <w:spacing w:after="0" w:line="200" w:lineRule="exact"/>
        <w:rPr>
          <w:sz w:val="20"/>
          <w:szCs w:val="20"/>
          <w:color w:val="auto"/>
        </w:rPr>
      </w:pPr>
    </w:p>
    <w:p>
      <w:pPr>
        <w:spacing w:after="0" w:line="358" w:lineRule="exact"/>
        <w:rPr>
          <w:sz w:val="20"/>
          <w:szCs w:val="20"/>
          <w:color w:val="auto"/>
        </w:rPr>
      </w:pPr>
    </w:p>
    <w:p>
      <w:pPr>
        <w:jc w:val="center"/>
        <w:ind w:right="-60"/>
        <w:spacing w:after="0"/>
        <w:tabs>
          <w:tab w:leader="none" w:pos="180" w:val="left"/>
        </w:tabs>
        <w:rPr>
          <w:sz w:val="20"/>
          <w:szCs w:val="20"/>
          <w:color w:val="auto"/>
        </w:rPr>
      </w:pPr>
      <w:r>
        <w:rPr>
          <w:rFonts w:ascii="Courier New" w:cs="Courier New" w:eastAsia="Courier New" w:hAnsi="Courier New"/>
          <w:sz w:val="16"/>
          <w:szCs w:val="16"/>
          <w:color w:val="auto"/>
        </w:rPr>
        <w:t>By: /s/</w:t>
      </w:r>
      <w:r>
        <w:rPr>
          <w:sz w:val="20"/>
          <w:szCs w:val="20"/>
          <w:color w:val="auto"/>
        </w:rPr>
        <w:tab/>
      </w:r>
      <w:r>
        <w:rPr>
          <w:rFonts w:ascii="Courier New" w:cs="Courier New" w:eastAsia="Courier New" w:hAnsi="Courier New"/>
          <w:sz w:val="15"/>
          <w:szCs w:val="15"/>
          <w:color w:val="auto"/>
        </w:rPr>
        <w:t>William B. Harrison, Jr.</w:t>
      </w:r>
    </w:p>
    <w:p>
      <w:pPr>
        <w:spacing w:after="0" w:line="5" w:lineRule="exact"/>
        <w:rPr>
          <w:sz w:val="20"/>
          <w:szCs w:val="20"/>
          <w:color w:val="auto"/>
        </w:rPr>
      </w:pPr>
    </w:p>
    <w:p>
      <w:pPr>
        <w:ind w:left="3940"/>
        <w:spacing w:after="0"/>
        <w:rPr>
          <w:sz w:val="20"/>
          <w:szCs w:val="20"/>
          <w:color w:val="auto"/>
        </w:rPr>
      </w:pPr>
      <w:r>
        <w:rPr>
          <w:rFonts w:ascii="Courier New" w:cs="Courier New" w:eastAsia="Courier New" w:hAnsi="Courier New"/>
          <w:sz w:val="15"/>
          <w:szCs w:val="15"/>
          <w:color w:val="auto"/>
        </w:rPr>
        <w:t>---------------------------------------</w:t>
      </w:r>
    </w:p>
    <w:p>
      <w:pPr>
        <w:spacing w:after="0" w:line="13" w:lineRule="exact"/>
        <w:rPr>
          <w:sz w:val="20"/>
          <w:szCs w:val="20"/>
          <w:color w:val="auto"/>
        </w:rPr>
      </w:pPr>
    </w:p>
    <w:p>
      <w:pPr>
        <w:ind w:left="3940"/>
        <w:spacing w:after="0"/>
        <w:tabs>
          <w:tab w:leader="none" w:pos="4600" w:val="left"/>
        </w:tabs>
        <w:rPr>
          <w:sz w:val="20"/>
          <w:szCs w:val="20"/>
          <w:color w:val="auto"/>
        </w:rPr>
      </w:pPr>
      <w:r>
        <w:rPr>
          <w:rFonts w:ascii="Courier New" w:cs="Courier New" w:eastAsia="Courier New" w:hAnsi="Courier New"/>
          <w:sz w:val="16"/>
          <w:szCs w:val="16"/>
          <w:color w:val="auto"/>
        </w:rPr>
        <w:t>Name:</w:t>
        <w:tab/>
        <w:t>William B. Harrison, Jr.</w:t>
      </w:r>
    </w:p>
    <w:p>
      <w:pPr>
        <w:spacing w:after="0" w:line="4" w:lineRule="exact"/>
        <w:rPr>
          <w:sz w:val="20"/>
          <w:szCs w:val="20"/>
          <w:color w:val="auto"/>
        </w:rPr>
      </w:pPr>
    </w:p>
    <w:p>
      <w:pPr>
        <w:ind w:left="3940"/>
        <w:spacing w:after="0"/>
        <w:tabs>
          <w:tab w:leader="none" w:pos="4680" w:val="left"/>
        </w:tabs>
        <w:rPr>
          <w:sz w:val="20"/>
          <w:szCs w:val="20"/>
          <w:color w:val="auto"/>
        </w:rPr>
      </w:pPr>
      <w:r>
        <w:rPr>
          <w:rFonts w:ascii="Courier New" w:cs="Courier New" w:eastAsia="Courier New" w:hAnsi="Courier New"/>
          <w:sz w:val="16"/>
          <w:szCs w:val="16"/>
          <w:color w:val="auto"/>
        </w:rPr>
        <w:t>Title:</w:t>
        <w:tab/>
        <w:t>Chairman and CEO</w:t>
      </w:r>
    </w:p>
    <w:p>
      <w:pPr>
        <w:spacing w:after="0" w:line="373" w:lineRule="exact"/>
        <w:rPr>
          <w:sz w:val="20"/>
          <w:szCs w:val="20"/>
          <w:color w:val="auto"/>
        </w:rPr>
      </w:pPr>
    </w:p>
    <w:p>
      <w:pPr>
        <w:jc w:val="center"/>
        <w:ind w:right="339"/>
        <w:spacing w:after="0"/>
        <w:rPr>
          <w:sz w:val="20"/>
          <w:szCs w:val="20"/>
          <w:color w:val="auto"/>
        </w:rPr>
      </w:pPr>
      <w:r>
        <w:rPr>
          <w:rFonts w:ascii="Courier New" w:cs="Courier New" w:eastAsia="Courier New" w:hAnsi="Courier New"/>
          <w:sz w:val="16"/>
          <w:szCs w:val="16"/>
          <w:color w:val="auto"/>
        </w:rPr>
        <w:t>J.P MORGAN &amp; CO. INCORPORATED</w:t>
      </w:r>
    </w:p>
    <w:p>
      <w:pPr>
        <w:spacing w:after="0" w:line="200" w:lineRule="exact"/>
        <w:rPr>
          <w:sz w:val="20"/>
          <w:szCs w:val="20"/>
          <w:color w:val="auto"/>
        </w:rPr>
      </w:pPr>
    </w:p>
    <w:p>
      <w:pPr>
        <w:spacing w:after="0" w:line="358" w:lineRule="exact"/>
        <w:rPr>
          <w:sz w:val="20"/>
          <w:szCs w:val="20"/>
          <w:color w:val="auto"/>
        </w:rPr>
      </w:pPr>
    </w:p>
    <w:p>
      <w:pPr>
        <w:jc w:val="center"/>
        <w:ind w:right="219"/>
        <w:spacing w:after="0"/>
        <w:tabs>
          <w:tab w:leader="none" w:pos="180" w:val="left"/>
        </w:tabs>
        <w:rPr>
          <w:sz w:val="20"/>
          <w:szCs w:val="20"/>
          <w:color w:val="auto"/>
        </w:rPr>
      </w:pPr>
      <w:r>
        <w:rPr>
          <w:rFonts w:ascii="Courier New" w:cs="Courier New" w:eastAsia="Courier New" w:hAnsi="Courier New"/>
          <w:sz w:val="16"/>
          <w:szCs w:val="16"/>
          <w:color w:val="auto"/>
        </w:rPr>
        <w:t>By: /s/</w:t>
        <w:tab/>
        <w:t>Douglas A. Warner III</w:t>
      </w:r>
    </w:p>
    <w:p>
      <w:pPr>
        <w:spacing w:after="0" w:line="5" w:lineRule="exact"/>
        <w:rPr>
          <w:sz w:val="20"/>
          <w:szCs w:val="20"/>
          <w:color w:val="auto"/>
        </w:rPr>
      </w:pPr>
    </w:p>
    <w:p>
      <w:pPr>
        <w:ind w:left="3940"/>
        <w:spacing w:after="0"/>
        <w:rPr>
          <w:sz w:val="20"/>
          <w:szCs w:val="20"/>
          <w:color w:val="auto"/>
        </w:rPr>
      </w:pPr>
      <w:r>
        <w:rPr>
          <w:rFonts w:ascii="Courier New" w:cs="Courier New" w:eastAsia="Courier New" w:hAnsi="Courier New"/>
          <w:sz w:val="15"/>
          <w:szCs w:val="15"/>
          <w:color w:val="auto"/>
        </w:rPr>
        <w:t>---------------------------------------</w:t>
      </w:r>
    </w:p>
    <w:p>
      <w:pPr>
        <w:spacing w:after="0" w:line="13" w:lineRule="exact"/>
        <w:rPr>
          <w:sz w:val="20"/>
          <w:szCs w:val="20"/>
          <w:color w:val="auto"/>
        </w:rPr>
      </w:pPr>
    </w:p>
    <w:p>
      <w:pPr>
        <w:ind w:left="3940"/>
        <w:spacing w:after="0"/>
        <w:tabs>
          <w:tab w:leader="none" w:pos="4600" w:val="left"/>
        </w:tabs>
        <w:rPr>
          <w:sz w:val="20"/>
          <w:szCs w:val="20"/>
          <w:color w:val="auto"/>
        </w:rPr>
      </w:pPr>
      <w:r>
        <w:rPr>
          <w:rFonts w:ascii="Courier New" w:cs="Courier New" w:eastAsia="Courier New" w:hAnsi="Courier New"/>
          <w:sz w:val="16"/>
          <w:szCs w:val="16"/>
          <w:color w:val="auto"/>
        </w:rPr>
        <w:t>Name:</w:t>
        <w:tab/>
        <w:t>Douglas A. Warner III</w:t>
      </w:r>
    </w:p>
    <w:p>
      <w:pPr>
        <w:spacing w:after="0" w:line="4" w:lineRule="exact"/>
        <w:rPr>
          <w:sz w:val="20"/>
          <w:szCs w:val="20"/>
          <w:color w:val="auto"/>
        </w:rPr>
      </w:pPr>
    </w:p>
    <w:p>
      <w:pPr>
        <w:ind w:left="3940"/>
        <w:spacing w:after="0"/>
        <w:tabs>
          <w:tab w:leader="none" w:pos="4680" w:val="left"/>
        </w:tabs>
        <w:rPr>
          <w:sz w:val="20"/>
          <w:szCs w:val="20"/>
          <w:color w:val="auto"/>
        </w:rPr>
      </w:pPr>
      <w:r>
        <w:rPr>
          <w:rFonts w:ascii="Courier New" w:cs="Courier New" w:eastAsia="Courier New" w:hAnsi="Courier New"/>
          <w:sz w:val="16"/>
          <w:szCs w:val="16"/>
          <w:color w:val="auto"/>
        </w:rPr>
        <w:t>Title:</w:t>
        <w:tab/>
        <w:t>Chairman and CEO</w:t>
      </w:r>
    </w:p>
    <w:p>
      <w:pPr>
        <w:sectPr>
          <w:pgSz w:w="11900" w:h="16838" w:orient="portrait"/>
          <w:cols w:equalWidth="0" w:num="1">
            <w:col w:w="10219"/>
          </w:cols>
          <w:pgMar w:left="240" w:top="300" w:right="1440" w:bottom="1440" w:gutter="0" w:footer="0" w:header="0"/>
        </w:sectPr>
      </w:pPr>
    </w:p>
    <w:bookmarkStart w:id="64" w:name="page65"/>
    <w:bookmarkEnd w:id="64"/>
    <w:p>
      <w:pPr>
        <w:ind w:left="280"/>
        <w:spacing w:after="0"/>
        <w:rPr>
          <w:sz w:val="20"/>
          <w:szCs w:val="20"/>
          <w:color w:val="auto"/>
        </w:rPr>
      </w:pPr>
      <w:r>
        <w:rPr>
          <w:rFonts w:ascii="Courier New" w:cs="Courier New" w:eastAsia="Courier New" w:hAnsi="Courier New"/>
          <w:sz w:val="16"/>
          <w:szCs w:val="16"/>
          <w:color w:val="auto"/>
        </w:rPr>
        <w:t>60</w:t>
      </w:r>
    </w:p>
    <w:p>
      <w:pPr>
        <w:spacing w:after="0" w:line="188" w:lineRule="exact"/>
        <w:rPr>
          <w:sz w:val="20"/>
          <w:szCs w:val="20"/>
          <w:color w:val="auto"/>
        </w:rPr>
      </w:pPr>
    </w:p>
    <w:p>
      <w:pPr>
        <w:jc w:val="right"/>
        <w:ind w:right="2539"/>
        <w:spacing w:after="0"/>
        <w:rPr>
          <w:sz w:val="20"/>
          <w:szCs w:val="20"/>
          <w:color w:val="auto"/>
        </w:rPr>
      </w:pPr>
      <w:r>
        <w:rPr>
          <w:rFonts w:ascii="Courier New" w:cs="Courier New" w:eastAsia="Courier New" w:hAnsi="Courier New"/>
          <w:sz w:val="16"/>
          <w:szCs w:val="16"/>
          <w:color w:val="auto"/>
        </w:rPr>
        <w:t>EXHIBIT 1.1(a)</w:t>
      </w:r>
    </w:p>
    <w:p>
      <w:pPr>
        <w:spacing w:after="0" w:line="4" w:lineRule="exact"/>
        <w:rPr>
          <w:sz w:val="20"/>
          <w:szCs w:val="20"/>
          <w:color w:val="auto"/>
        </w:rPr>
      </w:pPr>
    </w:p>
    <w:p>
      <w:pPr>
        <w:jc w:val="right"/>
        <w:ind w:right="2539"/>
        <w:spacing w:after="0"/>
        <w:rPr>
          <w:sz w:val="20"/>
          <w:szCs w:val="20"/>
          <w:color w:val="auto"/>
        </w:rPr>
      </w:pPr>
      <w:r>
        <w:rPr>
          <w:rFonts w:ascii="Courier New" w:cs="Courier New" w:eastAsia="Courier New" w:hAnsi="Courier New"/>
          <w:sz w:val="16"/>
          <w:szCs w:val="16"/>
          <w:color w:val="auto"/>
        </w:rPr>
        <w:t>TO THE MERGER AGREEMENT</w:t>
      </w:r>
    </w:p>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[Included as Exhibit 10.2 to this current report on Form 8-K]</w:t>
      </w:r>
    </w:p>
    <w:p>
      <w:pPr>
        <w:sectPr>
          <w:pgSz w:w="11900" w:h="16838" w:orient="portrait"/>
          <w:cols w:equalWidth="0" w:num="1">
            <w:col w:w="10219"/>
          </w:cols>
          <w:pgMar w:left="240" w:top="300" w:right="1440" w:bottom="1440" w:gutter="0" w:footer="0" w:header="0"/>
        </w:sectPr>
      </w:pPr>
    </w:p>
    <w:bookmarkStart w:id="65" w:name="page66"/>
    <w:bookmarkEnd w:id="65"/>
    <w:p>
      <w:pPr>
        <w:ind w:left="280"/>
        <w:spacing w:after="0"/>
        <w:rPr>
          <w:sz w:val="20"/>
          <w:szCs w:val="20"/>
          <w:color w:val="auto"/>
        </w:rPr>
      </w:pPr>
      <w:r>
        <w:rPr>
          <w:rFonts w:ascii="Courier New" w:cs="Courier New" w:eastAsia="Courier New" w:hAnsi="Courier New"/>
          <w:sz w:val="16"/>
          <w:szCs w:val="16"/>
          <w:color w:val="auto"/>
        </w:rPr>
        <w:t>61</w:t>
      </w:r>
    </w:p>
    <w:p>
      <w:pPr>
        <w:spacing w:after="0" w:line="373" w:lineRule="exact"/>
        <w:rPr>
          <w:sz w:val="20"/>
          <w:szCs w:val="20"/>
          <w:color w:val="auto"/>
        </w:rPr>
      </w:pPr>
    </w:p>
    <w:p>
      <w:pPr>
        <w:jc w:val="right"/>
        <w:ind w:right="2539"/>
        <w:spacing w:after="0"/>
        <w:rPr>
          <w:sz w:val="20"/>
          <w:szCs w:val="20"/>
          <w:color w:val="auto"/>
        </w:rPr>
      </w:pPr>
      <w:r>
        <w:rPr>
          <w:rFonts w:ascii="Courier New" w:cs="Courier New" w:eastAsia="Courier New" w:hAnsi="Courier New"/>
          <w:sz w:val="16"/>
          <w:szCs w:val="16"/>
          <w:color w:val="auto"/>
        </w:rPr>
        <w:t>EXHIBIT 1.1(b)</w:t>
      </w:r>
    </w:p>
    <w:p>
      <w:pPr>
        <w:spacing w:after="0" w:line="4" w:lineRule="exact"/>
        <w:rPr>
          <w:sz w:val="20"/>
          <w:szCs w:val="20"/>
          <w:color w:val="auto"/>
        </w:rPr>
      </w:pPr>
    </w:p>
    <w:p>
      <w:pPr>
        <w:jc w:val="right"/>
        <w:ind w:right="2539"/>
        <w:spacing w:after="0"/>
        <w:rPr>
          <w:sz w:val="20"/>
          <w:szCs w:val="20"/>
          <w:color w:val="auto"/>
        </w:rPr>
      </w:pPr>
      <w:r>
        <w:rPr>
          <w:rFonts w:ascii="Courier New" w:cs="Courier New" w:eastAsia="Courier New" w:hAnsi="Courier New"/>
          <w:sz w:val="16"/>
          <w:szCs w:val="16"/>
          <w:color w:val="auto"/>
        </w:rPr>
        <w:t>TO THE MERGER AGREEMENT</w:t>
      </w:r>
    </w:p>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[Included as Exhibit 10.1 to this current report on Form 8-K]</w:t>
      </w:r>
    </w:p>
    <w:p>
      <w:pPr>
        <w:sectPr>
          <w:pgSz w:w="11900" w:h="16838" w:orient="portrait"/>
          <w:cols w:equalWidth="0" w:num="1">
            <w:col w:w="10219"/>
          </w:cols>
          <w:pgMar w:left="240" w:top="300" w:right="1440" w:bottom="1440" w:gutter="0" w:footer="0" w:header="0"/>
        </w:sectPr>
      </w:pPr>
    </w:p>
    <w:bookmarkStart w:id="66" w:name="page67"/>
    <w:bookmarkEnd w:id="66"/>
    <w:p>
      <w:pPr>
        <w:spacing w:after="0"/>
        <w:rPr>
          <w:sz w:val="20"/>
          <w:szCs w:val="20"/>
          <w:color w:val="auto"/>
        </w:rPr>
      </w:pPr>
      <w:r>
        <w:rPr>
          <w:rFonts w:ascii="Courier New" w:cs="Courier New" w:eastAsia="Courier New" w:hAnsi="Courier New"/>
          <w:sz w:val="16"/>
          <w:szCs w:val="16"/>
          <w:color w:val="auto"/>
        </w:rPr>
        <w:t>62</w:t>
      </w:r>
    </w:p>
    <w:p>
      <w:pPr>
        <w:spacing w:after="0" w:line="4" w:lineRule="exact"/>
        <w:rPr>
          <w:sz w:val="20"/>
          <w:szCs w:val="20"/>
          <w:color w:val="auto"/>
        </w:rPr>
      </w:pPr>
    </w:p>
    <w:p>
      <w:pPr>
        <w:jc w:val="right"/>
        <w:ind w:right="2539"/>
        <w:spacing w:after="0"/>
        <w:rPr>
          <w:sz w:val="20"/>
          <w:szCs w:val="20"/>
          <w:color w:val="auto"/>
        </w:rPr>
      </w:pPr>
      <w:r>
        <w:rPr>
          <w:rFonts w:ascii="Courier New" w:cs="Courier New" w:eastAsia="Courier New" w:hAnsi="Courier New"/>
          <w:sz w:val="16"/>
          <w:szCs w:val="16"/>
          <w:color w:val="auto"/>
        </w:rPr>
        <w:t>EXHIBIT 5.5(a)(i)</w:t>
      </w:r>
    </w:p>
    <w:p>
      <w:pPr>
        <w:spacing w:after="0" w:line="4" w:lineRule="exact"/>
        <w:rPr>
          <w:sz w:val="20"/>
          <w:szCs w:val="20"/>
          <w:color w:val="auto"/>
        </w:rPr>
      </w:pPr>
    </w:p>
    <w:p>
      <w:pPr>
        <w:jc w:val="right"/>
        <w:ind w:right="2539"/>
        <w:spacing w:after="0"/>
        <w:rPr>
          <w:sz w:val="20"/>
          <w:szCs w:val="20"/>
          <w:color w:val="auto"/>
        </w:rPr>
      </w:pPr>
      <w:r>
        <w:rPr>
          <w:rFonts w:ascii="Courier New" w:cs="Courier New" w:eastAsia="Courier New" w:hAnsi="Courier New"/>
          <w:sz w:val="16"/>
          <w:szCs w:val="16"/>
          <w:color w:val="auto"/>
        </w:rPr>
        <w:t>TO THE MERGER AGREEMENT</w:t>
      </w:r>
    </w:p>
    <w:p>
      <w:pPr>
        <w:sectPr>
          <w:pgSz w:w="11900" w:h="16838" w:orient="portrait"/>
          <w:cols w:equalWidth="0" w:num="1">
            <w:col w:w="9939"/>
          </w:cols>
          <w:pgMar w:left="520" w:top="300" w:right="1440" w:bottom="1440" w:gutter="0" w:footer="0" w:header="0"/>
        </w:sectPr>
      </w:pPr>
    </w:p>
    <w:bookmarkStart w:id="67" w:name="page68"/>
    <w:bookmarkEnd w:id="67"/>
    <w:p>
      <w:pPr>
        <w:ind w:left="280"/>
        <w:spacing w:after="0"/>
        <w:rPr>
          <w:sz w:val="20"/>
          <w:szCs w:val="20"/>
          <w:color w:val="auto"/>
        </w:rPr>
      </w:pPr>
      <w:r>
        <w:rPr>
          <w:rFonts w:ascii="Courier New" w:cs="Courier New" w:eastAsia="Courier New" w:hAnsi="Courier New"/>
          <w:sz w:val="16"/>
          <w:szCs w:val="16"/>
          <w:color w:val="auto"/>
        </w:rPr>
        <w:t>63</w:t>
      </w:r>
    </w:p>
    <w:p>
      <w:pPr>
        <w:spacing w:after="0" w:line="4" w:lineRule="exact"/>
        <w:rPr>
          <w:sz w:val="20"/>
          <w:szCs w:val="20"/>
          <w:color w:val="auto"/>
        </w:rPr>
      </w:pPr>
    </w:p>
    <w:p>
      <w:pPr>
        <w:jc w:val="right"/>
        <w:ind w:right="2539"/>
        <w:spacing w:after="0"/>
        <w:rPr>
          <w:sz w:val="20"/>
          <w:szCs w:val="20"/>
          <w:color w:val="auto"/>
        </w:rPr>
      </w:pPr>
      <w:r>
        <w:rPr>
          <w:rFonts w:ascii="Courier New" w:cs="Courier New" w:eastAsia="Courier New" w:hAnsi="Courier New"/>
          <w:sz w:val="16"/>
          <w:szCs w:val="16"/>
          <w:color w:val="auto"/>
        </w:rPr>
        <w:t>EXHIBIT 5.5(a)(i)</w:t>
      </w:r>
    </w:p>
    <w:p>
      <w:pPr>
        <w:spacing w:after="0" w:line="188" w:lineRule="exact"/>
        <w:rPr>
          <w:sz w:val="20"/>
          <w:szCs w:val="20"/>
          <w:color w:val="auto"/>
        </w:rPr>
      </w:pPr>
    </w:p>
    <w:p>
      <w:pPr>
        <w:ind w:left="2200"/>
        <w:spacing w:after="0"/>
        <w:rPr>
          <w:sz w:val="20"/>
          <w:szCs w:val="20"/>
          <w:color w:val="auto"/>
        </w:rPr>
      </w:pPr>
      <w:r>
        <w:rPr>
          <w:rFonts w:ascii="Courier New" w:cs="Courier New" w:eastAsia="Courier New" w:hAnsi="Courier New"/>
          <w:sz w:val="16"/>
          <w:szCs w:val="16"/>
          <w:color w:val="auto"/>
        </w:rPr>
        <w:t>[MORGAN RULE 145 AFFILIATE LETTER]</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Chase Manhattan Corporation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270 Park Avenue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New York, New York</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Ladies and Gentlemen:</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Pursuant to the terms of the Agreement the Plan of Merger dated as of September 12, 2000 (the "Agreement"), between The Chase Manhattan Corporation, a Delaware corporation ("Chase"), and J.P. Morgan &amp; Co. Incorporated, a Delaware corporation ("Morgan"), Morgan will be merged with and into Chase (the "Merger"). Capitalized terms used herein and not defined have the meanings assigned to them in the Agreement. As a result of the Merger, the undersigned may receive shares of Common Stock, par value $1.00 per share, of Chase ("Chase Common Stock") or shares of one or more series of preferred stock, par value $1.00 per share, of Chase ("Chase Preferred Stock" and together with the Chase Common Stock, the "Chase Securities") in exchange for, respectively, shares owned by the undersigned of Common Stock, par value $2.50 per share, of Morgan ("Morgan Common Stock") or shares of one or more series of preferred stock, without par value, of Morgan ("Morgan Preferred Stock" and together with the Morgan Common Stock, the "Morgan Securities").</w:t>
      </w:r>
    </w:p>
    <w:p>
      <w:pPr>
        <w:spacing w:after="0" w:line="192"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The undersigned has been advised that as of the date the Merger is submitted to stockholders of Morgan for approval, the undersigned may be an "affiliate" of Morgan as the term "affiliate" is defined for purposes of paragraphs (c) and (d) of Rule 145 of the Rules and Regulations (the "Rules and Regulations") of the Securities and Exchange Commission (the "Commission") under the Securities Act of 1933, as amended (the "Act").</w:t>
      </w:r>
    </w:p>
    <w:p>
      <w:pPr>
        <w:spacing w:after="0" w:line="188" w:lineRule="exact"/>
        <w:rPr>
          <w:sz w:val="20"/>
          <w:szCs w:val="20"/>
          <w:color w:val="auto"/>
        </w:rPr>
      </w:pPr>
    </w:p>
    <w:p>
      <w:pPr>
        <w:ind w:right="2719" w:firstLine="480"/>
        <w:spacing w:after="0" w:line="242" w:lineRule="auto"/>
        <w:rPr>
          <w:sz w:val="20"/>
          <w:szCs w:val="20"/>
          <w:color w:val="auto"/>
        </w:rPr>
      </w:pPr>
      <w:r>
        <w:rPr>
          <w:rFonts w:ascii="Courier New" w:cs="Courier New" w:eastAsia="Courier New" w:hAnsi="Courier New"/>
          <w:sz w:val="16"/>
          <w:szCs w:val="16"/>
          <w:color w:val="auto"/>
        </w:rPr>
        <w:t>The undersigned represents, warrants and covenants to Chase that in the event the undersigned receives any Chase Securities as a result of the Merger:</w:t>
      </w:r>
    </w:p>
    <w:p>
      <w:pPr>
        <w:spacing w:after="0" w:line="189"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A. At the time the Merger was submitted for a vote of the stockholders of Morgan, (a) the undersigned may be deemed to have been an affiliate of Morgan and (b) since the distribution by the undersigned of the Chase Securities has not been registered under the Act, the undersigned may not sell, transfer or otherwise dispose of Chase Securities issued to the undersigned in the Merger unless (i) such sale, transfer or other disposition has been registered under the Act, (ii) such sale, transfer or other disposition is made in conformity with the provisions of Rule 145 promulgated by the Commission under the Act (as such rule may hereinafter from time to time be amended), or (iii) in the opinion of counsel reasonably acceptable to Chase, or in accordance with a "no action" letter obtained by the undersigned from the staff of the Commission, such sale, transfer or other disposition will not violate or is otherwise exempt from registration under the Act.</w:t>
      </w:r>
    </w:p>
    <w:p>
      <w:pPr>
        <w:sectPr>
          <w:pgSz w:w="11900" w:h="16838" w:orient="portrait"/>
          <w:cols w:equalWidth="0" w:num="1">
            <w:col w:w="10219"/>
          </w:cols>
          <w:pgMar w:left="240" w:top="300" w:right="1440" w:bottom="1440" w:gutter="0" w:footer="0" w:header="0"/>
        </w:sectPr>
      </w:pPr>
    </w:p>
    <w:bookmarkStart w:id="68" w:name="page69"/>
    <w:bookmarkEnd w:id="68"/>
    <w:p>
      <w:pPr>
        <w:ind w:left="280"/>
        <w:spacing w:after="0"/>
        <w:rPr>
          <w:sz w:val="20"/>
          <w:szCs w:val="20"/>
          <w:color w:val="auto"/>
        </w:rPr>
      </w:pPr>
      <w:r>
        <w:rPr>
          <w:rFonts w:ascii="Courier New" w:cs="Courier New" w:eastAsia="Courier New" w:hAnsi="Courier New"/>
          <w:sz w:val="16"/>
          <w:szCs w:val="16"/>
          <w:color w:val="auto"/>
        </w:rPr>
        <w:t>64</w:t>
      </w:r>
    </w:p>
    <w:p>
      <w:pPr>
        <w:spacing w:after="0" w:line="5" w:lineRule="exact"/>
        <w:rPr>
          <w:sz w:val="20"/>
          <w:szCs w:val="20"/>
          <w:color w:val="auto"/>
        </w:rPr>
      </w:pPr>
    </w:p>
    <w:p>
      <w:pPr>
        <w:ind w:right="2539" w:firstLine="480"/>
        <w:spacing w:after="0" w:line="243" w:lineRule="auto"/>
        <w:rPr>
          <w:sz w:val="20"/>
          <w:szCs w:val="20"/>
          <w:color w:val="auto"/>
        </w:rPr>
      </w:pPr>
      <w:r>
        <w:rPr>
          <w:rFonts w:ascii="Courier New" w:cs="Courier New" w:eastAsia="Courier New" w:hAnsi="Courier New"/>
          <w:sz w:val="16"/>
          <w:szCs w:val="16"/>
          <w:color w:val="auto"/>
        </w:rPr>
        <w:t>B. The undersigned understands that, except as provided in the Agreement in Section 5.8(c), Chase is under no obligation to register the sale, transfer or other disposition of the Chase Securities by the undersigned or on the undersigned's behalf under the Act.</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C. The undersigned also understands that stop transfer instructions will be given to Chase's transfer agents with respect to the Chase Securities issued to the undersigned and that there will be placed on the certificates for the Chase Securities issued to the undersigned, or any substitutions therefor, a legend stating in substance:</w:t>
      </w:r>
    </w:p>
    <w:p>
      <w:pPr>
        <w:spacing w:after="0" w:line="187" w:lineRule="exact"/>
        <w:rPr>
          <w:sz w:val="20"/>
          <w:szCs w:val="20"/>
          <w:color w:val="auto"/>
        </w:rPr>
      </w:pPr>
    </w:p>
    <w:p>
      <w:pPr>
        <w:ind w:left="1440" w:right="2539" w:firstLine="480"/>
        <w:spacing w:after="0" w:line="243" w:lineRule="auto"/>
        <w:rPr>
          <w:sz w:val="20"/>
          <w:szCs w:val="20"/>
          <w:color w:val="auto"/>
        </w:rPr>
      </w:pPr>
      <w:r>
        <w:rPr>
          <w:rFonts w:ascii="Courier New" w:cs="Courier New" w:eastAsia="Courier New" w:hAnsi="Courier New"/>
          <w:sz w:val="16"/>
          <w:szCs w:val="16"/>
          <w:color w:val="auto"/>
        </w:rPr>
        <w:t>"The shares represented by this certificate were issued in a transaction to which Rule 145 promulgated under the Securities Act of 1933 applies. The shares represented by this certificate may only be transferred in accordance with the terms of an</w:t>
      </w:r>
    </w:p>
    <w:p>
      <w:pPr>
        <w:spacing w:after="0" w:line="5" w:lineRule="exact"/>
        <w:rPr>
          <w:sz w:val="20"/>
          <w:szCs w:val="20"/>
          <w:color w:val="auto"/>
        </w:rPr>
      </w:pPr>
    </w:p>
    <w:p>
      <w:pPr>
        <w:ind w:left="1440" w:right="2539"/>
        <w:spacing w:after="0" w:line="243" w:lineRule="auto"/>
        <w:rPr>
          <w:sz w:val="20"/>
          <w:szCs w:val="20"/>
          <w:color w:val="auto"/>
        </w:rPr>
      </w:pPr>
      <w:r>
        <w:rPr>
          <w:rFonts w:ascii="Courier New" w:cs="Courier New" w:eastAsia="Courier New" w:hAnsi="Courier New"/>
          <w:sz w:val="16"/>
          <w:szCs w:val="16"/>
          <w:color w:val="auto"/>
        </w:rPr>
        <w:t>agreement dated , 20 between the registered holder hereof and Chase Corporation, a copy of which agreement is on file at the principal offices of Chase Corporation."</w:t>
      </w:r>
    </w:p>
    <w:p>
      <w:pPr>
        <w:spacing w:after="0" w:line="189" w:lineRule="exact"/>
        <w:rPr>
          <w:sz w:val="20"/>
          <w:szCs w:val="20"/>
          <w:color w:val="auto"/>
        </w:rPr>
      </w:pPr>
    </w:p>
    <w:p>
      <w:pPr>
        <w:ind w:right="2639" w:firstLine="480"/>
        <w:spacing w:after="0" w:line="264" w:lineRule="auto"/>
        <w:rPr>
          <w:sz w:val="20"/>
          <w:szCs w:val="20"/>
          <w:color w:val="auto"/>
        </w:rPr>
      </w:pPr>
      <w:r>
        <w:rPr>
          <w:rFonts w:ascii="Courier New" w:cs="Courier New" w:eastAsia="Courier New" w:hAnsi="Courier New"/>
          <w:sz w:val="15"/>
          <w:szCs w:val="15"/>
          <w:color w:val="auto"/>
        </w:rPr>
        <w:t>D. The undersigned also understands that unless the transfer by the undersigned of the undersigned's Chase Securities has been registered under the Act or is a sale made in conformity with the provisions of Rule 145 under the Act, Chase reserves the right to put the following legend on the certificates issued to any transferee of such Chase Securities from the undersigned:</w:t>
      </w:r>
    </w:p>
    <w:p>
      <w:pPr>
        <w:spacing w:after="0" w:line="174" w:lineRule="exact"/>
        <w:rPr>
          <w:sz w:val="20"/>
          <w:szCs w:val="20"/>
          <w:color w:val="auto"/>
        </w:rPr>
      </w:pPr>
    </w:p>
    <w:p>
      <w:pPr>
        <w:ind w:left="1440" w:right="2539" w:firstLine="480"/>
        <w:spacing w:after="0" w:line="244" w:lineRule="auto"/>
        <w:rPr>
          <w:sz w:val="20"/>
          <w:szCs w:val="20"/>
          <w:color w:val="auto"/>
        </w:rPr>
      </w:pPr>
      <w:r>
        <w:rPr>
          <w:rFonts w:ascii="Courier New" w:cs="Courier New" w:eastAsia="Courier New" w:hAnsi="Courier New"/>
          <w:sz w:val="16"/>
          <w:szCs w:val="16"/>
          <w:color w:val="auto"/>
        </w:rPr>
        <w:t>"The shares represented by this certificate have not been registered under the Securities Act of 1933 and were acquired from a person who received such shares in a transaction to which Rule 145 promulgated under the Securities Act of 1933 applies. The shares have been acquired by the holder not with a view to, or for resale in connection with, any distribution thereof within the meaning of the Securities Act of 1933 and may not be offered, sold, pledged or otherwise transferred except in accordance with an exemption from the registration requirements of the Securities Act of 1933."</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E. It is understood and agreed that the legend set forth in paragraphs C or D above, as the case may be, shall be removed by delivery of substitute certificates without such legend if the undersigned shall have delivered to Chase (i) a copy of a "no action" letter from the staff of the Commission, or an opinion of counsel in form and substance reasonably satisfactory to Chase, to the effect that such legend is not required for purposes of the Act, or (ii) evidence or representations reasonably satisfactory to Chase that the Chase Securities represented by such certificates are being or have been sold in a transaction made in conformity with the provisions of Rule 145 under the Act.</w:t>
      </w:r>
    </w:p>
    <w:p>
      <w:pPr>
        <w:spacing w:after="0" w:line="189" w:lineRule="exact"/>
        <w:rPr>
          <w:sz w:val="20"/>
          <w:szCs w:val="20"/>
          <w:color w:val="auto"/>
        </w:rPr>
      </w:pPr>
    </w:p>
    <w:p>
      <w:pPr>
        <w:ind w:right="2819" w:firstLine="480"/>
        <w:spacing w:after="0" w:line="244" w:lineRule="auto"/>
        <w:rPr>
          <w:sz w:val="20"/>
          <w:szCs w:val="20"/>
          <w:color w:val="auto"/>
        </w:rPr>
      </w:pPr>
      <w:r>
        <w:rPr>
          <w:rFonts w:ascii="Courier New" w:cs="Courier New" w:eastAsia="Courier New" w:hAnsi="Courier New"/>
          <w:sz w:val="16"/>
          <w:szCs w:val="16"/>
          <w:color w:val="auto"/>
        </w:rPr>
        <w:t>F. The undersigned has carefully read this letter and the Agreement and discussed its requirements and other applicable limitations upon the undersigned's ability to sell, transfer or otherwise dispose of Chase Securities, to the extent the undersigned felt necessary, with counsel of the undersigned or counsel for Morgan.</w:t>
      </w:r>
    </w:p>
    <w:p>
      <w:pPr>
        <w:spacing w:after="0" w:line="187" w:lineRule="exact"/>
        <w:rPr>
          <w:sz w:val="20"/>
          <w:szCs w:val="20"/>
          <w:color w:val="auto"/>
        </w:rPr>
      </w:pPr>
    </w:p>
    <w:p>
      <w:pPr>
        <w:ind w:right="2539" w:firstLine="480"/>
        <w:spacing w:after="0" w:line="243" w:lineRule="auto"/>
        <w:rPr>
          <w:sz w:val="20"/>
          <w:szCs w:val="20"/>
          <w:color w:val="auto"/>
        </w:rPr>
      </w:pPr>
      <w:r>
        <w:rPr>
          <w:rFonts w:ascii="Courier New" w:cs="Courier New" w:eastAsia="Courier New" w:hAnsi="Courier New"/>
          <w:sz w:val="16"/>
          <w:szCs w:val="16"/>
          <w:color w:val="auto"/>
        </w:rPr>
        <w:t>By its acceptance hereof, Chase agrees, for a period of two years after the Effective Time (as defined in the Agreement), that it, as the surviving corporation, will file on a</w:t>
      </w:r>
    </w:p>
    <w:p>
      <w:pPr>
        <w:sectPr>
          <w:pgSz w:w="11900" w:h="16838" w:orient="portrait"/>
          <w:cols w:equalWidth="0" w:num="1">
            <w:col w:w="10219"/>
          </w:cols>
          <w:pgMar w:left="240" w:top="300" w:right="1440" w:bottom="1440" w:gutter="0" w:footer="0" w:header="0"/>
        </w:sectPr>
      </w:pPr>
    </w:p>
    <w:bookmarkStart w:id="69" w:name="page70"/>
    <w:bookmarkEnd w:id="69"/>
    <w:p>
      <w:pPr>
        <w:ind w:left="280"/>
        <w:spacing w:after="0"/>
        <w:rPr>
          <w:sz w:val="20"/>
          <w:szCs w:val="20"/>
          <w:color w:val="auto"/>
        </w:rPr>
      </w:pPr>
      <w:r>
        <w:rPr>
          <w:rFonts w:ascii="Courier New" w:cs="Courier New" w:eastAsia="Courier New" w:hAnsi="Courier New"/>
          <w:sz w:val="16"/>
          <w:szCs w:val="16"/>
          <w:color w:val="auto"/>
        </w:rPr>
        <w:t>65</w:t>
      </w:r>
    </w:p>
    <w:p>
      <w:pPr>
        <w:spacing w:after="0" w:line="5" w:lineRule="exact"/>
        <w:rPr>
          <w:sz w:val="20"/>
          <w:szCs w:val="20"/>
          <w:color w:val="auto"/>
        </w:rPr>
      </w:pPr>
    </w:p>
    <w:p>
      <w:pPr>
        <w:ind w:right="2639"/>
        <w:spacing w:after="0" w:line="244" w:lineRule="auto"/>
        <w:rPr>
          <w:sz w:val="20"/>
          <w:szCs w:val="20"/>
          <w:color w:val="auto"/>
        </w:rPr>
      </w:pPr>
      <w:r>
        <w:rPr>
          <w:rFonts w:ascii="Courier New" w:cs="Courier New" w:eastAsia="Courier New" w:hAnsi="Courier New"/>
          <w:sz w:val="16"/>
          <w:szCs w:val="16"/>
          <w:color w:val="auto"/>
        </w:rPr>
        <w:t>timely basis all reports required to be filed by it pursuant to Section 13 of the Securities Exchange Act of 1934, as amended, so that the public information provisions of Rule 144(c) under the Act are satisfied and the resale provisions of Rules 145(d)(1) and (2) under the Act are therefore available to the undersigned in the event the undersigned desires to transfer any Chase Securities issued to the undersigned in the Merger.</w:t>
      </w:r>
    </w:p>
    <w:p>
      <w:pPr>
        <w:spacing w:after="0" w:line="188" w:lineRule="exact"/>
        <w:rPr>
          <w:sz w:val="20"/>
          <w:szCs w:val="20"/>
          <w:color w:val="auto"/>
        </w:rPr>
      </w:pPr>
    </w:p>
    <w:p>
      <w:pPr>
        <w:jc w:val="both"/>
        <w:ind w:right="2539" w:firstLine="480"/>
        <w:spacing w:after="0" w:line="243" w:lineRule="auto"/>
        <w:rPr>
          <w:sz w:val="20"/>
          <w:szCs w:val="20"/>
          <w:color w:val="auto"/>
        </w:rPr>
      </w:pPr>
      <w:r>
        <w:rPr>
          <w:rFonts w:ascii="Courier New" w:cs="Courier New" w:eastAsia="Courier New" w:hAnsi="Courier New"/>
          <w:sz w:val="16"/>
          <w:szCs w:val="16"/>
          <w:color w:val="auto"/>
        </w:rPr>
        <w:t>This letter agreement shall be governed by and construed in accordance with the laws of the State of Delaware. This letter agreement shall terminate if and when the Agreement is terminated according to its terms.</w:t>
      </w:r>
    </w:p>
    <w:p>
      <w:pPr>
        <w:sectPr>
          <w:pgSz w:w="11900" w:h="16838" w:orient="portrait"/>
          <w:cols w:equalWidth="0" w:num="1">
            <w:col w:w="10219"/>
          </w:cols>
          <w:pgMar w:left="240" w:top="300" w:right="1440" w:bottom="1440" w:gutter="0" w:footer="0" w:header="0"/>
        </w:sectPr>
      </w:pPr>
    </w:p>
    <w:bookmarkStart w:id="70" w:name="page71"/>
    <w:bookmarkEnd w:id="70"/>
    <w:p>
      <w:pPr>
        <w:ind w:left="280"/>
        <w:spacing w:after="0"/>
        <w:rPr>
          <w:sz w:val="20"/>
          <w:szCs w:val="20"/>
          <w:color w:val="auto"/>
        </w:rPr>
      </w:pPr>
      <w:r>
        <w:rPr>
          <w:rFonts w:ascii="Courier New" w:cs="Courier New" w:eastAsia="Courier New" w:hAnsi="Courier New"/>
          <w:sz w:val="16"/>
          <w:szCs w:val="16"/>
          <w:color w:val="auto"/>
        </w:rPr>
        <w:t>66</w:t>
      </w:r>
    </w:p>
    <w:p>
      <w:pPr>
        <w:spacing w:after="0" w:line="4" w:lineRule="exact"/>
        <w:rPr>
          <w:sz w:val="20"/>
          <w:szCs w:val="20"/>
          <w:color w:val="auto"/>
        </w:rPr>
      </w:pPr>
    </w:p>
    <w:p>
      <w:pPr>
        <w:jc w:val="right"/>
        <w:ind w:right="2539"/>
        <w:spacing w:after="0"/>
        <w:rPr>
          <w:sz w:val="20"/>
          <w:szCs w:val="20"/>
          <w:color w:val="auto"/>
        </w:rPr>
      </w:pPr>
      <w:r>
        <w:rPr>
          <w:rFonts w:ascii="Courier New" w:cs="Courier New" w:eastAsia="Courier New" w:hAnsi="Courier New"/>
          <w:sz w:val="16"/>
          <w:szCs w:val="16"/>
          <w:color w:val="auto"/>
        </w:rPr>
        <w:t>4</w:t>
      </w:r>
    </w:p>
    <w:p>
      <w:pPr>
        <w:spacing w:after="0" w:line="190" w:lineRule="exact"/>
        <w:rPr>
          <w:sz w:val="20"/>
          <w:szCs w:val="20"/>
          <w:color w:val="auto"/>
        </w:rPr>
      </w:pPr>
    </w:p>
    <w:p>
      <w:pPr>
        <w:ind w:right="2819" w:firstLine="480"/>
        <w:spacing w:after="0" w:line="244" w:lineRule="auto"/>
        <w:rPr>
          <w:sz w:val="20"/>
          <w:szCs w:val="20"/>
          <w:color w:val="auto"/>
        </w:rPr>
      </w:pPr>
      <w:r>
        <w:rPr>
          <w:rFonts w:ascii="Courier New" w:cs="Courier New" w:eastAsia="Courier New" w:hAnsi="Courier New"/>
          <w:sz w:val="16"/>
          <w:szCs w:val="16"/>
          <w:color w:val="auto"/>
        </w:rPr>
        <w:t>By signing this letter, without limiting or abrogating my agreements set forth above, the undersigned does not admit that the undersigned is an "affiliate" of Morgan within the meaning of the Act or the Rules and Regulations, and the undersigned does not waive any right the undersigned may have to object to any assertion that the undersigned is such an affiliate.</w:t>
      </w:r>
    </w:p>
    <w:p>
      <w:pPr>
        <w:spacing w:after="0" w:line="185"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Very truly yours,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Name:</w:t>
      </w:r>
    </w:p>
    <w:p>
      <w:pPr>
        <w:spacing w:after="0" w:line="4"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Title:</w:t>
      </w:r>
    </w:p>
    <w:p>
      <w:pPr>
        <w:spacing w:after="0" w:line="190"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[add below the signatures of all registered owners of</w:t>
      </w:r>
    </w:p>
    <w:p>
      <w:pPr>
        <w:spacing w:after="0" w:line="13"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shares deemed beneficially owned by the affiliate]</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Name:</w:t>
      </w:r>
    </w:p>
    <w:p>
      <w:pPr>
        <w:spacing w:after="0" w:line="200" w:lineRule="exact"/>
        <w:rPr>
          <w:sz w:val="20"/>
          <w:szCs w:val="20"/>
          <w:color w:val="auto"/>
        </w:rPr>
      </w:pPr>
    </w:p>
    <w:p>
      <w:pPr>
        <w:spacing w:after="0" w:line="358"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Name:</w:t>
      </w:r>
    </w:p>
    <w:p>
      <w:pPr>
        <w:spacing w:after="0" w:line="200" w:lineRule="exact"/>
        <w:rPr>
          <w:sz w:val="20"/>
          <w:szCs w:val="20"/>
          <w:color w:val="auto"/>
        </w:rPr>
      </w:pPr>
    </w:p>
    <w:p>
      <w:pPr>
        <w:spacing w:after="0" w:line="358"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Name:</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300" w:type="dxa"/>
            <w:vAlign w:val="bottom"/>
          </w:tcPr>
          <w:p>
            <w:pPr>
              <w:jc w:val="right"/>
              <w:spacing w:after="0"/>
              <w:rPr>
                <w:sz w:val="20"/>
                <w:szCs w:val="20"/>
                <w:color w:val="auto"/>
              </w:rPr>
            </w:pPr>
            <w:r>
              <w:rPr>
                <w:rFonts w:ascii="Courier New" w:cs="Courier New" w:eastAsia="Courier New" w:hAnsi="Courier New"/>
                <w:sz w:val="16"/>
                <w:szCs w:val="16"/>
                <w:color w:val="auto"/>
                <w:w w:val="97"/>
              </w:rPr>
              <w:t>Accepted this</w:t>
            </w:r>
          </w:p>
        </w:tc>
        <w:tc>
          <w:tcPr>
            <w:tcW w:w="240" w:type="dxa"/>
            <w:vAlign w:val="bottom"/>
          </w:tcPr>
          <w:p>
            <w:pPr>
              <w:spacing w:after="0"/>
              <w:rPr>
                <w:sz w:val="15"/>
                <w:szCs w:val="15"/>
                <w:color w:val="auto"/>
              </w:rPr>
            </w:pPr>
          </w:p>
        </w:tc>
        <w:tc>
          <w:tcPr>
            <w:tcW w:w="760" w:type="dxa"/>
            <w:vAlign w:val="bottom"/>
          </w:tcPr>
          <w:p>
            <w:pPr>
              <w:spacing w:after="0"/>
              <w:rPr>
                <w:sz w:val="20"/>
                <w:szCs w:val="20"/>
                <w:color w:val="auto"/>
              </w:rPr>
            </w:pPr>
            <w:r>
              <w:rPr>
                <w:rFonts w:ascii="Courier New" w:cs="Courier New" w:eastAsia="Courier New" w:hAnsi="Courier New"/>
                <w:sz w:val="16"/>
                <w:szCs w:val="16"/>
                <w:color w:val="auto"/>
              </w:rPr>
              <w:t>day of</w:t>
            </w:r>
          </w:p>
        </w:tc>
      </w:tr>
      <w:tr>
        <w:trPr>
          <w:trHeight w:val="185"/>
        </w:trPr>
        <w:tc>
          <w:tcPr>
            <w:tcW w:w="1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20</w:t>
            </w:r>
          </w:p>
        </w:tc>
        <w:tc>
          <w:tcPr>
            <w:tcW w:w="760" w:type="dxa"/>
            <w:vAlign w:val="bottom"/>
          </w:tcPr>
          <w:p>
            <w:pPr>
              <w:ind w:left="380"/>
              <w:spacing w:after="0"/>
              <w:rPr>
                <w:sz w:val="20"/>
                <w:szCs w:val="20"/>
                <w:color w:val="auto"/>
              </w:rPr>
            </w:pPr>
            <w:r>
              <w:rPr>
                <w:rFonts w:ascii="Courier New" w:cs="Courier New" w:eastAsia="Courier New" w:hAnsi="Courier New"/>
                <w:sz w:val="16"/>
                <w:szCs w:val="16"/>
                <w:color w:val="auto"/>
                <w:w w:val="93"/>
              </w:rPr>
              <w:t>, by</w:t>
            </w:r>
          </w:p>
        </w:tc>
      </w:tr>
    </w:tbl>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CHASE MANHATTAN CORPORATION</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spacing w:after="0" w:line="4"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Name:</w:t>
      </w:r>
    </w:p>
    <w:p>
      <w:pPr>
        <w:spacing w:after="0" w:line="4"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Title:</w:t>
      </w:r>
    </w:p>
    <w:p>
      <w:pPr>
        <w:sectPr>
          <w:pgSz w:w="11900" w:h="16838" w:orient="portrait"/>
          <w:cols w:equalWidth="0" w:num="1">
            <w:col w:w="10219"/>
          </w:cols>
          <w:pgMar w:left="240" w:top="300" w:right="1440" w:bottom="1440" w:gutter="0" w:footer="0" w:header="0"/>
        </w:sectPr>
      </w:pPr>
    </w:p>
    <w:bookmarkStart w:id="71" w:name="page72"/>
    <w:bookmarkEnd w:id="71"/>
    <w:p>
      <w:pPr>
        <w:spacing w:after="0"/>
        <w:rPr>
          <w:sz w:val="20"/>
          <w:szCs w:val="20"/>
          <w:color w:val="auto"/>
        </w:rPr>
      </w:pPr>
      <w:r>
        <w:rPr>
          <w:rFonts w:ascii="Courier New" w:cs="Courier New" w:eastAsia="Courier New" w:hAnsi="Courier New"/>
          <w:sz w:val="16"/>
          <w:szCs w:val="16"/>
          <w:color w:val="auto"/>
        </w:rPr>
        <w:t>67</w:t>
      </w:r>
    </w:p>
    <w:p>
      <w:pPr>
        <w:spacing w:after="0" w:line="188" w:lineRule="exact"/>
        <w:rPr>
          <w:sz w:val="20"/>
          <w:szCs w:val="20"/>
          <w:color w:val="auto"/>
        </w:rPr>
      </w:pPr>
    </w:p>
    <w:p>
      <w:pPr>
        <w:jc w:val="right"/>
        <w:ind w:right="2539"/>
        <w:spacing w:after="0"/>
        <w:rPr>
          <w:sz w:val="20"/>
          <w:szCs w:val="20"/>
          <w:color w:val="auto"/>
        </w:rPr>
      </w:pPr>
      <w:r>
        <w:rPr>
          <w:rFonts w:ascii="Courier New" w:cs="Courier New" w:eastAsia="Courier New" w:hAnsi="Courier New"/>
          <w:sz w:val="16"/>
          <w:szCs w:val="16"/>
          <w:color w:val="auto"/>
        </w:rPr>
        <w:t>EXHIBIT 5.5(a)(ii)</w:t>
      </w:r>
    </w:p>
    <w:p>
      <w:pPr>
        <w:spacing w:after="0" w:line="4" w:lineRule="exact"/>
        <w:rPr>
          <w:sz w:val="20"/>
          <w:szCs w:val="20"/>
          <w:color w:val="auto"/>
        </w:rPr>
      </w:pPr>
    </w:p>
    <w:p>
      <w:pPr>
        <w:jc w:val="right"/>
        <w:ind w:right="2539"/>
        <w:spacing w:after="0"/>
        <w:rPr>
          <w:sz w:val="20"/>
          <w:szCs w:val="20"/>
          <w:color w:val="auto"/>
        </w:rPr>
      </w:pPr>
      <w:r>
        <w:rPr>
          <w:rFonts w:ascii="Courier New" w:cs="Courier New" w:eastAsia="Courier New" w:hAnsi="Courier New"/>
          <w:sz w:val="16"/>
          <w:szCs w:val="16"/>
          <w:color w:val="auto"/>
        </w:rPr>
        <w:t>TO THE MERGER AGREEMENT</w:t>
      </w:r>
    </w:p>
    <w:p>
      <w:pPr>
        <w:sectPr>
          <w:pgSz w:w="11900" w:h="16838" w:orient="portrait"/>
          <w:cols w:equalWidth="0" w:num="1">
            <w:col w:w="9939"/>
          </w:cols>
          <w:pgMar w:left="520" w:top="300" w:right="1440" w:bottom="1440" w:gutter="0" w:footer="0" w:header="0"/>
        </w:sectPr>
      </w:pPr>
    </w:p>
    <w:bookmarkStart w:id="72" w:name="page73"/>
    <w:bookmarkEnd w:id="72"/>
    <w:p>
      <w:pPr>
        <w:ind w:left="280"/>
        <w:spacing w:after="0"/>
        <w:rPr>
          <w:sz w:val="20"/>
          <w:szCs w:val="20"/>
          <w:color w:val="auto"/>
        </w:rPr>
      </w:pPr>
      <w:r>
        <w:rPr>
          <w:rFonts w:ascii="Courier New" w:cs="Courier New" w:eastAsia="Courier New" w:hAnsi="Courier New"/>
          <w:sz w:val="16"/>
          <w:szCs w:val="16"/>
          <w:color w:val="auto"/>
        </w:rPr>
        <w:t>68</w:t>
      </w:r>
    </w:p>
    <w:p>
      <w:pPr>
        <w:spacing w:after="0" w:line="4" w:lineRule="exact"/>
        <w:rPr>
          <w:sz w:val="20"/>
          <w:szCs w:val="20"/>
          <w:color w:val="auto"/>
        </w:rPr>
      </w:pPr>
    </w:p>
    <w:p>
      <w:pPr>
        <w:jc w:val="right"/>
        <w:ind w:right="2539"/>
        <w:spacing w:after="0"/>
        <w:rPr>
          <w:sz w:val="20"/>
          <w:szCs w:val="20"/>
          <w:color w:val="auto"/>
        </w:rPr>
      </w:pPr>
      <w:r>
        <w:rPr>
          <w:rFonts w:ascii="Courier New" w:cs="Courier New" w:eastAsia="Courier New" w:hAnsi="Courier New"/>
          <w:sz w:val="16"/>
          <w:szCs w:val="16"/>
          <w:color w:val="auto"/>
        </w:rPr>
        <w:t>EXHIBIT 5.5(a)(ii)</w:t>
      </w:r>
    </w:p>
    <w:p>
      <w:pPr>
        <w:spacing w:after="0" w:line="373" w:lineRule="exact"/>
        <w:rPr>
          <w:sz w:val="20"/>
          <w:szCs w:val="20"/>
          <w:color w:val="auto"/>
        </w:rPr>
      </w:pPr>
    </w:p>
    <w:p>
      <w:pPr>
        <w:ind w:left="2200"/>
        <w:spacing w:after="0"/>
        <w:rPr>
          <w:sz w:val="20"/>
          <w:szCs w:val="20"/>
          <w:color w:val="auto"/>
        </w:rPr>
      </w:pPr>
      <w:r>
        <w:rPr>
          <w:rFonts w:ascii="Courier New" w:cs="Courier New" w:eastAsia="Courier New" w:hAnsi="Courier New"/>
          <w:sz w:val="16"/>
          <w:szCs w:val="16"/>
          <w:color w:val="auto"/>
        </w:rPr>
        <w:t>[MORGAN POOLING AFFILIATE LETTER]</w:t>
      </w:r>
    </w:p>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Chase Manhattan Corporation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270 Park Avenue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New York, New York</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Ladies and Gentlemen:</w:t>
      </w:r>
    </w:p>
    <w:p>
      <w:pPr>
        <w:spacing w:after="0" w:line="190" w:lineRule="exact"/>
        <w:rPr>
          <w:sz w:val="20"/>
          <w:szCs w:val="20"/>
          <w:color w:val="auto"/>
        </w:rPr>
      </w:pPr>
    </w:p>
    <w:p>
      <w:pPr>
        <w:ind w:right="2639" w:firstLine="480"/>
        <w:spacing w:after="0" w:line="244" w:lineRule="auto"/>
        <w:rPr>
          <w:sz w:val="20"/>
          <w:szCs w:val="20"/>
          <w:color w:val="auto"/>
        </w:rPr>
      </w:pPr>
      <w:r>
        <w:rPr>
          <w:rFonts w:ascii="Courier New" w:cs="Courier New" w:eastAsia="Courier New" w:hAnsi="Courier New"/>
          <w:sz w:val="16"/>
          <w:szCs w:val="16"/>
          <w:color w:val="auto"/>
        </w:rPr>
        <w:t>Pursuant to the terms of the Agreement and Plan of Merger dated as of September 12, 2000 (the "Agreement"), between The Chase Manhattan Corporation, a Delaware corporation ("Chase"), and J.P. Morgan &amp; Co. Incorporated, a Delaware corporation ("Morgan"), Morgan will be merged with and into Chase (the "Merger").</w:t>
      </w:r>
    </w:p>
    <w:p>
      <w:pPr>
        <w:spacing w:after="0" w:line="185"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The undersigned represents, warrants and covenants to Chase that:</w:t>
      </w:r>
    </w:p>
    <w:p>
      <w:pPr>
        <w:spacing w:after="0" w:line="190" w:lineRule="exact"/>
        <w:rPr>
          <w:sz w:val="20"/>
          <w:szCs w:val="20"/>
          <w:color w:val="auto"/>
        </w:rPr>
      </w:pPr>
    </w:p>
    <w:p>
      <w:pPr>
        <w:ind w:right="2719" w:firstLine="479"/>
        <w:spacing w:after="0" w:line="243" w:lineRule="auto"/>
        <w:tabs>
          <w:tab w:leader="none" w:pos="961" w:val="left"/>
        </w:tabs>
        <w:numPr>
          <w:ilvl w:val="0"/>
          <w:numId w:val="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undersigned understands that as of the date of this letter, the undersigned may be deemed to be an "affiliate" of Morgan, as such term is used in and for purposes of Accounting Series Releases 130 and 135, as amended.</w:t>
      </w:r>
    </w:p>
    <w:p>
      <w:pPr>
        <w:spacing w:after="0" w:line="188" w:lineRule="exact"/>
        <w:rPr>
          <w:rFonts w:ascii="Courier New" w:cs="Courier New" w:eastAsia="Courier New" w:hAnsi="Courier New"/>
          <w:sz w:val="16"/>
          <w:szCs w:val="16"/>
          <w:color w:val="auto"/>
        </w:rPr>
      </w:pPr>
    </w:p>
    <w:p>
      <w:pPr>
        <w:ind w:right="2539" w:firstLine="479"/>
        <w:spacing w:after="0" w:line="244" w:lineRule="auto"/>
        <w:tabs>
          <w:tab w:leader="none" w:pos="961" w:val="left"/>
        </w:tabs>
        <w:numPr>
          <w:ilvl w:val="0"/>
          <w:numId w:val="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undersigned will not sell, transfer or otherwise dispose of his or her interests in, or reduce his or her risk relative to (i) any shares of Common Stock, par value $1.00 per share, or shares of one or more series of preferred stock, par value $1.00 per share, of Chase (the "Chase Securities") or (ii) any shares of Common Stock, par value $2.50 per share, or shares of one or more series of preferred stock, no par value, of Morgan (the "Morgan Securities"), beneficially owned by the undersigned during the period commencing 30 days prior to the effective date of the Merger and ending at such time as results covering at least 30 days of combined operations of Morgan and Chase have been published by Chase, which Chase agrees to publish consistent with its normal financial reporting practice.</w:t>
      </w:r>
    </w:p>
    <w:p>
      <w:pPr>
        <w:spacing w:after="0" w:line="190" w:lineRule="exact"/>
        <w:rPr>
          <w:rFonts w:ascii="Courier New" w:cs="Courier New" w:eastAsia="Courier New" w:hAnsi="Courier New"/>
          <w:sz w:val="16"/>
          <w:szCs w:val="16"/>
          <w:color w:val="auto"/>
        </w:rPr>
      </w:pPr>
    </w:p>
    <w:p>
      <w:pPr>
        <w:ind w:right="2639" w:firstLine="479"/>
        <w:spacing w:after="0" w:line="244" w:lineRule="auto"/>
        <w:tabs>
          <w:tab w:leader="none" w:pos="961" w:val="left"/>
        </w:tabs>
        <w:numPr>
          <w:ilvl w:val="0"/>
          <w:numId w:val="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undersigned has carefully read this letter and the Agreement and discussed its requirements and other applicable limitations upon the undersigned's ability to sell, transfer or otherwise dispose of Chase Securities and Morgan Securities, to the extent the undersigned felt necessary, with counsel to the undersigned or counsel for Chase.</w:t>
      </w:r>
    </w:p>
    <w:p>
      <w:pPr>
        <w:sectPr>
          <w:pgSz w:w="11900" w:h="16838" w:orient="portrait"/>
          <w:cols w:equalWidth="0" w:num="1">
            <w:col w:w="10219"/>
          </w:cols>
          <w:pgMar w:left="240" w:top="300" w:right="1440" w:bottom="1440" w:gutter="0" w:footer="0" w:header="0"/>
        </w:sectPr>
      </w:pPr>
    </w:p>
    <w:bookmarkStart w:id="73" w:name="page74"/>
    <w:bookmarkEnd w:id="73"/>
    <w:p>
      <w:pPr>
        <w:ind w:left="280"/>
        <w:spacing w:after="0"/>
        <w:rPr>
          <w:sz w:val="20"/>
          <w:szCs w:val="20"/>
          <w:color w:val="auto"/>
        </w:rPr>
      </w:pPr>
      <w:r>
        <w:rPr>
          <w:rFonts w:ascii="Courier New" w:cs="Courier New" w:eastAsia="Courier New" w:hAnsi="Courier New"/>
          <w:sz w:val="16"/>
          <w:szCs w:val="16"/>
          <w:color w:val="auto"/>
        </w:rPr>
        <w:t>69</w:t>
      </w:r>
    </w:p>
    <w:p>
      <w:pPr>
        <w:spacing w:after="0" w:line="190" w:lineRule="exact"/>
        <w:rPr>
          <w:sz w:val="20"/>
          <w:szCs w:val="20"/>
          <w:color w:val="auto"/>
        </w:rPr>
      </w:pPr>
    </w:p>
    <w:p>
      <w:pPr>
        <w:ind w:right="2639" w:firstLine="288"/>
        <w:spacing w:after="0" w:line="243" w:lineRule="auto"/>
        <w:rPr>
          <w:sz w:val="20"/>
          <w:szCs w:val="20"/>
          <w:color w:val="auto"/>
        </w:rPr>
      </w:pPr>
      <w:r>
        <w:rPr>
          <w:rFonts w:ascii="Courier New" w:cs="Courier New" w:eastAsia="Courier New" w:hAnsi="Courier New"/>
          <w:sz w:val="16"/>
          <w:szCs w:val="16"/>
          <w:color w:val="auto"/>
        </w:rPr>
        <w:t>This letter agreement shall be governed by and construed in accordance with the laws of the State of Delaware. This letter agreement shall terminate if and when the Agreement is terminated according to its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Very truly yours,</w:t>
      </w:r>
    </w:p>
    <w:p>
      <w:pPr>
        <w:spacing w:after="0" w:line="375" w:lineRule="exact"/>
        <w:rPr>
          <w:sz w:val="20"/>
          <w:szCs w:val="20"/>
          <w:color w:val="auto"/>
        </w:rPr>
      </w:pPr>
    </w:p>
    <w:p>
      <w:pPr>
        <w:ind w:left="3840"/>
        <w:spacing w:after="0"/>
        <w:rPr>
          <w:sz w:val="20"/>
          <w:szCs w:val="20"/>
          <w:color w:val="auto"/>
        </w:rPr>
      </w:pPr>
      <w:r>
        <w:rPr>
          <w:rFonts w:ascii="Courier New" w:cs="Courier New" w:eastAsia="Courier New" w:hAnsi="Courier New"/>
          <w:sz w:val="15"/>
          <w:szCs w:val="15"/>
          <w:color w:val="auto"/>
        </w:rPr>
        <w:t>---------------------------------------</w:t>
      </w:r>
    </w:p>
    <w:p>
      <w:pPr>
        <w:spacing w:after="0" w:line="13"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Name:</w:t>
      </w:r>
    </w:p>
    <w:p>
      <w:pPr>
        <w:spacing w:after="0" w:line="4"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Title:</w:t>
      </w:r>
    </w:p>
    <w:p>
      <w:pPr>
        <w:spacing w:after="0" w:line="188"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[add below the signatures of all</w:t>
      </w:r>
    </w:p>
    <w:p>
      <w:pPr>
        <w:spacing w:after="0" w:line="4"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registered owners of shares deemed</w:t>
      </w:r>
    </w:p>
    <w:p>
      <w:pPr>
        <w:spacing w:after="0" w:line="4"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beneficially owned by the affiliate]</w:t>
      </w:r>
    </w:p>
    <w:p>
      <w:pPr>
        <w:spacing w:after="0" w:line="375" w:lineRule="exact"/>
        <w:rPr>
          <w:sz w:val="20"/>
          <w:szCs w:val="20"/>
          <w:color w:val="auto"/>
        </w:rPr>
      </w:pPr>
    </w:p>
    <w:p>
      <w:pPr>
        <w:ind w:left="3840"/>
        <w:spacing w:after="0"/>
        <w:rPr>
          <w:sz w:val="20"/>
          <w:szCs w:val="20"/>
          <w:color w:val="auto"/>
        </w:rPr>
      </w:pPr>
      <w:r>
        <w:rPr>
          <w:rFonts w:ascii="Courier New" w:cs="Courier New" w:eastAsia="Courier New" w:hAnsi="Courier New"/>
          <w:sz w:val="15"/>
          <w:szCs w:val="15"/>
          <w:color w:val="auto"/>
        </w:rPr>
        <w:t>---------------------------------------</w:t>
      </w:r>
    </w:p>
    <w:p>
      <w:pPr>
        <w:spacing w:after="0" w:line="13"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Name:</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3840"/>
        <w:spacing w:after="0"/>
        <w:rPr>
          <w:sz w:val="20"/>
          <w:szCs w:val="20"/>
          <w:color w:val="auto"/>
        </w:rPr>
      </w:pPr>
      <w:r>
        <w:rPr>
          <w:rFonts w:ascii="Courier New" w:cs="Courier New" w:eastAsia="Courier New" w:hAnsi="Courier New"/>
          <w:sz w:val="15"/>
          <w:szCs w:val="15"/>
          <w:color w:val="auto"/>
        </w:rPr>
        <w:t>---------------------------------------</w:t>
      </w:r>
    </w:p>
    <w:p>
      <w:pPr>
        <w:spacing w:after="0" w:line="13"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Name:</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3840"/>
        <w:spacing w:after="0"/>
        <w:rPr>
          <w:sz w:val="20"/>
          <w:szCs w:val="20"/>
          <w:color w:val="auto"/>
        </w:rPr>
      </w:pPr>
      <w:r>
        <w:rPr>
          <w:rFonts w:ascii="Courier New" w:cs="Courier New" w:eastAsia="Courier New" w:hAnsi="Courier New"/>
          <w:sz w:val="15"/>
          <w:szCs w:val="15"/>
          <w:color w:val="auto"/>
        </w:rPr>
        <w:t>---------------------------------------</w:t>
      </w:r>
    </w:p>
    <w:p>
      <w:pPr>
        <w:spacing w:after="0" w:line="13"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Name:</w:t>
      </w:r>
    </w:p>
    <w:p>
      <w:pPr>
        <w:sectPr>
          <w:pgSz w:w="11900" w:h="16838" w:orient="portrait"/>
          <w:cols w:equalWidth="0" w:num="1">
            <w:col w:w="10219"/>
          </w:cols>
          <w:pgMar w:left="240" w:top="300" w:right="1440" w:bottom="1440" w:gutter="0" w:footer="0" w:header="0"/>
        </w:sect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Accepted this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8"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day of</w:t>
      </w:r>
    </w:p>
    <w:p>
      <w:pPr>
        <w:spacing w:after="0" w:line="4" w:lineRule="exact"/>
        <w:rPr>
          <w:sz w:val="20"/>
          <w:szCs w:val="20"/>
          <w:color w:val="auto"/>
        </w:rPr>
      </w:pPr>
    </w:p>
    <w:p>
      <w:pPr>
        <w:spacing w:after="0"/>
        <w:tabs>
          <w:tab w:leader="none" w:pos="560" w:val="left"/>
        </w:tabs>
        <w:rPr>
          <w:sz w:val="20"/>
          <w:szCs w:val="20"/>
          <w:color w:val="auto"/>
        </w:rPr>
      </w:pPr>
      <w:r>
        <w:rPr>
          <w:rFonts w:ascii="Courier New" w:cs="Courier New" w:eastAsia="Courier New" w:hAnsi="Courier New"/>
          <w:sz w:val="16"/>
          <w:szCs w:val="16"/>
          <w:color w:val="auto"/>
        </w:rPr>
        <w:t>, 20</w:t>
      </w:r>
      <w:r>
        <w:rPr>
          <w:sz w:val="20"/>
          <w:szCs w:val="20"/>
          <w:color w:val="auto"/>
        </w:rPr>
        <w:tab/>
      </w:r>
      <w:r>
        <w:rPr>
          <w:rFonts w:ascii="Courier New" w:cs="Courier New" w:eastAsia="Courier New" w:hAnsi="Courier New"/>
          <w:sz w:val="15"/>
          <w:szCs w:val="15"/>
          <w:color w:val="auto"/>
        </w:rPr>
        <w:t>, by</w:t>
      </w:r>
    </w:p>
    <w:p>
      <w:pPr>
        <w:spacing w:after="0" w:line="200" w:lineRule="exact"/>
        <w:rPr>
          <w:sz w:val="20"/>
          <w:szCs w:val="20"/>
          <w:color w:val="auto"/>
        </w:rPr>
      </w:pPr>
    </w:p>
    <w:p>
      <w:pPr>
        <w:sectPr>
          <w:pgSz w:w="11900" w:h="16838" w:orient="portrait"/>
          <w:cols w:equalWidth="0" w:num="2">
            <w:col w:w="1240" w:space="100"/>
            <w:col w:w="8879"/>
          </w:cols>
          <w:pgMar w:left="240" w:top="300" w:right="1440" w:bottom="1440" w:gutter="0" w:footer="0" w:header="0"/>
          <w:type w:val="continuous"/>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CHASE MANHATTAN CORPORATION</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spacing w:after="0" w:line="4"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Name:</w:t>
      </w:r>
    </w:p>
    <w:p>
      <w:pPr>
        <w:spacing w:after="0" w:line="4"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Title:</w:t>
      </w:r>
    </w:p>
    <w:p>
      <w:pPr>
        <w:sectPr>
          <w:pgSz w:w="11900" w:h="16838" w:orient="portrait"/>
          <w:cols w:equalWidth="0" w:num="1">
            <w:col w:w="10219"/>
          </w:cols>
          <w:pgMar w:left="240" w:top="300" w:right="1440" w:bottom="1440" w:gutter="0" w:footer="0" w:header="0"/>
          <w:type w:val="continuous"/>
        </w:sectPr>
      </w:pPr>
    </w:p>
    <w:bookmarkStart w:id="74" w:name="page75"/>
    <w:bookmarkEnd w:id="74"/>
    <w:p>
      <w:pPr>
        <w:spacing w:after="0"/>
        <w:rPr>
          <w:sz w:val="20"/>
          <w:szCs w:val="20"/>
          <w:color w:val="auto"/>
        </w:rPr>
      </w:pPr>
      <w:r>
        <w:rPr>
          <w:rFonts w:ascii="Courier New" w:cs="Courier New" w:eastAsia="Courier New" w:hAnsi="Courier New"/>
          <w:sz w:val="16"/>
          <w:szCs w:val="16"/>
          <w:color w:val="auto"/>
        </w:rPr>
        <w:t>70</w:t>
      </w:r>
    </w:p>
    <w:p>
      <w:pPr>
        <w:spacing w:after="0" w:line="4" w:lineRule="exact"/>
        <w:rPr>
          <w:sz w:val="20"/>
          <w:szCs w:val="20"/>
          <w:color w:val="auto"/>
        </w:rPr>
      </w:pPr>
    </w:p>
    <w:p>
      <w:pPr>
        <w:jc w:val="right"/>
        <w:ind w:right="2539"/>
        <w:spacing w:after="0"/>
        <w:rPr>
          <w:sz w:val="20"/>
          <w:szCs w:val="20"/>
          <w:color w:val="auto"/>
        </w:rPr>
      </w:pPr>
      <w:r>
        <w:rPr>
          <w:rFonts w:ascii="Courier New" w:cs="Courier New" w:eastAsia="Courier New" w:hAnsi="Courier New"/>
          <w:sz w:val="16"/>
          <w:szCs w:val="16"/>
          <w:color w:val="auto"/>
        </w:rPr>
        <w:t>EXHIBIT 5.5(b)</w:t>
      </w:r>
    </w:p>
    <w:p>
      <w:pPr>
        <w:spacing w:after="0" w:line="4" w:lineRule="exact"/>
        <w:rPr>
          <w:sz w:val="20"/>
          <w:szCs w:val="20"/>
          <w:color w:val="auto"/>
        </w:rPr>
      </w:pPr>
    </w:p>
    <w:p>
      <w:pPr>
        <w:jc w:val="right"/>
        <w:ind w:right="2539"/>
        <w:spacing w:after="0"/>
        <w:rPr>
          <w:sz w:val="20"/>
          <w:szCs w:val="20"/>
          <w:color w:val="auto"/>
        </w:rPr>
      </w:pPr>
      <w:r>
        <w:rPr>
          <w:rFonts w:ascii="Courier New" w:cs="Courier New" w:eastAsia="Courier New" w:hAnsi="Courier New"/>
          <w:sz w:val="16"/>
          <w:szCs w:val="16"/>
          <w:color w:val="auto"/>
        </w:rPr>
        <w:t>TO THE MERGER AGREEMENT</w:t>
      </w:r>
    </w:p>
    <w:p>
      <w:pPr>
        <w:sectPr>
          <w:pgSz w:w="11900" w:h="16838" w:orient="portrait"/>
          <w:cols w:equalWidth="0" w:num="1">
            <w:col w:w="9939"/>
          </w:cols>
          <w:pgMar w:left="520" w:top="300" w:right="1440" w:bottom="1440" w:gutter="0" w:footer="0" w:header="0"/>
        </w:sectPr>
      </w:pPr>
    </w:p>
    <w:bookmarkStart w:id="75" w:name="page76"/>
    <w:bookmarkEnd w:id="75"/>
    <w:p>
      <w:pPr>
        <w:ind w:left="280"/>
        <w:spacing w:after="0"/>
        <w:rPr>
          <w:sz w:val="20"/>
          <w:szCs w:val="20"/>
          <w:color w:val="auto"/>
        </w:rPr>
      </w:pPr>
      <w:r>
        <w:rPr>
          <w:rFonts w:ascii="Courier New" w:cs="Courier New" w:eastAsia="Courier New" w:hAnsi="Courier New"/>
          <w:sz w:val="16"/>
          <w:szCs w:val="16"/>
          <w:color w:val="auto"/>
        </w:rPr>
        <w:t>71</w:t>
      </w:r>
    </w:p>
    <w:p>
      <w:pPr>
        <w:spacing w:after="0" w:line="4" w:lineRule="exact"/>
        <w:rPr>
          <w:sz w:val="20"/>
          <w:szCs w:val="20"/>
          <w:color w:val="auto"/>
        </w:rPr>
      </w:pPr>
    </w:p>
    <w:p>
      <w:pPr>
        <w:jc w:val="right"/>
        <w:ind w:right="2539"/>
        <w:spacing w:after="0"/>
        <w:rPr>
          <w:sz w:val="20"/>
          <w:szCs w:val="20"/>
          <w:color w:val="auto"/>
        </w:rPr>
      </w:pPr>
      <w:r>
        <w:rPr>
          <w:rFonts w:ascii="Courier New" w:cs="Courier New" w:eastAsia="Courier New" w:hAnsi="Courier New"/>
          <w:sz w:val="16"/>
          <w:szCs w:val="16"/>
          <w:color w:val="auto"/>
        </w:rPr>
        <w:t>EXHIBIT 5.5(b)</w:t>
      </w:r>
    </w:p>
    <w:p>
      <w:pPr>
        <w:spacing w:after="0" w:line="373" w:lineRule="exact"/>
        <w:rPr>
          <w:sz w:val="20"/>
          <w:szCs w:val="20"/>
          <w:color w:val="auto"/>
        </w:rPr>
      </w:pPr>
    </w:p>
    <w:p>
      <w:pPr>
        <w:ind w:left="2300"/>
        <w:spacing w:after="0"/>
        <w:rPr>
          <w:sz w:val="20"/>
          <w:szCs w:val="20"/>
          <w:color w:val="auto"/>
        </w:rPr>
      </w:pPr>
      <w:r>
        <w:rPr>
          <w:rFonts w:ascii="Courier New" w:cs="Courier New" w:eastAsia="Courier New" w:hAnsi="Courier New"/>
          <w:sz w:val="16"/>
          <w:szCs w:val="16"/>
          <w:color w:val="auto"/>
        </w:rPr>
        <w:t>[Chase Pooling Affiliate Letter]</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Chase Manhattan Corporation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270 Park Avenue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New York, New York</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Ladies and Gentlemen:</w:t>
      </w:r>
    </w:p>
    <w:p>
      <w:pPr>
        <w:spacing w:after="0" w:line="190" w:lineRule="exact"/>
        <w:rPr>
          <w:sz w:val="20"/>
          <w:szCs w:val="20"/>
          <w:color w:val="auto"/>
        </w:rPr>
      </w:pPr>
    </w:p>
    <w:p>
      <w:pPr>
        <w:ind w:right="2639" w:firstLine="961"/>
        <w:spacing w:after="0" w:line="244" w:lineRule="auto"/>
        <w:rPr>
          <w:sz w:val="20"/>
          <w:szCs w:val="20"/>
          <w:color w:val="auto"/>
        </w:rPr>
      </w:pPr>
      <w:r>
        <w:rPr>
          <w:rFonts w:ascii="Courier New" w:cs="Courier New" w:eastAsia="Courier New" w:hAnsi="Courier New"/>
          <w:sz w:val="16"/>
          <w:szCs w:val="16"/>
          <w:color w:val="auto"/>
        </w:rPr>
        <w:t>Pursuant to the terms of the Agreement and Plan of Merger dated as of September 12, 2000 (the "Agreement"), between The Chase Manhattan Corporation, a Delaware corporation ("Chase"), and J.P. Morgan &amp; Co. Incorporated, a Delaware corporation ("Morgan"), Morgan will be merged with and into Chase (the "Merger").</w:t>
      </w:r>
    </w:p>
    <w:p>
      <w:pPr>
        <w:spacing w:after="0" w:line="185"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The undersigned represents, warrants and covenants to Chase that:</w:t>
      </w:r>
    </w:p>
    <w:p>
      <w:pPr>
        <w:spacing w:after="0" w:line="190" w:lineRule="exact"/>
        <w:rPr>
          <w:sz w:val="20"/>
          <w:szCs w:val="20"/>
          <w:color w:val="auto"/>
        </w:rPr>
      </w:pPr>
    </w:p>
    <w:p>
      <w:pPr>
        <w:jc w:val="both"/>
        <w:ind w:left="480" w:right="2719" w:firstLine="479"/>
        <w:spacing w:after="0" w:line="243" w:lineRule="auto"/>
        <w:tabs>
          <w:tab w:leader="none" w:pos="1441" w:val="left"/>
        </w:tabs>
        <w:numPr>
          <w:ilvl w:val="0"/>
          <w:numId w:val="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undersigned understands that as of the date of this letter, the undersigned may be deemed to be an "affiliate" of Chase, as such term is used in and for purposes of Accounting Series Releases 130 and 135, as amended.</w:t>
      </w:r>
    </w:p>
    <w:p>
      <w:pPr>
        <w:spacing w:after="0" w:line="189" w:lineRule="exact"/>
        <w:rPr>
          <w:rFonts w:ascii="Courier New" w:cs="Courier New" w:eastAsia="Courier New" w:hAnsi="Courier New"/>
          <w:sz w:val="16"/>
          <w:szCs w:val="16"/>
          <w:color w:val="auto"/>
        </w:rPr>
      </w:pPr>
    </w:p>
    <w:p>
      <w:pPr>
        <w:ind w:left="480" w:right="2539" w:firstLine="479"/>
        <w:spacing w:after="0" w:line="244" w:lineRule="auto"/>
        <w:tabs>
          <w:tab w:leader="none" w:pos="1441" w:val="left"/>
        </w:tabs>
        <w:numPr>
          <w:ilvl w:val="0"/>
          <w:numId w:val="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undersigned will not sell, transfer or otherwise dispose of his or her interests in, or reduce his or her risk relative to (i) any shares of Common Stock, par value $1.00 per share, or shares of one or more series of preferred stock, par value $1.00 per share, of Chase (the "Chase Securities") of (ii) any shares of Common Stock, par value $2.50 per share, or shares or one or more series of preferred stock, no par value, of Morgan (the "Morgan Securities") beneficially owned by the undersigned during the period commencing 30 days prior to the effective date of the Merger and ending at such time as results covering at least 30 days of combined operations of Morgan and Chase have been published by Chase, which Chase agrees to publish consistent with its normal financial reporting practice.</w:t>
      </w:r>
    </w:p>
    <w:p>
      <w:pPr>
        <w:spacing w:after="0" w:line="190" w:lineRule="exact"/>
        <w:rPr>
          <w:rFonts w:ascii="Courier New" w:cs="Courier New" w:eastAsia="Courier New" w:hAnsi="Courier New"/>
          <w:sz w:val="16"/>
          <w:szCs w:val="16"/>
          <w:color w:val="auto"/>
        </w:rPr>
      </w:pPr>
    </w:p>
    <w:p>
      <w:pPr>
        <w:ind w:left="480" w:right="2639" w:firstLine="479"/>
        <w:spacing w:after="0" w:line="244" w:lineRule="auto"/>
        <w:tabs>
          <w:tab w:leader="none" w:pos="1441" w:val="left"/>
        </w:tabs>
        <w:numPr>
          <w:ilvl w:val="0"/>
          <w:numId w:val="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undersigned has carefully read this letter and the Agreement and discussed its requirements and other applicable limitations upon the undersigned's ability to sell, transfer or otherwise dispose of Chase Securities and Morgan Securities, to the extent the undersigned felt necessary, with counsel to the undersigned or counsel for Chase.</w:t>
      </w:r>
    </w:p>
    <w:p>
      <w:pPr>
        <w:sectPr>
          <w:pgSz w:w="11900" w:h="16838" w:orient="portrait"/>
          <w:cols w:equalWidth="0" w:num="1">
            <w:col w:w="10219"/>
          </w:cols>
          <w:pgMar w:left="240" w:top="300" w:right="1440" w:bottom="1440" w:gutter="0" w:footer="0" w:header="0"/>
        </w:sectPr>
      </w:pPr>
    </w:p>
    <w:bookmarkStart w:id="76" w:name="page77"/>
    <w:bookmarkEnd w:id="76"/>
    <w:p>
      <w:pPr>
        <w:ind w:left="280"/>
        <w:spacing w:after="0"/>
        <w:rPr>
          <w:sz w:val="20"/>
          <w:szCs w:val="20"/>
          <w:color w:val="auto"/>
        </w:rPr>
      </w:pPr>
      <w:r>
        <w:rPr>
          <w:rFonts w:ascii="Courier New" w:cs="Courier New" w:eastAsia="Courier New" w:hAnsi="Courier New"/>
          <w:sz w:val="16"/>
          <w:szCs w:val="16"/>
          <w:color w:val="auto"/>
        </w:rPr>
        <w:t>72</w:t>
      </w:r>
    </w:p>
    <w:p>
      <w:pPr>
        <w:spacing w:after="0" w:line="5" w:lineRule="exact"/>
        <w:rPr>
          <w:sz w:val="20"/>
          <w:szCs w:val="20"/>
          <w:color w:val="auto"/>
        </w:rPr>
      </w:pPr>
    </w:p>
    <w:p>
      <w:pPr>
        <w:ind w:right="2819" w:firstLine="480"/>
        <w:spacing w:after="0" w:line="243" w:lineRule="auto"/>
        <w:rPr>
          <w:sz w:val="20"/>
          <w:szCs w:val="20"/>
          <w:color w:val="auto"/>
        </w:rPr>
      </w:pPr>
      <w:r>
        <w:rPr>
          <w:rFonts w:ascii="Courier New" w:cs="Courier New" w:eastAsia="Courier New" w:hAnsi="Courier New"/>
          <w:sz w:val="16"/>
          <w:szCs w:val="16"/>
          <w:color w:val="auto"/>
        </w:rPr>
        <w:t>This letter agreement shall be governed by and construed in accordance with the laws of the State of Delaware. This letter agreement shall terminate if and when the Agreement is terminated according to its terms.</w:t>
      </w:r>
    </w:p>
    <w:p>
      <w:pPr>
        <w:spacing w:after="0" w:line="187"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Very truly yours,</w:t>
      </w:r>
    </w:p>
    <w:p>
      <w:pPr>
        <w:spacing w:after="0" w:line="200" w:lineRule="exact"/>
        <w:rPr>
          <w:sz w:val="20"/>
          <w:szCs w:val="20"/>
          <w:color w:val="auto"/>
        </w:rPr>
      </w:pPr>
    </w:p>
    <w:p>
      <w:pPr>
        <w:spacing w:after="0" w:line="358"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Name:</w:t>
      </w:r>
    </w:p>
    <w:p>
      <w:pPr>
        <w:spacing w:after="0" w:line="4"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Title:</w:t>
      </w:r>
    </w:p>
    <w:p>
      <w:pPr>
        <w:spacing w:after="0" w:line="188"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[add below the signatures of all</w:t>
      </w:r>
    </w:p>
    <w:p>
      <w:pPr>
        <w:spacing w:after="0" w:line="4"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registered owners of shares deemed</w:t>
      </w:r>
    </w:p>
    <w:p>
      <w:pPr>
        <w:spacing w:after="0" w:line="4"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beneficially owed by the affiliate]</w:t>
      </w:r>
    </w:p>
    <w:p>
      <w:pPr>
        <w:spacing w:after="0" w:line="200" w:lineRule="exact"/>
        <w:rPr>
          <w:sz w:val="20"/>
          <w:szCs w:val="20"/>
          <w:color w:val="auto"/>
        </w:rPr>
      </w:pPr>
    </w:p>
    <w:p>
      <w:pPr>
        <w:spacing w:after="0" w:line="358"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Name:</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Name:</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Name:</w:t>
      </w:r>
    </w:p>
    <w:p>
      <w:pPr>
        <w:spacing w:after="0" w:line="373" w:lineRule="exact"/>
        <w:rPr>
          <w:sz w:val="20"/>
          <w:szCs w:val="20"/>
          <w:color w:val="auto"/>
        </w:rPr>
      </w:pPr>
    </w:p>
    <w:p>
      <w:pPr>
        <w:spacing w:after="0"/>
        <w:tabs>
          <w:tab w:leader="none" w:pos="1520" w:val="left"/>
        </w:tabs>
        <w:rPr>
          <w:sz w:val="20"/>
          <w:szCs w:val="20"/>
          <w:color w:val="auto"/>
        </w:rPr>
      </w:pPr>
      <w:r>
        <w:rPr>
          <w:rFonts w:ascii="Courier New" w:cs="Courier New" w:eastAsia="Courier New" w:hAnsi="Courier New"/>
          <w:sz w:val="16"/>
          <w:szCs w:val="16"/>
          <w:color w:val="auto"/>
        </w:rPr>
        <w:t>Accepted this</w:t>
      </w:r>
      <w:r>
        <w:rPr>
          <w:sz w:val="20"/>
          <w:szCs w:val="20"/>
          <w:color w:val="auto"/>
        </w:rPr>
        <w:tab/>
      </w:r>
      <w:r>
        <w:rPr>
          <w:rFonts w:ascii="Courier New" w:cs="Courier New" w:eastAsia="Courier New" w:hAnsi="Courier New"/>
          <w:sz w:val="16"/>
          <w:szCs w:val="16"/>
          <w:color w:val="auto"/>
        </w:rPr>
        <w:t>day of</w:t>
      </w:r>
    </w:p>
    <w:p>
      <w:pPr>
        <w:spacing w:after="0" w:line="4" w:lineRule="exact"/>
        <w:rPr>
          <w:sz w:val="20"/>
          <w:szCs w:val="20"/>
          <w:color w:val="auto"/>
        </w:rPr>
      </w:pPr>
    </w:p>
    <w:p>
      <w:pPr>
        <w:ind w:left="1340"/>
        <w:spacing w:after="0"/>
        <w:tabs>
          <w:tab w:leader="none" w:pos="1800" w:val="left"/>
        </w:tabs>
        <w:rPr>
          <w:sz w:val="20"/>
          <w:szCs w:val="20"/>
          <w:color w:val="auto"/>
        </w:rPr>
      </w:pPr>
      <w:r>
        <w:rPr>
          <w:rFonts w:ascii="Courier New" w:cs="Courier New" w:eastAsia="Courier New" w:hAnsi="Courier New"/>
          <w:sz w:val="16"/>
          <w:szCs w:val="16"/>
          <w:color w:val="auto"/>
        </w:rPr>
        <w:t>,20</w:t>
        <w:tab/>
        <w:t>, by</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CHASE MANHATTAN CORPORATION</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spacing w:after="0" w:line="4"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Name:</w:t>
      </w:r>
    </w:p>
    <w:p>
      <w:pPr>
        <w:spacing w:after="0" w:line="4"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Title:</w:t>
      </w:r>
    </w:p>
    <w:p>
      <w:pPr>
        <w:sectPr>
          <w:pgSz w:w="11900" w:h="16838" w:orient="portrait"/>
          <w:cols w:equalWidth="0" w:num="1">
            <w:col w:w="10219"/>
          </w:cols>
          <w:pgMar w:left="240" w:top="300" w:right="1440" w:bottom="1440" w:gutter="0" w:footer="0" w:header="0"/>
        </w:sectPr>
      </w:pPr>
    </w:p>
    <w:bookmarkStart w:id="77" w:name="page78"/>
    <w:bookmarkEnd w:id="77"/>
    <w:p>
      <w:pPr>
        <w:spacing w:after="0"/>
        <w:rPr>
          <w:sz w:val="20"/>
          <w:szCs w:val="20"/>
          <w:color w:val="auto"/>
        </w:rPr>
      </w:pPr>
      <w:r>
        <w:rPr>
          <w:rFonts w:ascii="Courier New" w:cs="Courier New" w:eastAsia="Courier New" w:hAnsi="Courier New"/>
          <w:sz w:val="16"/>
          <w:szCs w:val="16"/>
          <w:color w:val="auto"/>
        </w:rPr>
        <w:t>73</w:t>
      </w:r>
    </w:p>
    <w:p>
      <w:pPr>
        <w:spacing w:after="0" w:line="4" w:lineRule="exact"/>
        <w:rPr>
          <w:sz w:val="20"/>
          <w:szCs w:val="20"/>
          <w:color w:val="auto"/>
        </w:rPr>
      </w:pPr>
    </w:p>
    <w:p>
      <w:pPr>
        <w:jc w:val="right"/>
        <w:ind w:right="2539"/>
        <w:spacing w:after="0"/>
        <w:rPr>
          <w:sz w:val="20"/>
          <w:szCs w:val="20"/>
          <w:color w:val="auto"/>
        </w:rPr>
      </w:pPr>
      <w:r>
        <w:rPr>
          <w:rFonts w:ascii="Courier New" w:cs="Courier New" w:eastAsia="Courier New" w:hAnsi="Courier New"/>
          <w:sz w:val="16"/>
          <w:szCs w:val="16"/>
          <w:color w:val="auto"/>
        </w:rPr>
        <w:t>EXHIBIT 5.10(a)</w:t>
      </w:r>
    </w:p>
    <w:p>
      <w:pPr>
        <w:spacing w:after="0" w:line="4" w:lineRule="exact"/>
        <w:rPr>
          <w:sz w:val="20"/>
          <w:szCs w:val="20"/>
          <w:color w:val="auto"/>
        </w:rPr>
      </w:pPr>
    </w:p>
    <w:p>
      <w:pPr>
        <w:jc w:val="right"/>
        <w:ind w:right="2539"/>
        <w:spacing w:after="0"/>
        <w:rPr>
          <w:sz w:val="20"/>
          <w:szCs w:val="20"/>
          <w:color w:val="auto"/>
        </w:rPr>
      </w:pPr>
      <w:r>
        <w:rPr>
          <w:rFonts w:ascii="Courier New" w:cs="Courier New" w:eastAsia="Courier New" w:hAnsi="Courier New"/>
          <w:sz w:val="16"/>
          <w:szCs w:val="16"/>
          <w:color w:val="auto"/>
        </w:rPr>
        <w:t>TO THE MERGER AGREEMENT</w:t>
      </w:r>
    </w:p>
    <w:p>
      <w:pPr>
        <w:sectPr>
          <w:pgSz w:w="11900" w:h="16838" w:orient="portrait"/>
          <w:cols w:equalWidth="0" w:num="1">
            <w:col w:w="9939"/>
          </w:cols>
          <w:pgMar w:left="520" w:top="300" w:right="1440" w:bottom="1440" w:gutter="0" w:footer="0" w:header="0"/>
        </w:sectPr>
      </w:pPr>
    </w:p>
    <w:bookmarkStart w:id="78" w:name="page79"/>
    <w:bookmarkEnd w:id="78"/>
    <w:p>
      <w:pPr>
        <w:ind w:left="280"/>
        <w:spacing w:after="0"/>
        <w:rPr>
          <w:sz w:val="20"/>
          <w:szCs w:val="20"/>
          <w:color w:val="auto"/>
        </w:rPr>
      </w:pPr>
      <w:r>
        <w:rPr>
          <w:rFonts w:ascii="Courier New" w:cs="Courier New" w:eastAsia="Courier New" w:hAnsi="Courier New"/>
          <w:sz w:val="16"/>
          <w:szCs w:val="16"/>
          <w:color w:val="auto"/>
        </w:rPr>
        <w:t>74</w:t>
      </w:r>
    </w:p>
    <w:p>
      <w:pPr>
        <w:spacing w:after="0" w:line="5" w:lineRule="exact"/>
        <w:rPr>
          <w:sz w:val="20"/>
          <w:szCs w:val="20"/>
          <w:color w:val="auto"/>
        </w:rPr>
      </w:pPr>
    </w:p>
    <w:p>
      <w:pPr>
        <w:ind w:left="6240"/>
        <w:spacing w:after="0"/>
        <w:rPr>
          <w:sz w:val="20"/>
          <w:szCs w:val="20"/>
          <w:color w:val="auto"/>
        </w:rPr>
      </w:pPr>
      <w:r>
        <w:rPr>
          <w:rFonts w:ascii="Courier New" w:cs="Courier New" w:eastAsia="Courier New" w:hAnsi="Courier New"/>
          <w:sz w:val="15"/>
          <w:szCs w:val="15"/>
          <w:color w:val="auto"/>
        </w:rPr>
        <w:t>EXHIBIT 5.10(a)</w:t>
      </w:r>
    </w:p>
    <w:p>
      <w:pPr>
        <w:sectPr>
          <w:pgSz w:w="11900" w:h="16838" w:orient="portrait"/>
          <w:cols w:equalWidth="0" w:num="1">
            <w:col w:w="10219"/>
          </w:cols>
          <w:pgMar w:left="240" w:top="300" w:right="1440" w:bottom="1440" w:gutter="0" w:footer="0" w:header="0"/>
        </w:sectPr>
      </w:pP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Name</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Title</w:t>
      </w:r>
    </w:p>
    <w:p>
      <w:pPr>
        <w:spacing w:after="0" w:line="188" w:lineRule="exact"/>
        <w:rPr>
          <w:sz w:val="20"/>
          <w:szCs w:val="20"/>
          <w:color w:val="auto"/>
        </w:rPr>
      </w:pPr>
    </w:p>
    <w:p>
      <w:pPr>
        <w:sectPr>
          <w:pgSz w:w="11900" w:h="16838" w:orient="portrait"/>
          <w:cols w:equalWidth="0" w:num="2">
            <w:col w:w="2840" w:space="720"/>
            <w:col w:w="6659"/>
          </w:cols>
          <w:pgMar w:left="240" w:top="300" w:right="1440" w:bottom="1440" w:gutter="0" w:footer="0" w:header="0"/>
          <w:type w:val="continuous"/>
        </w:sectPr>
      </w:pPr>
    </w:p>
    <w:p>
      <w:pPr>
        <w:spacing w:after="0" w:line="2" w:lineRule="exact"/>
        <w:rPr>
          <w:sz w:val="20"/>
          <w:szCs w:val="20"/>
          <w:color w:val="auto"/>
        </w:rPr>
      </w:pPr>
    </w:p>
    <w:p>
      <w:pPr>
        <w:ind w:right="440"/>
        <w:spacing w:after="0" w:line="274" w:lineRule="auto"/>
        <w:rPr>
          <w:sz w:val="20"/>
          <w:szCs w:val="20"/>
          <w:color w:val="auto"/>
        </w:rPr>
      </w:pPr>
      <w:r>
        <w:rPr>
          <w:rFonts w:ascii="Courier New" w:cs="Courier New" w:eastAsia="Courier New" w:hAnsi="Courier New"/>
          <w:sz w:val="15"/>
          <w:szCs w:val="15"/>
          <w:color w:val="auto"/>
        </w:rPr>
        <w:t>Douglas A. Warner III William B. Harrison, Jr.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Chairman</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President and Chief Executive Officer</w:t>
      </w:r>
    </w:p>
    <w:p>
      <w:pPr>
        <w:spacing w:after="0" w:line="233" w:lineRule="exact"/>
        <w:rPr>
          <w:sz w:val="20"/>
          <w:szCs w:val="20"/>
          <w:color w:val="auto"/>
        </w:rPr>
      </w:pPr>
    </w:p>
    <w:p>
      <w:pPr>
        <w:sectPr>
          <w:pgSz w:w="11900" w:h="16838" w:orient="portrait"/>
          <w:cols w:equalWidth="0" w:num="2">
            <w:col w:w="2740" w:space="720"/>
            <w:col w:w="6759"/>
          </w:cols>
          <w:pgMar w:left="240" w:top="300" w:right="1440" w:bottom="1440" w:gutter="0" w:footer="0" w:header="0"/>
          <w:type w:val="continuous"/>
        </w:sectPr>
      </w:pPr>
    </w:p>
    <w:p>
      <w:pPr>
        <w:spacing w:after="0" w:line="15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Executive Committee of Management</w:t>
      </w:r>
    </w:p>
    <w:p>
      <w:pPr>
        <w:sectPr>
          <w:pgSz w:w="11900" w:h="16838" w:orient="portrait"/>
          <w:cols w:equalWidth="0" w:num="1">
            <w:col w:w="10219"/>
          </w:cols>
          <w:pgMar w:left="240" w:top="300" w:right="1440" w:bottom="1440" w:gutter="0" w:footer="0" w:header="0"/>
          <w:type w:val="continuous"/>
        </w:sectPr>
      </w:pP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Douglas A. Warner III</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William B. Harrison, Jr.</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Geoffrey Boisi</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David A. Coulter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Ramon de Oliveira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Walter A. Gubert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Thomas B. Ketchum</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Donald H. Layton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James B. Lee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Marc J. Shapiro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Jeffrey C. Walker</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co-Chairman</w:t>
      </w:r>
    </w:p>
    <w:p>
      <w:pPr>
        <w:spacing w:after="0" w:line="4"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co-Chairman</w:t>
      </w:r>
    </w:p>
    <w:p>
      <w:pPr>
        <w:sectPr>
          <w:pgSz w:w="11900" w:h="16838" w:orient="portrait"/>
          <w:cols w:equalWidth="0" w:num="2">
            <w:col w:w="2640" w:space="720"/>
            <w:col w:w="6859"/>
          </w:cols>
          <w:pgMar w:left="240" w:top="300" w:right="1440" w:bottom="1440" w:gutter="0" w:footer="0" w:header="0"/>
          <w:type w:val="continuous"/>
        </w:sectPr>
      </w:pPr>
    </w:p>
    <w:bookmarkStart w:id="79" w:name="page80"/>
    <w:bookmarkEnd w:id="79"/>
    <w:p>
      <w:pPr>
        <w:ind w:left="280"/>
        <w:spacing w:after="0"/>
        <w:rPr>
          <w:sz w:val="20"/>
          <w:szCs w:val="20"/>
          <w:color w:val="auto"/>
        </w:rPr>
      </w:pPr>
      <w:r>
        <w:rPr>
          <w:rFonts w:ascii="Courier New" w:cs="Courier New" w:eastAsia="Courier New" w:hAnsi="Courier New"/>
          <w:sz w:val="16"/>
          <w:szCs w:val="16"/>
          <w:color w:val="auto"/>
        </w:rPr>
        <w:t>1</w:t>
      </w:r>
    </w:p>
    <w:p>
      <w:pPr>
        <w:spacing w:after="0" w:line="4" w:lineRule="exact"/>
        <w:rPr>
          <w:sz w:val="20"/>
          <w:szCs w:val="20"/>
          <w:color w:val="auto"/>
        </w:rPr>
      </w:pPr>
    </w:p>
    <w:p>
      <w:pPr>
        <w:jc w:val="right"/>
        <w:ind w:right="2539"/>
        <w:spacing w:after="0"/>
        <w:rPr>
          <w:sz w:val="20"/>
          <w:szCs w:val="20"/>
          <w:color w:val="auto"/>
        </w:rPr>
      </w:pPr>
      <w:r>
        <w:rPr>
          <w:rFonts w:ascii="Courier New" w:cs="Courier New" w:eastAsia="Courier New" w:hAnsi="Courier New"/>
          <w:sz w:val="16"/>
          <w:szCs w:val="16"/>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6340"/>
        <w:spacing w:after="0"/>
        <w:rPr>
          <w:sz w:val="20"/>
          <w:szCs w:val="20"/>
          <w:color w:val="auto"/>
        </w:rPr>
      </w:pPr>
      <w:r>
        <w:rPr>
          <w:rFonts w:ascii="Courier New" w:cs="Courier New" w:eastAsia="Courier New" w:hAnsi="Courier New"/>
          <w:sz w:val="15"/>
          <w:szCs w:val="15"/>
          <w:color w:val="auto"/>
        </w:rPr>
        <w:t>EXECUTION COPY</w:t>
      </w:r>
    </w:p>
    <w:p>
      <w:pPr>
        <w:spacing w:after="0" w:line="200" w:lineRule="exact"/>
        <w:rPr>
          <w:sz w:val="20"/>
          <w:szCs w:val="20"/>
          <w:color w:val="auto"/>
        </w:rPr>
      </w:pPr>
    </w:p>
    <w:p>
      <w:pPr>
        <w:ind w:left="100" w:right="2639" w:firstLine="96"/>
        <w:spacing w:after="0" w:line="274" w:lineRule="auto"/>
        <w:rPr>
          <w:sz w:val="20"/>
          <w:szCs w:val="20"/>
          <w:color w:val="auto"/>
        </w:rPr>
      </w:pPr>
      <w:r>
        <w:rPr>
          <w:rFonts w:ascii="Courier New" w:cs="Courier New" w:eastAsia="Courier New" w:hAnsi="Courier New"/>
          <w:sz w:val="15"/>
          <w:szCs w:val="15"/>
          <w:color w:val="auto"/>
        </w:rPr>
        <w:t>THE TRANSFER OF THIS AGREEMENT IS SUBJECT TO CERTAIN RESTRICTIONS CONTAINED HEREIN AND TO RESALE RESTRICTIONS UNDER THE SECURITIES ACT OF 1933, AS AMENDED</w:t>
      </w:r>
    </w:p>
    <w:p>
      <w:pPr>
        <w:spacing w:after="0" w:line="200" w:lineRule="exact"/>
        <w:rPr>
          <w:sz w:val="20"/>
          <w:szCs w:val="20"/>
          <w:color w:val="auto"/>
        </w:rPr>
      </w:pPr>
    </w:p>
    <w:p>
      <w:pPr>
        <w:spacing w:after="0" w:line="334" w:lineRule="exact"/>
        <w:rPr>
          <w:sz w:val="20"/>
          <w:szCs w:val="20"/>
          <w:color w:val="auto"/>
        </w:rPr>
      </w:pPr>
    </w:p>
    <w:p>
      <w:pPr>
        <w:ind w:left="2780"/>
        <w:spacing w:after="0"/>
        <w:rPr>
          <w:sz w:val="20"/>
          <w:szCs w:val="20"/>
          <w:color w:val="auto"/>
        </w:rPr>
      </w:pPr>
      <w:r>
        <w:rPr>
          <w:rFonts w:ascii="Courier New" w:cs="Courier New" w:eastAsia="Courier New" w:hAnsi="Courier New"/>
          <w:sz w:val="16"/>
          <w:szCs w:val="16"/>
          <w:color w:val="auto"/>
        </w:rPr>
        <w:t>STOCK OPTION AGREEMENT</w:t>
      </w:r>
    </w:p>
    <w:p>
      <w:pPr>
        <w:spacing w:after="0" w:line="190" w:lineRule="exact"/>
        <w:rPr>
          <w:sz w:val="20"/>
          <w:szCs w:val="20"/>
          <w:color w:val="auto"/>
        </w:rPr>
      </w:pPr>
    </w:p>
    <w:p>
      <w:pPr>
        <w:ind w:right="2719" w:firstLine="1729"/>
        <w:spacing w:after="0" w:line="243" w:lineRule="auto"/>
        <w:rPr>
          <w:sz w:val="20"/>
          <w:szCs w:val="20"/>
          <w:color w:val="auto"/>
        </w:rPr>
      </w:pPr>
      <w:r>
        <w:rPr>
          <w:rFonts w:ascii="Courier New" w:cs="Courier New" w:eastAsia="Courier New" w:hAnsi="Courier New"/>
          <w:sz w:val="16"/>
          <w:szCs w:val="16"/>
          <w:color w:val="auto"/>
        </w:rPr>
        <w:t>STOCK OPTION AGREEMENT, dated as of September 12, 2000 (this "Agreement"), by and between THE CHASE MANHATTAN CORPORATION, a Delaware corporation ("Issuer"), and J.P. MORGAN &amp; CO. INCORPORATED, a Delaware corporation ("Grantee").</w:t>
      </w:r>
    </w:p>
    <w:p>
      <w:pPr>
        <w:spacing w:after="0" w:line="190" w:lineRule="exact"/>
        <w:rPr>
          <w:sz w:val="20"/>
          <w:szCs w:val="20"/>
          <w:color w:val="auto"/>
        </w:rPr>
      </w:pPr>
    </w:p>
    <w:p>
      <w:pPr>
        <w:ind w:right="2539" w:firstLine="1729"/>
        <w:spacing w:after="0" w:line="243" w:lineRule="auto"/>
        <w:rPr>
          <w:sz w:val="20"/>
          <w:szCs w:val="20"/>
          <w:color w:val="auto"/>
        </w:rPr>
      </w:pPr>
      <w:r>
        <w:rPr>
          <w:rFonts w:ascii="Courier New" w:cs="Courier New" w:eastAsia="Courier New" w:hAnsi="Courier New"/>
          <w:sz w:val="16"/>
          <w:szCs w:val="16"/>
          <w:color w:val="auto"/>
        </w:rPr>
        <w:t>WHEREAS, Grantee and Issuer are concurrently herewith entering into an Agreement and Plan of Merger, dated as of the date hereof (the "Merger Agreement"), pursuant to which Grantee will be merged with and into Issuer, with Issuer being the surviving corporation (the "Merger"); and</w:t>
      </w:r>
    </w:p>
    <w:p>
      <w:pPr>
        <w:spacing w:after="0" w:line="190" w:lineRule="exact"/>
        <w:rPr>
          <w:sz w:val="20"/>
          <w:szCs w:val="20"/>
          <w:color w:val="auto"/>
        </w:rPr>
      </w:pPr>
    </w:p>
    <w:p>
      <w:pPr>
        <w:ind w:right="2539" w:firstLine="1729"/>
        <w:spacing w:after="0" w:line="243" w:lineRule="auto"/>
        <w:rPr>
          <w:sz w:val="20"/>
          <w:szCs w:val="20"/>
          <w:color w:val="auto"/>
        </w:rPr>
      </w:pPr>
      <w:r>
        <w:rPr>
          <w:rFonts w:ascii="Courier New" w:cs="Courier New" w:eastAsia="Courier New" w:hAnsi="Courier New"/>
          <w:sz w:val="16"/>
          <w:szCs w:val="16"/>
          <w:color w:val="auto"/>
        </w:rPr>
        <w:t>WHEREAS, as a condition and inducement to Grantee's execution of the Merger Agreement and the Morgan Stock Option Agreement (as defined in the Merger Agreement), Grantee has required that Issuer agree, and Issuer has agreed, to grant Grantee the Option (as defined in Section 2).</w:t>
      </w:r>
    </w:p>
    <w:p>
      <w:pPr>
        <w:spacing w:after="0" w:line="190" w:lineRule="exact"/>
        <w:rPr>
          <w:sz w:val="20"/>
          <w:szCs w:val="20"/>
          <w:color w:val="auto"/>
        </w:rPr>
      </w:pPr>
    </w:p>
    <w:p>
      <w:pPr>
        <w:ind w:right="2819" w:firstLine="1729"/>
        <w:spacing w:after="0" w:line="243" w:lineRule="auto"/>
        <w:rPr>
          <w:sz w:val="20"/>
          <w:szCs w:val="20"/>
          <w:color w:val="auto"/>
        </w:rPr>
      </w:pPr>
      <w:r>
        <w:rPr>
          <w:rFonts w:ascii="Courier New" w:cs="Courier New" w:eastAsia="Courier New" w:hAnsi="Courier New"/>
          <w:sz w:val="16"/>
          <w:szCs w:val="16"/>
          <w:color w:val="auto"/>
        </w:rPr>
        <w:t>NOW, THEREFORE, in consideration of the foregoing and the respective representations, warranties, covenants and agreements set forth herein and in the Merger Agreement, and intending to be legally bound hereby, Issuer and Grantee agree as follows:</w:t>
      </w:r>
    </w:p>
    <w:p>
      <w:pPr>
        <w:spacing w:after="0" w:line="190" w:lineRule="exact"/>
        <w:rPr>
          <w:sz w:val="20"/>
          <w:szCs w:val="20"/>
          <w:color w:val="auto"/>
        </w:rPr>
      </w:pPr>
    </w:p>
    <w:p>
      <w:pPr>
        <w:ind w:right="2919" w:firstLine="1728"/>
        <w:spacing w:after="0" w:line="243" w:lineRule="auto"/>
        <w:tabs>
          <w:tab w:leader="none" w:pos="2018" w:val="left"/>
        </w:tabs>
        <w:numPr>
          <w:ilvl w:val="0"/>
          <w:numId w:val="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Defined Terms. Capitalized terms which are used but not defined herein shall have the meanings ascribed to such terms in the Merger Agreement.</w:t>
      </w:r>
    </w:p>
    <w:p>
      <w:pPr>
        <w:spacing w:after="0" w:line="188" w:lineRule="exact"/>
        <w:rPr>
          <w:rFonts w:ascii="Courier New" w:cs="Courier New" w:eastAsia="Courier New" w:hAnsi="Courier New"/>
          <w:sz w:val="16"/>
          <w:szCs w:val="16"/>
          <w:color w:val="auto"/>
        </w:rPr>
      </w:pPr>
    </w:p>
    <w:p>
      <w:pPr>
        <w:ind w:right="2539" w:firstLine="1728"/>
        <w:spacing w:after="0" w:line="262" w:lineRule="auto"/>
        <w:tabs>
          <w:tab w:leader="none" w:pos="2018"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Grant of Option. Subject to the terms and conditions set forth herein, Issuer hereby grants to Grantee an irrevocable option (the "Option") to purchase up to 260,464,725 shares (as adjusted as set forth herein, the "Option Shares") of common stock, par value $1.00 per share, of Issuer (the "Issuer Common Stock") at a purchase price per Option Share (as adjusted as set forth herein, the "Purchase Price") of $56.25; provided, that in no event shall the number of Option Shares for which this Option is exercisable exceed 19.9% of the issued and outstanding shares of Issuer Common Stock on the date hereof. Issuer shall make proper provision so that each Option Share issued upon exercise of the Option shall be accompanied by the applicable number of rights or other benefits as may be provided in any Issuer rights agreement or similar agreement that may be adopted after the date hereof.</w:t>
      </w:r>
    </w:p>
    <w:p>
      <w:pPr>
        <w:spacing w:after="0" w:line="174" w:lineRule="exact"/>
        <w:rPr>
          <w:rFonts w:ascii="Courier New" w:cs="Courier New" w:eastAsia="Courier New" w:hAnsi="Courier New"/>
          <w:sz w:val="15"/>
          <w:szCs w:val="15"/>
          <w:color w:val="auto"/>
        </w:rPr>
      </w:pPr>
    </w:p>
    <w:p>
      <w:pPr>
        <w:ind w:left="2020" w:hanging="292"/>
        <w:spacing w:after="0"/>
        <w:tabs>
          <w:tab w:leader="none" w:pos="2020" w:val="left"/>
        </w:tabs>
        <w:numPr>
          <w:ilvl w:val="0"/>
          <w:numId w:val="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Exercise of Option.</w:t>
      </w:r>
    </w:p>
    <w:p>
      <w:pPr>
        <w:spacing w:after="0" w:line="190" w:lineRule="exact"/>
        <w:rPr>
          <w:rFonts w:ascii="Courier New" w:cs="Courier New" w:eastAsia="Courier New" w:hAnsi="Courier New"/>
          <w:sz w:val="16"/>
          <w:szCs w:val="16"/>
          <w:color w:val="auto"/>
        </w:rPr>
      </w:pPr>
    </w:p>
    <w:p>
      <w:pPr>
        <w:jc w:val="both"/>
        <w:ind w:right="2719" w:firstLine="2593"/>
        <w:spacing w:after="0" w:line="243" w:lineRule="auto"/>
        <w:tabs>
          <w:tab w:leader="none" w:pos="2978" w:val="left"/>
        </w:tabs>
        <w:numPr>
          <w:ilvl w:val="1"/>
          <w:numId w:val="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Grantee may exercise the Option, in whole or in part, at any time and from time to time following the occurrence of a Purchase Event (as defined in Section 3(b)); provided, that the Option shall terminate and be of no further force or effect upon the earliest to</w:t>
      </w:r>
    </w:p>
    <w:p>
      <w:pPr>
        <w:sectPr>
          <w:pgSz w:w="11900" w:h="16838" w:orient="portrait"/>
          <w:cols w:equalWidth="0" w:num="1">
            <w:col w:w="10219"/>
          </w:cols>
          <w:pgMar w:left="240" w:top="140" w:right="1440" w:bottom="1440" w:gutter="0" w:footer="0" w:header="0"/>
        </w:sectPr>
      </w:pPr>
    </w:p>
    <w:bookmarkStart w:id="80" w:name="page81"/>
    <w:bookmarkEnd w:id="80"/>
    <w:p>
      <w:pPr>
        <w:ind w:left="280"/>
        <w:spacing w:after="0"/>
        <w:rPr>
          <w:sz w:val="20"/>
          <w:szCs w:val="20"/>
          <w:color w:val="auto"/>
        </w:rPr>
      </w:pPr>
      <w:r>
        <w:rPr>
          <w:rFonts w:ascii="Courier New" w:cs="Courier New" w:eastAsia="Courier New" w:hAnsi="Courier New"/>
          <w:sz w:val="16"/>
          <w:szCs w:val="16"/>
          <w:color w:val="auto"/>
        </w:rPr>
        <w:t>2</w:t>
      </w:r>
    </w:p>
    <w:p>
      <w:pPr>
        <w:spacing w:after="0" w:line="5" w:lineRule="exact"/>
        <w:rPr>
          <w:sz w:val="20"/>
          <w:szCs w:val="20"/>
          <w:color w:val="auto"/>
        </w:rPr>
      </w:pPr>
    </w:p>
    <w:p>
      <w:pPr>
        <w:ind w:right="2639"/>
        <w:spacing w:after="0" w:line="262" w:lineRule="auto"/>
        <w:rPr>
          <w:sz w:val="20"/>
          <w:szCs w:val="20"/>
          <w:color w:val="auto"/>
        </w:rPr>
      </w:pPr>
      <w:r>
        <w:rPr>
          <w:rFonts w:ascii="Courier New" w:cs="Courier New" w:eastAsia="Courier New" w:hAnsi="Courier New"/>
          <w:sz w:val="15"/>
          <w:szCs w:val="15"/>
          <w:color w:val="auto"/>
        </w:rPr>
        <w:t>occur of (A) the Effective Time, (B) termination of the Merger Agreement in accordance with the terms thereof so long as, in the case of this clause (B), a Purchase Event has not occurred and could not occur in the future, (C) the date that Grantee's Total Profit equals $1.25 billion, and (D) the date which is 90 days after the occurrence of a Purchase Event; and provided, further, that any purchase of shares upon exercise of the Option shall be subject to compliance with applicable law; and provided, further, that Grantee shall have sent the written notice of such exercise (as provided in Section 3(d)) within 90 days following such Purchase Event. Notwithstanding the termination of the Option, Grantee shall be entitled to purchase those Option Shares with respect to which it has exercised the Option in accordance herewith prior to the termination of the Option. The termination of the Option shall not affect any rights hereunder which by their terms extend beyond the date of such termination.</w:t>
      </w:r>
    </w:p>
    <w:p>
      <w:pPr>
        <w:spacing w:after="0" w:line="173" w:lineRule="exact"/>
        <w:rPr>
          <w:sz w:val="20"/>
          <w:szCs w:val="20"/>
          <w:color w:val="auto"/>
        </w:rPr>
      </w:pPr>
    </w:p>
    <w:p>
      <w:pPr>
        <w:jc w:val="center"/>
        <w:ind w:right="139"/>
        <w:spacing w:after="0"/>
        <w:rPr>
          <w:sz w:val="20"/>
          <w:szCs w:val="20"/>
          <w:color w:val="auto"/>
        </w:rPr>
      </w:pPr>
      <w:r>
        <w:rPr>
          <w:rFonts w:ascii="Courier New" w:cs="Courier New" w:eastAsia="Courier New" w:hAnsi="Courier New"/>
          <w:sz w:val="16"/>
          <w:szCs w:val="16"/>
          <w:color w:val="auto"/>
        </w:rPr>
        <w:t>(b) As used herein, a "Purchase Event" means any of</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following events:</w:t>
      </w:r>
    </w:p>
    <w:p>
      <w:pPr>
        <w:spacing w:after="0" w:line="188" w:lineRule="exact"/>
        <w:rPr>
          <w:sz w:val="20"/>
          <w:szCs w:val="20"/>
          <w:color w:val="auto"/>
        </w:rPr>
      </w:pPr>
    </w:p>
    <w:p>
      <w:pPr>
        <w:ind w:left="3840" w:hanging="383"/>
        <w:spacing w:after="0"/>
        <w:tabs>
          <w:tab w:leader="none" w:pos="3840" w:val="left"/>
        </w:tabs>
        <w:numPr>
          <w:ilvl w:val="0"/>
          <w:numId w:val="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prior to the termination of the Merger</w:t>
      </w:r>
    </w:p>
    <w:p>
      <w:pPr>
        <w:spacing w:after="0" w:line="5" w:lineRule="exact"/>
        <w:rPr>
          <w:rFonts w:ascii="Courier New" w:cs="Courier New" w:eastAsia="Courier New" w:hAnsi="Courier New"/>
          <w:sz w:val="16"/>
          <w:szCs w:val="16"/>
          <w:color w:val="auto"/>
        </w:rPr>
      </w:pPr>
    </w:p>
    <w:p>
      <w:pPr>
        <w:ind w:right="271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Agreement, without Grantee's prior written consent, Issuer or any of its Subsidiaries shall have entered into one or more agreements with any person (other than Grantee or any Subsidiary of Grantee) to effect, or effected, in a single transaction or a series of related transactions, any Acquisition Proposal;</w:t>
      </w:r>
    </w:p>
    <w:p>
      <w:pPr>
        <w:spacing w:after="0" w:line="185" w:lineRule="exact"/>
        <w:rPr>
          <w:rFonts w:ascii="Courier New" w:cs="Courier New" w:eastAsia="Courier New" w:hAnsi="Courier New"/>
          <w:sz w:val="16"/>
          <w:szCs w:val="16"/>
          <w:color w:val="auto"/>
        </w:rPr>
      </w:pPr>
    </w:p>
    <w:p>
      <w:pPr>
        <w:ind w:left="3940" w:hanging="483"/>
        <w:spacing w:after="0"/>
        <w:tabs>
          <w:tab w:leader="none" w:pos="3940" w:val="left"/>
        </w:tabs>
        <w:numPr>
          <w:ilvl w:val="0"/>
          <w:numId w:val="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prior to the termination of the Merger</w:t>
      </w:r>
    </w:p>
    <w:p>
      <w:pPr>
        <w:spacing w:after="0" w:line="5" w:lineRule="exact"/>
        <w:rPr>
          <w:rFonts w:ascii="Courier New" w:cs="Courier New" w:eastAsia="Courier New" w:hAnsi="Courier New"/>
          <w:sz w:val="16"/>
          <w:szCs w:val="16"/>
          <w:color w:val="auto"/>
        </w:rPr>
      </w:pPr>
    </w:p>
    <w:p>
      <w:pPr>
        <w:ind w:right="253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Agreement, any person (other than Grantee or any Subsidiary of Grantee) shall have acquired beneficial ownership (as such term is defined in Rule 13d-3 promulgated under the Exchange Act) of or the right to acquire beneficial ownership of, or any group (as such term is defined in Section 13(d)(3) of the Exchange Act), other than a group of which Grantee or any Subsidiary of Grantee is a member, shall have been formed which beneficially owns or has the right to acquire beneficial ownership of, shares of Issuer Common Stock or other voting securities representing 20% or more of the voting power of Issuer or any of its Significant Subsidiaries (as defined in Rule 1-02 of Regulation S-X of the SEC); or</w:t>
      </w:r>
    </w:p>
    <w:p>
      <w:pPr>
        <w:spacing w:after="0" w:line="187" w:lineRule="exact"/>
        <w:rPr>
          <w:rFonts w:ascii="Courier New" w:cs="Courier New" w:eastAsia="Courier New" w:hAnsi="Courier New"/>
          <w:sz w:val="16"/>
          <w:szCs w:val="16"/>
          <w:color w:val="auto"/>
        </w:rPr>
      </w:pPr>
    </w:p>
    <w:p>
      <w:pPr>
        <w:ind w:left="4040" w:hanging="583"/>
        <w:spacing w:after="0"/>
        <w:tabs>
          <w:tab w:leader="none" w:pos="4040" w:val="left"/>
        </w:tabs>
        <w:numPr>
          <w:ilvl w:val="0"/>
          <w:numId w:val="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occurrence of an event the result</w:t>
      </w:r>
    </w:p>
    <w:p>
      <w:pPr>
        <w:spacing w:after="0" w:line="5" w:lineRule="exact"/>
        <w:rPr>
          <w:rFonts w:ascii="Courier New" w:cs="Courier New" w:eastAsia="Courier New" w:hAnsi="Courier New"/>
          <w:sz w:val="16"/>
          <w:szCs w:val="16"/>
          <w:color w:val="auto"/>
        </w:rPr>
      </w:pPr>
    </w:p>
    <w:p>
      <w:pPr>
        <w:jc w:val="both"/>
        <w:ind w:right="3299"/>
        <w:spacing w:after="0" w:line="24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of which is that the aggregate fee or fees required to be paid by Issuer pursuant to Section 7.2(b) of the Merger Agreement equals $1.25 billion.</w:t>
      </w:r>
    </w:p>
    <w:p>
      <w:pPr>
        <w:spacing w:after="0" w:line="189" w:lineRule="exact"/>
        <w:rPr>
          <w:sz w:val="20"/>
          <w:szCs w:val="20"/>
          <w:color w:val="auto"/>
        </w:rPr>
      </w:pPr>
    </w:p>
    <w:p>
      <w:pPr>
        <w:ind w:right="2919" w:firstLine="1729"/>
        <w:spacing w:after="0" w:line="242" w:lineRule="auto"/>
        <w:rPr>
          <w:sz w:val="20"/>
          <w:szCs w:val="20"/>
          <w:color w:val="auto"/>
        </w:rPr>
      </w:pPr>
      <w:r>
        <w:rPr>
          <w:rFonts w:ascii="Courier New" w:cs="Courier New" w:eastAsia="Courier New" w:hAnsi="Courier New"/>
          <w:sz w:val="16"/>
          <w:szCs w:val="16"/>
          <w:color w:val="auto"/>
        </w:rPr>
        <w:t>As used in this Agreement, "person" shall have the meaning specified in Sections 3(a)(9) and 13(d)(3) of the Exchange Act.</w:t>
      </w:r>
    </w:p>
    <w:p>
      <w:pPr>
        <w:spacing w:after="0" w:line="187" w:lineRule="exact"/>
        <w:rPr>
          <w:sz w:val="20"/>
          <w:szCs w:val="20"/>
          <w:color w:val="auto"/>
        </w:rPr>
      </w:pPr>
    </w:p>
    <w:p>
      <w:pPr>
        <w:ind w:left="2980" w:hanging="387"/>
        <w:spacing w:after="0"/>
        <w:tabs>
          <w:tab w:leader="none" w:pos="2980" w:val="left"/>
        </w:tabs>
        <w:numPr>
          <w:ilvl w:val="0"/>
          <w:numId w:val="1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Issuer shall notify Grantee promptly in writing</w:t>
      </w:r>
    </w:p>
    <w:p>
      <w:pPr>
        <w:spacing w:after="0" w:line="5" w:lineRule="exact"/>
        <w:rPr>
          <w:rFonts w:ascii="Courier New" w:cs="Courier New" w:eastAsia="Courier New" w:hAnsi="Courier New"/>
          <w:sz w:val="16"/>
          <w:szCs w:val="16"/>
          <w:color w:val="auto"/>
        </w:rPr>
      </w:pPr>
    </w:p>
    <w:p>
      <w:pPr>
        <w:ind w:right="2639"/>
        <w:spacing w:after="0" w:line="243"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of the occurrence of any Purchase Event, it being understood that the giving of such notice by Issuer shall not be a condition to the right of Grantee to exercise the Option.</w:t>
      </w:r>
    </w:p>
    <w:p>
      <w:pPr>
        <w:spacing w:after="0" w:line="186" w:lineRule="exact"/>
        <w:rPr>
          <w:rFonts w:ascii="Courier New" w:cs="Courier New" w:eastAsia="Courier New" w:hAnsi="Courier New"/>
          <w:sz w:val="16"/>
          <w:szCs w:val="16"/>
          <w:color w:val="auto"/>
        </w:rPr>
      </w:pPr>
    </w:p>
    <w:p>
      <w:pPr>
        <w:ind w:left="2980" w:hanging="387"/>
        <w:spacing w:after="0"/>
        <w:tabs>
          <w:tab w:leader="none" w:pos="2980" w:val="left"/>
        </w:tabs>
        <w:numPr>
          <w:ilvl w:val="0"/>
          <w:numId w:val="1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Grantee wishes to exercise the</w:t>
      </w:r>
    </w:p>
    <w:p>
      <w:pPr>
        <w:spacing w:after="0" w:line="5" w:lineRule="exact"/>
        <w:rPr>
          <w:rFonts w:ascii="Courier New" w:cs="Courier New" w:eastAsia="Courier New" w:hAnsi="Courier New"/>
          <w:sz w:val="16"/>
          <w:szCs w:val="16"/>
          <w:color w:val="auto"/>
        </w:rPr>
      </w:pPr>
    </w:p>
    <w:p>
      <w:pPr>
        <w:ind w:right="271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Option, it shall send to Issuer a written notice (the date of which is herein referred to as the "Notice Date") specifying (i) the total number of Option Shares it intends to purchase pursuant to such exercise and (ii) a place and date not earlier than three business days nor later than 60 business days from the Notice Date for the closing (the "Closing") of such purchase (the "Closing Date"); provided, that if the Closing cannot be consummated by reason of any applicable law, rule, regulation or order or the</w:t>
      </w:r>
    </w:p>
    <w:p>
      <w:pPr>
        <w:spacing w:after="0" w:line="371"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300" w:right="1440" w:bottom="1440" w:gutter="0" w:footer="0" w:header="0"/>
        </w:sectPr>
      </w:pPr>
    </w:p>
    <w:bookmarkStart w:id="81" w:name="page82"/>
    <w:bookmarkEnd w:id="81"/>
    <w:p>
      <w:pPr>
        <w:ind w:left="280"/>
        <w:spacing w:after="0"/>
        <w:rPr>
          <w:sz w:val="20"/>
          <w:szCs w:val="20"/>
          <w:color w:val="auto"/>
        </w:rPr>
      </w:pPr>
      <w:r>
        <w:rPr>
          <w:rFonts w:ascii="Courier New" w:cs="Courier New" w:eastAsia="Courier New" w:hAnsi="Courier New"/>
          <w:sz w:val="16"/>
          <w:szCs w:val="16"/>
          <w:color w:val="auto"/>
        </w:rPr>
        <w:t>3</w:t>
      </w:r>
    </w:p>
    <w:p>
      <w:pPr>
        <w:spacing w:after="0" w:line="5"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need to obtain any necessary approvals or consents of applicable Governmental Entities, the period of time that otherwise would run pursuant to this sentence shall run instead from the date on which such restriction on consummation has expired or been terminated; and provided, further, without limiting the foregoing, that if prior notification or application to, approval of or authorization by any Governmental Entity is required in connection with such purchase, Issuer shall use its reasonable best efforts to cooperate with Grantee in the prompt filing of the required notice or application for approval or authorization, and the Closing shall occur immediately following the date on which such approvals have been obtained and any required notification or waiting periods have expired.</w:t>
      </w:r>
    </w:p>
    <w:p>
      <w:pPr>
        <w:spacing w:after="0" w:line="190" w:lineRule="exact"/>
        <w:rPr>
          <w:sz w:val="20"/>
          <w:szCs w:val="20"/>
          <w:color w:val="auto"/>
        </w:rPr>
      </w:pPr>
    </w:p>
    <w:p>
      <w:pPr>
        <w:ind w:right="2539" w:firstLine="2593"/>
        <w:spacing w:after="0" w:line="262" w:lineRule="auto"/>
        <w:tabs>
          <w:tab w:leader="none" w:pos="2978" w:val="left"/>
        </w:tabs>
        <w:numPr>
          <w:ilvl w:val="1"/>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Section 3(d), in no event shall any Closing Date be more than six months after the related Notice Date, and if the Closing Date shall not have occurred within six months after the related Notice Date due to the failure to obtain any such required approval or consent, the exercise of the Option effected on the Notice Date shall be deemed to have expired. In the event (i) Grantee receives official notice that an approval or consent of any Governmental Entity required for the purchase of Option Shares will not be issued or granted or (ii) a Closing Date shall not have occurred within six months after the related Notice Date due to the failure to obtain any such required approval or consent, Grantee shall be entitled to exercise the Option (whether or not the Option would have otherwise terminated) in connection with the resale of Issuer Common Stock or other securities pursuant to a registration statement as provided in Section 10. The provisions of this Section 3 and Section 4 shall apply with appropriate adjustments to any such exercise.</w:t>
      </w:r>
    </w:p>
    <w:p>
      <w:pPr>
        <w:spacing w:after="0" w:line="172" w:lineRule="exact"/>
        <w:rPr>
          <w:rFonts w:ascii="Courier New" w:cs="Courier New" w:eastAsia="Courier New" w:hAnsi="Courier New"/>
          <w:sz w:val="15"/>
          <w:szCs w:val="15"/>
          <w:color w:val="auto"/>
        </w:rPr>
      </w:pPr>
    </w:p>
    <w:p>
      <w:pPr>
        <w:ind w:left="2020" w:hanging="292"/>
        <w:spacing w:after="0"/>
        <w:tabs>
          <w:tab w:leader="none" w:pos="2020" w:val="left"/>
        </w:tabs>
        <w:numPr>
          <w:ilvl w:val="0"/>
          <w:numId w:val="1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Payment and Delivery of Certificates.</w:t>
      </w:r>
    </w:p>
    <w:p>
      <w:pPr>
        <w:spacing w:after="0" w:line="188" w:lineRule="exact"/>
        <w:rPr>
          <w:rFonts w:ascii="Courier New" w:cs="Courier New" w:eastAsia="Courier New" w:hAnsi="Courier New"/>
          <w:sz w:val="16"/>
          <w:szCs w:val="16"/>
          <w:color w:val="auto"/>
        </w:rPr>
      </w:pPr>
    </w:p>
    <w:p>
      <w:pPr>
        <w:ind w:left="2980" w:hanging="387"/>
        <w:spacing w:after="0"/>
        <w:tabs>
          <w:tab w:leader="none" w:pos="2980" w:val="left"/>
        </w:tabs>
        <w:numPr>
          <w:ilvl w:val="1"/>
          <w:numId w:val="1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each Closing Date, Grantee shall (i) pay to</w:t>
      </w:r>
    </w:p>
    <w:p>
      <w:pPr>
        <w:spacing w:after="0" w:line="5" w:lineRule="exact"/>
        <w:rPr>
          <w:rFonts w:ascii="Courier New" w:cs="Courier New" w:eastAsia="Courier New" w:hAnsi="Courier New"/>
          <w:sz w:val="16"/>
          <w:szCs w:val="16"/>
          <w:color w:val="auto"/>
        </w:rPr>
      </w:pPr>
    </w:p>
    <w:p>
      <w:pPr>
        <w:ind w:right="2539"/>
        <w:spacing w:after="0" w:line="263"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Issuer, in immediately available funds by wire transfer to a bank account designated by Issuer (provided that the failure or refusal of Issuer to designate a bank account shall not preclude Grantee from exercising the Option), an amount equal to the Purchase Price multiplied by the number of Option Shares to be purchased on such Closing Date, and (ii) present and surrender this Agreement to Issuer at the address of Issuer specified in Section 14(f).</w:t>
      </w:r>
    </w:p>
    <w:p>
      <w:pPr>
        <w:spacing w:after="0" w:line="176" w:lineRule="exact"/>
        <w:rPr>
          <w:rFonts w:ascii="Courier New" w:cs="Courier New" w:eastAsia="Courier New" w:hAnsi="Courier New"/>
          <w:sz w:val="16"/>
          <w:szCs w:val="16"/>
          <w:color w:val="auto"/>
        </w:rPr>
      </w:pPr>
    </w:p>
    <w:p>
      <w:pPr>
        <w:ind w:left="2980" w:hanging="387"/>
        <w:spacing w:after="0"/>
        <w:tabs>
          <w:tab w:leader="none" w:pos="2980" w:val="left"/>
        </w:tabs>
        <w:numPr>
          <w:ilvl w:val="1"/>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each Closing, simultaneously with the delivery</w:t>
      </w:r>
    </w:p>
    <w:p>
      <w:pPr>
        <w:spacing w:after="0" w:line="14" w:lineRule="exact"/>
        <w:rPr>
          <w:rFonts w:ascii="Courier New" w:cs="Courier New" w:eastAsia="Courier New" w:hAnsi="Courier New"/>
          <w:sz w:val="15"/>
          <w:szCs w:val="15"/>
          <w:color w:val="auto"/>
        </w:rPr>
      </w:pPr>
    </w:p>
    <w:p>
      <w:pPr>
        <w:ind w:right="2539"/>
        <w:spacing w:after="0" w:line="244" w:lineRule="auto"/>
        <w:rPr>
          <w:rFonts w:ascii="Courier New" w:cs="Courier New" w:eastAsia="Courier New" w:hAnsi="Courier New"/>
          <w:sz w:val="15"/>
          <w:szCs w:val="15"/>
          <w:color w:val="auto"/>
        </w:rPr>
      </w:pPr>
      <w:r>
        <w:rPr>
          <w:rFonts w:ascii="Courier New" w:cs="Courier New" w:eastAsia="Courier New" w:hAnsi="Courier New"/>
          <w:sz w:val="16"/>
          <w:szCs w:val="16"/>
          <w:color w:val="auto"/>
        </w:rPr>
        <w:t>of immediately available funds and surrender of this Agreement as provided in Section 4(a), (i) Issuer shall deliver to Grantee (A) a certificate or certificates representing the Option Shares to be purchased at such Closing, which Option Shares shall be fully paid, validly issued and non-assessable, free and clear of all liens, claims, charges, security interests or other encumbrances ("Liens") other than those created by the express terms of this Agreement, and subject to no preemptive or other similar rights, and (B) if the Option is exercised in part only, an executed new agreement with the same terms as this Agreement evidencing the right to purchase the balance of the shares of Issuer Common Stock purchasable hereunder, and (ii) Grantee shall deliver to Issuer a letter agreeing that Grantee shall not offer to sell or otherwise dispose of such Option Shares in violation of applicable federal and state securities laws or of the provisions of this Agreement.</w:t>
      </w:r>
    </w:p>
    <w:p>
      <w:pPr>
        <w:spacing w:after="0" w:line="191" w:lineRule="exact"/>
        <w:rPr>
          <w:rFonts w:ascii="Courier New" w:cs="Courier New" w:eastAsia="Courier New" w:hAnsi="Courier New"/>
          <w:sz w:val="15"/>
          <w:szCs w:val="15"/>
          <w:color w:val="auto"/>
        </w:rPr>
      </w:pPr>
    </w:p>
    <w:p>
      <w:pPr>
        <w:jc w:val="both"/>
        <w:ind w:right="2639" w:firstLine="2593"/>
        <w:spacing w:after="0" w:line="243" w:lineRule="auto"/>
        <w:tabs>
          <w:tab w:leader="none" w:pos="2978" w:val="left"/>
        </w:tabs>
        <w:numPr>
          <w:ilvl w:val="1"/>
          <w:numId w:val="1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addition to any other legend that is required by applicable law, certificates for the Option Shares delivered at each Closing shall be endorsed with a restrictive legend which shall read substantially as follows:</w:t>
      </w:r>
    </w:p>
    <w:p>
      <w:pPr>
        <w:spacing w:after="0" w:line="200" w:lineRule="exact"/>
        <w:rPr>
          <w:sz w:val="20"/>
          <w:szCs w:val="20"/>
          <w:color w:val="auto"/>
        </w:rPr>
      </w:pPr>
    </w:p>
    <w:p>
      <w:pPr>
        <w:spacing w:after="0" w:line="357"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300" w:right="1440" w:bottom="1440" w:gutter="0" w:footer="0" w:header="0"/>
        </w:sectPr>
      </w:pPr>
    </w:p>
    <w:bookmarkStart w:id="82" w:name="page83"/>
    <w:bookmarkEnd w:id="82"/>
    <w:p>
      <w:pPr>
        <w:ind w:left="281"/>
        <w:spacing w:after="0"/>
        <w:rPr>
          <w:sz w:val="20"/>
          <w:szCs w:val="20"/>
          <w:color w:val="auto"/>
        </w:rPr>
      </w:pPr>
      <w:r>
        <w:rPr>
          <w:rFonts w:ascii="Courier New" w:cs="Courier New" w:eastAsia="Courier New" w:hAnsi="Courier New"/>
          <w:sz w:val="16"/>
          <w:szCs w:val="16"/>
          <w:color w:val="auto"/>
        </w:rPr>
        <w:t>4</w:t>
      </w:r>
    </w:p>
    <w:p>
      <w:pPr>
        <w:spacing w:after="0" w:line="5" w:lineRule="exact"/>
        <w:rPr>
          <w:sz w:val="20"/>
          <w:szCs w:val="20"/>
          <w:color w:val="auto"/>
        </w:rPr>
      </w:pPr>
    </w:p>
    <w:p>
      <w:pPr>
        <w:ind w:left="861" w:right="2539"/>
        <w:spacing w:after="0" w:line="242" w:lineRule="auto"/>
        <w:rPr>
          <w:sz w:val="20"/>
          <w:szCs w:val="20"/>
          <w:color w:val="auto"/>
        </w:rPr>
      </w:pPr>
      <w:r>
        <w:rPr>
          <w:rFonts w:ascii="Courier New" w:cs="Courier New" w:eastAsia="Courier New" w:hAnsi="Courier New"/>
          <w:sz w:val="16"/>
          <w:szCs w:val="16"/>
          <w:color w:val="auto"/>
        </w:rPr>
        <w:t>THE TRANSFER OF THE STOCK REPRESENTED BY THIS CERTIFICATE IS SUBJECT TO RESTRICTIONS ARISING UNDER THE SECURITIES ACT OF 1933, AS AMENDED.</w:t>
      </w:r>
    </w:p>
    <w:p>
      <w:pPr>
        <w:spacing w:after="0" w:line="189" w:lineRule="exact"/>
        <w:rPr>
          <w:sz w:val="20"/>
          <w:szCs w:val="20"/>
          <w:color w:val="auto"/>
        </w:rPr>
      </w:pPr>
    </w:p>
    <w:p>
      <w:pPr>
        <w:ind w:left="1" w:right="2539"/>
        <w:spacing w:after="0" w:line="244" w:lineRule="auto"/>
        <w:rPr>
          <w:sz w:val="20"/>
          <w:szCs w:val="20"/>
          <w:color w:val="auto"/>
        </w:rPr>
      </w:pPr>
      <w:r>
        <w:rPr>
          <w:rFonts w:ascii="Courier New" w:cs="Courier New" w:eastAsia="Courier New" w:hAnsi="Courier New"/>
          <w:sz w:val="16"/>
          <w:szCs w:val="16"/>
          <w:color w:val="auto"/>
        </w:rPr>
        <w:t>It is understood and agreed that the above legend shall be removed by delivery of substitute certificate(s) without such legend if such Option Shares have been registered pursuant to the Securities Act, such Option Shares have been sold in reliance on and in accordance with Rule 144 under the Securities Act or Grantee shall have delivered to Issuer a copy of a letter from the staff of the SEC, or an opinion of counsel in form and substance reasonably satisfactory to Issuer and its counsel, to the effect that such legend is not required for purposes of the Securities Act.</w:t>
      </w:r>
    </w:p>
    <w:p>
      <w:pPr>
        <w:spacing w:after="0" w:line="187" w:lineRule="exact"/>
        <w:rPr>
          <w:sz w:val="20"/>
          <w:szCs w:val="20"/>
          <w:color w:val="auto"/>
        </w:rPr>
      </w:pPr>
    </w:p>
    <w:p>
      <w:pPr>
        <w:ind w:left="2981" w:hanging="387"/>
        <w:spacing w:after="0"/>
        <w:tabs>
          <w:tab w:leader="none" w:pos="2981" w:val="left"/>
        </w:tabs>
        <w:numPr>
          <w:ilvl w:val="2"/>
          <w:numId w:val="1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Upon the giving by Grantee to Issuer of the</w:t>
      </w:r>
    </w:p>
    <w:p>
      <w:pPr>
        <w:spacing w:after="0" w:line="5" w:lineRule="exact"/>
        <w:rPr>
          <w:rFonts w:ascii="Courier New" w:cs="Courier New" w:eastAsia="Courier New" w:hAnsi="Courier New"/>
          <w:sz w:val="16"/>
          <w:szCs w:val="16"/>
          <w:color w:val="auto"/>
        </w:rPr>
      </w:pPr>
    </w:p>
    <w:p>
      <w:pPr>
        <w:ind w:left="1" w:right="263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written notice of exercise of the Option provided for under Section 3(d), the tender of the applicable Purchase Price in immediately available funds and the tender of this Agreement to Issuer, Grantee shall be deemed to be the holder of record of the shares of Issuer Common Stock issuable upon such exercise, regardless of whether the stock transfer books of Issuer are then closed or certificates representing such shares of Issuer Common Stock are then actually delivered to Grantee. Issuer shall pay all expenses, and any and all federal, foreign, state, and local taxes and other charges, that may be payable in connection with the preparation, issuance and delivery of stock certificates under this Section 4(d) in the name of Grantee or its assignee, transferee, or designee.</w:t>
      </w:r>
    </w:p>
    <w:p>
      <w:pPr>
        <w:spacing w:after="0" w:line="188" w:lineRule="exact"/>
        <w:rPr>
          <w:rFonts w:ascii="Courier New" w:cs="Courier New" w:eastAsia="Courier New" w:hAnsi="Courier New"/>
          <w:sz w:val="16"/>
          <w:szCs w:val="16"/>
          <w:color w:val="auto"/>
        </w:rPr>
      </w:pPr>
    </w:p>
    <w:p>
      <w:pPr>
        <w:ind w:left="2981" w:hanging="387"/>
        <w:spacing w:after="0"/>
        <w:tabs>
          <w:tab w:leader="none" w:pos="2981" w:val="left"/>
        </w:tabs>
        <w:numPr>
          <w:ilvl w:val="2"/>
          <w:numId w:val="1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Issuer agrees (i) that it shall at all times</w:t>
      </w:r>
    </w:p>
    <w:p>
      <w:pPr>
        <w:spacing w:after="0" w:line="5" w:lineRule="exact"/>
        <w:rPr>
          <w:rFonts w:ascii="Courier New" w:cs="Courier New" w:eastAsia="Courier New" w:hAnsi="Courier New"/>
          <w:sz w:val="16"/>
          <w:szCs w:val="16"/>
          <w:color w:val="auto"/>
        </w:rPr>
      </w:pPr>
    </w:p>
    <w:p>
      <w:pPr>
        <w:ind w:left="1" w:right="253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maintain, free from Liens and preemptive or similar rights, sufficient authorized but unissued or treasury shares of Issuer Common Stock so that the Option may be exercised without additional authorization of Issuer Common Stock after giving effect to all other options, warrants, convertible securities and other rights to purchase Issuer Common Stock then outstanding, (ii) that it will not, by charter amendment or through reorganization, recapitalization, consolidation, merger, dissolution, liquidation, spin-off, sale of assets or similar transaction, or by any other voluntary act, avoid or seek to avoid the observance or performance of any of the covenants, agreements, stipulations or conditions to be observed or performed hereunder by Issuer and (iii) that it will promptly take all action as may from time to time be required (including</w:t>
      </w:r>
    </w:p>
    <w:p>
      <w:pPr>
        <w:spacing w:after="0" w:line="5" w:lineRule="exact"/>
        <w:rPr>
          <w:rFonts w:ascii="Courier New" w:cs="Courier New" w:eastAsia="Courier New" w:hAnsi="Courier New"/>
          <w:sz w:val="16"/>
          <w:szCs w:val="16"/>
          <w:color w:val="auto"/>
        </w:rPr>
      </w:pPr>
    </w:p>
    <w:p>
      <w:pPr>
        <w:ind w:left="1" w:right="2639" w:hanging="1"/>
        <w:spacing w:after="0" w:line="244" w:lineRule="auto"/>
        <w:tabs>
          <w:tab w:leader="none" w:pos="386" w:val="left"/>
        </w:tabs>
        <w:numPr>
          <w:ilvl w:val="0"/>
          <w:numId w:val="1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complying with all premerger notification, reporting and waiting period requirements and (B) in the event prior approval or authorization of or notice or application to any Governmental Entity is necessary before the Option may be exercised, cooperating fully with Grantee in preparing such applications or notices and providing such information to such Governmental Entities as may be required) in order to permit Grantee to exercise the Option and Issuer to duly and effectively issue shares of Issuer Common Stock pursuant hereto on a timely basis.</w:t>
      </w:r>
    </w:p>
    <w:p>
      <w:pPr>
        <w:spacing w:after="0" w:line="188" w:lineRule="exact"/>
        <w:rPr>
          <w:rFonts w:ascii="Courier New" w:cs="Courier New" w:eastAsia="Courier New" w:hAnsi="Courier New"/>
          <w:sz w:val="16"/>
          <w:szCs w:val="16"/>
          <w:color w:val="auto"/>
        </w:rPr>
      </w:pPr>
    </w:p>
    <w:p>
      <w:pPr>
        <w:ind w:left="1" w:right="2919" w:firstLine="1728"/>
        <w:spacing w:after="0" w:line="242" w:lineRule="auto"/>
        <w:tabs>
          <w:tab w:leader="none" w:pos="2019" w:val="left"/>
        </w:tabs>
        <w:numPr>
          <w:ilvl w:val="1"/>
          <w:numId w:val="1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Representations and Warranties of Issuer. Issuer hereby represents and warrants to Grantee as follows:</w:t>
      </w:r>
    </w:p>
    <w:p>
      <w:pPr>
        <w:spacing w:after="0" w:line="186" w:lineRule="exact"/>
        <w:rPr>
          <w:rFonts w:ascii="Courier New" w:cs="Courier New" w:eastAsia="Courier New" w:hAnsi="Courier New"/>
          <w:sz w:val="16"/>
          <w:szCs w:val="16"/>
          <w:color w:val="auto"/>
        </w:rPr>
      </w:pPr>
    </w:p>
    <w:p>
      <w:pPr>
        <w:ind w:left="2981" w:hanging="387"/>
        <w:spacing w:after="0"/>
        <w:tabs>
          <w:tab w:leader="none" w:pos="2981" w:val="left"/>
        </w:tabs>
        <w:numPr>
          <w:ilvl w:val="2"/>
          <w:numId w:val="1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Corporate Authority. Issuer has full corporate</w:t>
      </w:r>
    </w:p>
    <w:p>
      <w:pPr>
        <w:spacing w:after="0" w:line="5" w:lineRule="exact"/>
        <w:rPr>
          <w:rFonts w:ascii="Courier New" w:cs="Courier New" w:eastAsia="Courier New" w:hAnsi="Courier New"/>
          <w:sz w:val="16"/>
          <w:szCs w:val="16"/>
          <w:color w:val="auto"/>
        </w:rPr>
      </w:pPr>
    </w:p>
    <w:p>
      <w:pPr>
        <w:ind w:left="1" w:right="263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power and authority to execute and deliver this Agreement and to consummate the transactions contemplated hereby; the execution and delivery of this Agreement and, subject to receiving any necessary approvals or consents from Governmental Entities, the consummation of the transactions contemplated hereby have been duly and validly authorized by the Board of Directors of Issuer, and no other corporate proceedings on the part of Issuer are necessary to authorize this Agreement or to</w:t>
      </w:r>
    </w:p>
    <w:p>
      <w:pPr>
        <w:spacing w:after="0" w:line="371"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21"/>
          </w:cols>
          <w:pgMar w:left="239" w:top="300" w:right="1440" w:bottom="1440" w:gutter="0" w:footer="0" w:header="0"/>
        </w:sectPr>
      </w:pPr>
    </w:p>
    <w:bookmarkStart w:id="83" w:name="page84"/>
    <w:bookmarkEnd w:id="83"/>
    <w:p>
      <w:pPr>
        <w:ind w:left="280"/>
        <w:spacing w:after="0"/>
        <w:rPr>
          <w:sz w:val="20"/>
          <w:szCs w:val="20"/>
          <w:color w:val="auto"/>
        </w:rPr>
      </w:pPr>
      <w:r>
        <w:rPr>
          <w:rFonts w:ascii="Courier New" w:cs="Courier New" w:eastAsia="Courier New" w:hAnsi="Courier New"/>
          <w:sz w:val="16"/>
          <w:szCs w:val="16"/>
          <w:color w:val="auto"/>
        </w:rPr>
        <w:t>5</w:t>
      </w:r>
    </w:p>
    <w:p>
      <w:pPr>
        <w:spacing w:after="0" w:line="5"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consummate the transactions so contemplated; this Agreement has been duly and validly executed and delivered by Issuer and (assuming due authorization, execution and delivery by Grantee) constitutes a valid and binding obligation of Issuer, enforceable against Issuer in accordance with its terms, except that (i) such enforcement may be subject to applicable bankruptcy, insolvency, fraudulent conveyance, moratorium or other similar laws, now or hereinafter in effect, affecting creditors' rights generally, and (ii) the remedy of specific performance and injunctive and other forms of equitable relief may be subject to equitable defenses and to the discretion of the court before which any proceeding therefor may be brought.</w:t>
      </w:r>
    </w:p>
    <w:p>
      <w:pPr>
        <w:spacing w:after="0" w:line="188" w:lineRule="exact"/>
        <w:rPr>
          <w:sz w:val="20"/>
          <w:szCs w:val="20"/>
          <w:color w:val="auto"/>
        </w:rPr>
      </w:pPr>
    </w:p>
    <w:p>
      <w:pPr>
        <w:ind w:left="2980" w:hanging="387"/>
        <w:spacing w:after="0"/>
        <w:tabs>
          <w:tab w:leader="none" w:pos="2980" w:val="left"/>
        </w:tabs>
        <w:numPr>
          <w:ilvl w:val="0"/>
          <w:numId w:val="1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Shares Reserved for Issuance; Capital Stock.</w:t>
      </w:r>
    </w:p>
    <w:p>
      <w:pPr>
        <w:spacing w:after="0" w:line="5" w:lineRule="exact"/>
        <w:rPr>
          <w:rFonts w:ascii="Courier New" w:cs="Courier New" w:eastAsia="Courier New" w:hAnsi="Courier New"/>
          <w:sz w:val="16"/>
          <w:szCs w:val="16"/>
          <w:color w:val="auto"/>
        </w:rPr>
      </w:pPr>
    </w:p>
    <w:p>
      <w:pPr>
        <w:ind w:right="271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Issuer has taken all necessary corporate action to authorize and reserve and permit it to issue, and at all times from the date hereof through the termination of this Agreement in accordance with its terms, will have reserved for issuance, upon the exercise of the Option, that number of shares of Issuer Common Stock equal to the maximum number of shares of Issuer Common Stock and other shares and securities which are at any time and from time to time purchasable upon exercise of the Option, and all such shares and other securities, upon issuance pursuant to the Option, will be duly authorized, validly issued, fully paid and non-assessable, and will be delivered free and clear of all Liens (other than those created by the express terms of this Agreement) and not subject to any preemptive or other similar rights.</w:t>
      </w:r>
    </w:p>
    <w:p>
      <w:pPr>
        <w:spacing w:after="0" w:line="188" w:lineRule="exact"/>
        <w:rPr>
          <w:rFonts w:ascii="Courier New" w:cs="Courier New" w:eastAsia="Courier New" w:hAnsi="Courier New"/>
          <w:sz w:val="16"/>
          <w:szCs w:val="16"/>
          <w:color w:val="auto"/>
        </w:rPr>
      </w:pPr>
    </w:p>
    <w:p>
      <w:pPr>
        <w:ind w:left="2980" w:hanging="387"/>
        <w:spacing w:after="0"/>
        <w:tabs>
          <w:tab w:leader="none" w:pos="2980" w:val="left"/>
        </w:tabs>
        <w:numPr>
          <w:ilvl w:val="0"/>
          <w:numId w:val="1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Violations. The execution, delivery and</w:t>
      </w:r>
    </w:p>
    <w:p>
      <w:pPr>
        <w:spacing w:after="0" w:line="5" w:lineRule="exact"/>
        <w:rPr>
          <w:rFonts w:ascii="Courier New" w:cs="Courier New" w:eastAsia="Courier New" w:hAnsi="Courier New"/>
          <w:sz w:val="16"/>
          <w:szCs w:val="16"/>
          <w:color w:val="auto"/>
        </w:rPr>
      </w:pPr>
    </w:p>
    <w:p>
      <w:pPr>
        <w:ind w:right="263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performance of this Agreement does not and will not, and the consummation by Issuer of any of the transactions contemplated hereby will not, constitute or result in (A) a breach or violation of, or a default under, its certificate of incorporation or by-laws, or the comparable governing instruments of any of its Subsidiaries, or (B) a breach or violation of, or a default under, any agreement, lease, contract, note, mortgage, indenture, arrangement or other obligation of it or any of its Subsidiaries (with or without the giving of notice, the lapse of time or both) or under any law, rule, regulation or order or governmental or non-governmental permit or license to which it or any of its Subsidiaries is subject, that would in any case give any other person the ability to prevent or enjoin Issuer's performance under this Agreement in any material respect.</w:t>
      </w:r>
    </w:p>
    <w:p>
      <w:pPr>
        <w:spacing w:after="0" w:line="188" w:lineRule="exact"/>
        <w:rPr>
          <w:rFonts w:ascii="Courier New" w:cs="Courier New" w:eastAsia="Courier New" w:hAnsi="Courier New"/>
          <w:sz w:val="16"/>
          <w:szCs w:val="16"/>
          <w:color w:val="auto"/>
        </w:rPr>
      </w:pPr>
    </w:p>
    <w:p>
      <w:pPr>
        <w:ind w:left="2980" w:hanging="387"/>
        <w:spacing w:after="0"/>
        <w:tabs>
          <w:tab w:leader="none" w:pos="2980" w:val="left"/>
        </w:tabs>
        <w:numPr>
          <w:ilvl w:val="0"/>
          <w:numId w:val="1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Board Action. The Board of Directors of Issuer</w:t>
      </w:r>
    </w:p>
    <w:p>
      <w:pPr>
        <w:spacing w:after="0" w:line="5" w:lineRule="exact"/>
        <w:rPr>
          <w:rFonts w:ascii="Courier New" w:cs="Courier New" w:eastAsia="Courier New" w:hAnsi="Courier New"/>
          <w:sz w:val="16"/>
          <w:szCs w:val="16"/>
          <w:color w:val="auto"/>
        </w:rPr>
      </w:pPr>
    </w:p>
    <w:p>
      <w:pPr>
        <w:ind w:right="291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has approved this Agreement and the consummation of the transactions contemplated hereby as required under Section 203 of the DGCL and, to its knowledge, any other applicable state takeover laws so that any such state takeover laws do not and will not apply to this Agreement or any of the transactions contemplated hereby (including the purchase of shares of Issuer Common Stock pursuant to the Option).</w:t>
      </w:r>
    </w:p>
    <w:p>
      <w:pPr>
        <w:spacing w:after="0" w:line="187" w:lineRule="exact"/>
        <w:rPr>
          <w:rFonts w:ascii="Courier New" w:cs="Courier New" w:eastAsia="Courier New" w:hAnsi="Courier New"/>
          <w:sz w:val="16"/>
          <w:szCs w:val="16"/>
          <w:color w:val="auto"/>
        </w:rPr>
      </w:pPr>
    </w:p>
    <w:p>
      <w:pPr>
        <w:ind w:right="2639" w:firstLine="2593"/>
        <w:spacing w:after="0" w:line="244" w:lineRule="auto"/>
        <w:tabs>
          <w:tab w:leader="none" w:pos="2978" w:val="left"/>
        </w:tabs>
        <w:numPr>
          <w:ilvl w:val="0"/>
          <w:numId w:val="1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Restrictions. No Delaware law applicable generally to corporations or, to Issuer's knowledge, other takeover statute applicable generally to corporations or similar corporate law and no provision of the certificate of incorporation or by-laws of Issuer or any agreement to which Issuer is a party (i) would or would purport to impose restrictions which might adversely affect or delay the consummation of the transactions contemplated by this Agreement, or (ii) as a result of the consummation of the transactions contemplated by this Agreement, (A) would or would purport to restrict or impair the ability of Grantee to vote or otherwise exercise the rights of a shareholder with respect to securities of</w:t>
      </w:r>
    </w:p>
    <w:p>
      <w:pPr>
        <w:spacing w:after="0" w:line="373"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300" w:right="1440" w:bottom="1440" w:gutter="0" w:footer="0" w:header="0"/>
        </w:sectPr>
      </w:pPr>
    </w:p>
    <w:bookmarkStart w:id="84" w:name="page85"/>
    <w:bookmarkEnd w:id="84"/>
    <w:p>
      <w:pPr>
        <w:ind w:left="280"/>
        <w:spacing w:after="0"/>
        <w:rPr>
          <w:sz w:val="20"/>
          <w:szCs w:val="20"/>
          <w:color w:val="auto"/>
        </w:rPr>
      </w:pPr>
      <w:r>
        <w:rPr>
          <w:rFonts w:ascii="Courier New" w:cs="Courier New" w:eastAsia="Courier New" w:hAnsi="Courier New"/>
          <w:sz w:val="16"/>
          <w:szCs w:val="16"/>
          <w:color w:val="auto"/>
        </w:rPr>
        <w:t>6</w:t>
      </w:r>
    </w:p>
    <w:p>
      <w:pPr>
        <w:spacing w:after="0" w:line="5" w:lineRule="exact"/>
        <w:rPr>
          <w:sz w:val="20"/>
          <w:szCs w:val="20"/>
          <w:color w:val="auto"/>
        </w:rPr>
      </w:pPr>
    </w:p>
    <w:p>
      <w:pPr>
        <w:ind w:right="2639"/>
        <w:spacing w:after="0" w:line="243" w:lineRule="auto"/>
        <w:rPr>
          <w:sz w:val="20"/>
          <w:szCs w:val="20"/>
          <w:color w:val="auto"/>
        </w:rPr>
      </w:pPr>
      <w:r>
        <w:rPr>
          <w:rFonts w:ascii="Courier New" w:cs="Courier New" w:eastAsia="Courier New" w:hAnsi="Courier New"/>
          <w:sz w:val="16"/>
          <w:szCs w:val="16"/>
          <w:color w:val="auto"/>
        </w:rPr>
        <w:t>Issuer or any of its Subsidiaries that may be acquired or controlled by Grantee or (B) would or would purport to entitle any person to acquire securities of Issuer.</w:t>
      </w:r>
    </w:p>
    <w:p>
      <w:pPr>
        <w:spacing w:after="0" w:line="189" w:lineRule="exact"/>
        <w:rPr>
          <w:sz w:val="20"/>
          <w:szCs w:val="20"/>
          <w:color w:val="auto"/>
        </w:rPr>
      </w:pPr>
    </w:p>
    <w:p>
      <w:pPr>
        <w:ind w:right="2719" w:firstLine="1728"/>
        <w:spacing w:after="0" w:line="242" w:lineRule="auto"/>
        <w:tabs>
          <w:tab w:leader="none" w:pos="2018" w:val="left"/>
        </w:tabs>
        <w:numPr>
          <w:ilvl w:val="0"/>
          <w:numId w:val="1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Representations and Warranties of Grantee. Grantee hereby represents and warrants to Issuer as follows:</w:t>
      </w:r>
    </w:p>
    <w:p>
      <w:pPr>
        <w:spacing w:after="0" w:line="186" w:lineRule="exact"/>
        <w:rPr>
          <w:rFonts w:ascii="Courier New" w:cs="Courier New" w:eastAsia="Courier New" w:hAnsi="Courier New"/>
          <w:sz w:val="16"/>
          <w:szCs w:val="16"/>
          <w:color w:val="auto"/>
        </w:rPr>
      </w:pPr>
    </w:p>
    <w:p>
      <w:pPr>
        <w:ind w:left="2980" w:hanging="387"/>
        <w:spacing w:after="0"/>
        <w:tabs>
          <w:tab w:leader="none" w:pos="2980" w:val="left"/>
        </w:tabs>
        <w:numPr>
          <w:ilvl w:val="1"/>
          <w:numId w:val="1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Corporate Authority. Grantee has full corporate</w:t>
      </w:r>
    </w:p>
    <w:p>
      <w:pPr>
        <w:spacing w:after="0" w:line="5" w:lineRule="exact"/>
        <w:rPr>
          <w:rFonts w:ascii="Courier New" w:cs="Courier New" w:eastAsia="Courier New" w:hAnsi="Courier New"/>
          <w:sz w:val="16"/>
          <w:szCs w:val="16"/>
          <w:color w:val="auto"/>
        </w:rPr>
      </w:pPr>
    </w:p>
    <w:p>
      <w:pPr>
        <w:ind w:right="2639"/>
        <w:spacing w:after="0" w:line="262"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power and authority to enter into this Agreement and to consummate the transactions contemplated by this Agreement; the execution and delivery of this Agreement and, subject to obtaining any necessary approvals or consents from Governmental Entities, the consummation of the transactions contemplated hereby have been duly authorized by all necessary corporate action on the part of Grantee; and this Agreement has been duly executed and delivered by Grantee and (assuming due authorization, execution and delivery by Issuer) constitutes a valid and binding obligation of Grantee, enforceable against Grantee in accordance with its terms, except that (i) such enforcement may be subject to applicable bankruptcy, insolvency, fraudulent conveyance, moratorium or other similar laws, now or hereinafter in effect, affecting creditors' rights generally, and (ii) the remedy of specific performance and injunctive and other forms of equitable relief may be subject to equitable defenses and to the discretion of the court before which any proceeding therefor may be brought.</w:t>
      </w:r>
    </w:p>
    <w:p>
      <w:pPr>
        <w:spacing w:after="0" w:line="174" w:lineRule="exact"/>
        <w:rPr>
          <w:rFonts w:ascii="Courier New" w:cs="Courier New" w:eastAsia="Courier New" w:hAnsi="Courier New"/>
          <w:sz w:val="16"/>
          <w:szCs w:val="16"/>
          <w:color w:val="auto"/>
        </w:rPr>
      </w:pPr>
    </w:p>
    <w:p>
      <w:pPr>
        <w:ind w:right="2539" w:firstLine="2593"/>
        <w:spacing w:after="0" w:line="244" w:lineRule="auto"/>
        <w:tabs>
          <w:tab w:leader="none" w:pos="2978" w:val="left"/>
        </w:tabs>
        <w:numPr>
          <w:ilvl w:val="1"/>
          <w:numId w:val="1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Purchase Not for Distribution. Any Option Shares or other securities acquired by Grantee upon exercise of the Option will not be acquired with a view to the public distribution thereof in violation of any federal or state securities laws and will not be transferred or otherwise disposed of except in a transaction registered or exempt from registration under the Securities Act and any applicable state securities laws.</w:t>
      </w:r>
    </w:p>
    <w:p>
      <w:pPr>
        <w:spacing w:after="0" w:line="185" w:lineRule="exact"/>
        <w:rPr>
          <w:rFonts w:ascii="Courier New" w:cs="Courier New" w:eastAsia="Courier New" w:hAnsi="Courier New"/>
          <w:sz w:val="16"/>
          <w:szCs w:val="16"/>
          <w:color w:val="auto"/>
        </w:rPr>
      </w:pPr>
    </w:p>
    <w:p>
      <w:pPr>
        <w:ind w:left="2020" w:hanging="292"/>
        <w:spacing w:after="0"/>
        <w:tabs>
          <w:tab w:leader="none" w:pos="2020" w:val="left"/>
        </w:tabs>
        <w:numPr>
          <w:ilvl w:val="0"/>
          <w:numId w:val="1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Adjustment upon Changes in Issuer Capitalization, Etc.</w:t>
      </w:r>
    </w:p>
    <w:p>
      <w:pPr>
        <w:spacing w:after="0" w:line="190" w:lineRule="exact"/>
        <w:rPr>
          <w:rFonts w:ascii="Courier New" w:cs="Courier New" w:eastAsia="Courier New" w:hAnsi="Courier New"/>
          <w:sz w:val="16"/>
          <w:szCs w:val="16"/>
          <w:color w:val="auto"/>
        </w:rPr>
      </w:pPr>
    </w:p>
    <w:p>
      <w:pPr>
        <w:ind w:right="2539" w:firstLine="2593"/>
        <w:spacing w:after="0" w:line="244" w:lineRule="auto"/>
        <w:tabs>
          <w:tab w:leader="none" w:pos="2978" w:val="left"/>
        </w:tabs>
        <w:numPr>
          <w:ilvl w:val="1"/>
          <w:numId w:val="1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of any change from time to time in Issuer Common Stock or any other shares or securities subject to the Option by reason of a stock dividend, subdivision, spinoff, stock split, split-up, merger, consolidation, recapitalization, combination, exchange of shares, or dividend or distribution, other than regular cash dividends, on or in respect of the Issuer Common Stock, the type and number of shares or securities subject to the Option, and the Purchase Price therefor, shall be adjusted appropriately, and proper provision shall be made in the agreements governing such transaction, so that Grantee shall receive, upon exercise of the Option, the number and class of shares or other securities or property that Grantee would have received in respect of Issuer Common Stock if the Option had been exercised immediately prior to such event, or the record date therefor, as applicable. If any additional shares of Issuer Common Stock are issued or otherwise become outstanding after the date of this Agreement (other than pursuant to an event described in the first sentence of this Section 7(a) or upon exercise of the Option), the number of shares of Issuer Common Stock subject to the Option shall be increased so that, after such issuance, it, together with any shares of Issuer Common Stock previously issued pursuant hereto, equals 19.9% of the number of shares of Issuer Common Stock then issued and outstanding, without giving effect to any shares subject to or issued pursuant to the Option. No provision of this Section 7 shall be deemed to affect or change, or constitute authorization for any violation of, any of the covenants, agreements, representations or warranties in the Merger Agreement.</w:t>
      </w:r>
    </w:p>
    <w:p>
      <w:pPr>
        <w:spacing w:after="0" w:line="200" w:lineRule="exact"/>
        <w:rPr>
          <w:sz w:val="20"/>
          <w:szCs w:val="20"/>
          <w:color w:val="auto"/>
        </w:rPr>
      </w:pPr>
    </w:p>
    <w:p>
      <w:pPr>
        <w:spacing w:after="0" w:line="364"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300" w:right="1440" w:bottom="1440" w:gutter="0" w:footer="0" w:header="0"/>
        </w:sectPr>
      </w:pPr>
    </w:p>
    <w:bookmarkStart w:id="85" w:name="page86"/>
    <w:bookmarkEnd w:id="85"/>
    <w:p>
      <w:pPr>
        <w:ind w:left="280"/>
        <w:spacing w:after="0"/>
        <w:rPr>
          <w:sz w:val="20"/>
          <w:szCs w:val="20"/>
          <w:color w:val="auto"/>
        </w:rPr>
      </w:pPr>
      <w:r>
        <w:rPr>
          <w:rFonts w:ascii="Courier New" w:cs="Courier New" w:eastAsia="Courier New" w:hAnsi="Courier New"/>
          <w:sz w:val="16"/>
          <w:szCs w:val="16"/>
          <w:color w:val="auto"/>
        </w:rPr>
        <w:t>7</w:t>
      </w:r>
    </w:p>
    <w:p>
      <w:pPr>
        <w:spacing w:after="0" w:line="4" w:lineRule="exact"/>
        <w:rPr>
          <w:sz w:val="20"/>
          <w:szCs w:val="20"/>
          <w:color w:val="auto"/>
        </w:rPr>
      </w:pPr>
    </w:p>
    <w:p>
      <w:pPr>
        <w:ind w:left="2980" w:hanging="387"/>
        <w:spacing w:after="0"/>
        <w:tabs>
          <w:tab w:leader="none" w:pos="2980" w:val="left"/>
        </w:tabs>
        <w:numPr>
          <w:ilvl w:val="0"/>
          <w:numId w:val="1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Without limiting the parties' relative rights,</w:t>
      </w:r>
    </w:p>
    <w:p>
      <w:pPr>
        <w:spacing w:after="0" w:line="5" w:lineRule="exact"/>
        <w:rPr>
          <w:rFonts w:ascii="Courier New" w:cs="Courier New" w:eastAsia="Courier New" w:hAnsi="Courier New"/>
          <w:sz w:val="16"/>
          <w:szCs w:val="16"/>
          <w:color w:val="auto"/>
        </w:rPr>
      </w:pPr>
    </w:p>
    <w:p>
      <w:pPr>
        <w:ind w:right="253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remedies, liabilities and obligations under the Merger Agreement or this Agreement, in the event that, prior to the termination of the Option, Issuer shall enter into an agreement (other than the Merger Agreement) (i) to consolidate with or merge into any person, other than Grantee or one of its Subsidiaries, and shall not be the continuing or surviving corporation of such consolidation or merger, (ii) to permit any person, other than Grantee or one of its Subsidiaries, to merge into Issuer and Issuer shall be the continuing or surviving corporation, but, in connection with such merger, the then outstanding shares of Issuer Common Stock shall be changed into or exchanged for another class or series of stock or other securities of Issuer or any other person or cash or any other property or the outstanding shares of Issuer Common Stock immediately prior to such merger shall, after such merger, represent less than 50% of the outstanding shares and share equivalents having general voting power of the merged company, or (iii) to sell or otherwise transfer all or substantially all of its assets (or those of its Subsidiaries taken as a whole) in one transaction or a series of related transactions, to any person, other than Grantee or one of its Subsidiaries, then, and in each such case, the agreement governing such transaction shall make proper provisions so that the Option shall, upon the consummation of any such transaction and upon the terms and conditions set forth herein, be converted into, or exchanged for, an option (the "Substitute Option"), at the election of Grantee, of either (x) the Acquiring Corporation (as hereinafter defined), (y) any person that controls the Acquiring Corporation, or (z) in the case of a merger described in clause (ii), Issuer (such person being referred to as the "Substitute Option Issuer").</w:t>
      </w:r>
    </w:p>
    <w:p>
      <w:pPr>
        <w:spacing w:after="0" w:line="196" w:lineRule="exact"/>
        <w:rPr>
          <w:rFonts w:ascii="Courier New" w:cs="Courier New" w:eastAsia="Courier New" w:hAnsi="Courier New"/>
          <w:sz w:val="16"/>
          <w:szCs w:val="16"/>
          <w:color w:val="auto"/>
        </w:rPr>
      </w:pPr>
    </w:p>
    <w:p>
      <w:pPr>
        <w:ind w:right="2639" w:firstLine="2593"/>
        <w:spacing w:after="0" w:line="262" w:lineRule="auto"/>
        <w:tabs>
          <w:tab w:leader="none" w:pos="2978" w:val="left"/>
        </w:tabs>
        <w:numPr>
          <w:ilvl w:val="0"/>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Substitute Option shall have the same terms as the Option; provided, that the exercise price therefor and number of shares subject thereto shall be as set forth in this Section 7 and the repurchase rights relating thereto shall be as set forth in Section 9; provided, further, that if a Purchase Event shall have occurred prior to or in connection with the issuance of such Substitute Option, the Substitute Option shall be exercisable immediately upon issuance without the occurrence of a further Purchase Event; and provided, further, that if the terms of the Substitute Option cannot, for legal reasons, be the same as the Option, such terms shall be as similar as possible and in no event less advantageous to Grantee. Substitute Option Issuer shall also enter into an agreement with Grantee in substantially the same form as this Agreement, which shall be applicable to the Substitute Option.</w:t>
      </w:r>
    </w:p>
    <w:p>
      <w:pPr>
        <w:spacing w:after="0" w:line="174" w:lineRule="exact"/>
        <w:rPr>
          <w:rFonts w:ascii="Courier New" w:cs="Courier New" w:eastAsia="Courier New" w:hAnsi="Courier New"/>
          <w:sz w:val="15"/>
          <w:szCs w:val="15"/>
          <w:color w:val="auto"/>
        </w:rPr>
      </w:pPr>
    </w:p>
    <w:p>
      <w:pPr>
        <w:ind w:left="2980" w:hanging="387"/>
        <w:spacing w:after="0"/>
        <w:tabs>
          <w:tab w:leader="none" w:pos="2980" w:val="left"/>
        </w:tabs>
        <w:numPr>
          <w:ilvl w:val="0"/>
          <w:numId w:val="1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Substitute Option shall be exercisable for</w:t>
      </w:r>
    </w:p>
    <w:p>
      <w:pPr>
        <w:spacing w:after="0" w:line="5" w:lineRule="exact"/>
        <w:rPr>
          <w:rFonts w:ascii="Courier New" w:cs="Courier New" w:eastAsia="Courier New" w:hAnsi="Courier New"/>
          <w:sz w:val="16"/>
          <w:szCs w:val="16"/>
          <w:color w:val="auto"/>
        </w:rPr>
      </w:pPr>
    </w:p>
    <w:p>
      <w:pPr>
        <w:ind w:right="253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such number of shares of Substitute Common Stock (as hereinafter defined) as is equal to the Market/Offer Price (as hereinafter defined) multiplied by the number of shares of Issuer Common Stock for which the Option was theretofore exercisable, divided by the Average Price (as hereinafter defined). The exercise price of the Substitute Option per share of Substitute Common Stock (the "Substitute Option Price") shall then be equal to the Purchase Price multiplied by a fraction in which the numerator is the number of shares of Issuer Common Stock for which the Option was theretofore exercisable and the denominator is the number of shares of Substitute Common Stock for which the Substitute Option is exercisable.</w:t>
      </w:r>
    </w:p>
    <w:p>
      <w:pPr>
        <w:spacing w:after="0" w:line="187" w:lineRule="exact"/>
        <w:rPr>
          <w:rFonts w:ascii="Courier New" w:cs="Courier New" w:eastAsia="Courier New" w:hAnsi="Courier New"/>
          <w:sz w:val="16"/>
          <w:szCs w:val="16"/>
          <w:color w:val="auto"/>
        </w:rPr>
      </w:pPr>
    </w:p>
    <w:p>
      <w:pPr>
        <w:ind w:left="2980" w:hanging="387"/>
        <w:spacing w:after="0"/>
        <w:tabs>
          <w:tab w:leader="none" w:pos="2980" w:val="left"/>
        </w:tabs>
        <w:numPr>
          <w:ilvl w:val="0"/>
          <w:numId w:val="1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following terms have the meanings indicated:</w:t>
      </w:r>
    </w:p>
    <w:p>
      <w:pPr>
        <w:spacing w:after="0" w:line="188" w:lineRule="exact"/>
        <w:rPr>
          <w:rFonts w:ascii="Courier New" w:cs="Courier New" w:eastAsia="Courier New" w:hAnsi="Courier New"/>
          <w:sz w:val="16"/>
          <w:szCs w:val="16"/>
          <w:color w:val="auto"/>
        </w:rPr>
      </w:pPr>
    </w:p>
    <w:p>
      <w:pPr>
        <w:ind w:left="3840" w:hanging="383"/>
        <w:spacing w:after="0"/>
        <w:tabs>
          <w:tab w:leader="none" w:pos="3840" w:val="left"/>
        </w:tabs>
        <w:numPr>
          <w:ilvl w:val="1"/>
          <w:numId w:val="1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"Acquiring Corporation" shall mean (x)</w:t>
      </w:r>
    </w:p>
    <w:p>
      <w:pPr>
        <w:spacing w:after="0" w:line="5" w:lineRule="exact"/>
        <w:rPr>
          <w:rFonts w:ascii="Courier New" w:cs="Courier New" w:eastAsia="Courier New" w:hAnsi="Courier New"/>
          <w:sz w:val="16"/>
          <w:szCs w:val="16"/>
          <w:color w:val="auto"/>
        </w:rPr>
      </w:pPr>
    </w:p>
    <w:p>
      <w:pPr>
        <w:ind w:right="2539"/>
        <w:spacing w:after="0" w:line="24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continuing or surviving corporation of a consolidation or merger with Issuer (if other than Issuer), or at</w:t>
      </w:r>
    </w:p>
    <w:p>
      <w:pPr>
        <w:spacing w:after="0" w:line="372"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300" w:right="1440" w:bottom="1440" w:gutter="0" w:footer="0" w:header="0"/>
        </w:sectPr>
      </w:pPr>
    </w:p>
    <w:bookmarkStart w:id="86" w:name="page87"/>
    <w:bookmarkEnd w:id="86"/>
    <w:p>
      <w:pPr>
        <w:ind w:left="281"/>
        <w:spacing w:after="0"/>
        <w:rPr>
          <w:sz w:val="20"/>
          <w:szCs w:val="20"/>
          <w:color w:val="auto"/>
        </w:rPr>
      </w:pPr>
      <w:r>
        <w:rPr>
          <w:rFonts w:ascii="Courier New" w:cs="Courier New" w:eastAsia="Courier New" w:hAnsi="Courier New"/>
          <w:sz w:val="16"/>
          <w:szCs w:val="16"/>
          <w:color w:val="auto"/>
        </w:rPr>
        <w:t>8</w:t>
      </w:r>
    </w:p>
    <w:p>
      <w:pPr>
        <w:spacing w:after="0" w:line="5" w:lineRule="exact"/>
        <w:rPr>
          <w:sz w:val="20"/>
          <w:szCs w:val="20"/>
          <w:color w:val="auto"/>
        </w:rPr>
      </w:pPr>
    </w:p>
    <w:p>
      <w:pPr>
        <w:ind w:left="1" w:right="2539"/>
        <w:spacing w:after="0" w:line="243" w:lineRule="auto"/>
        <w:rPr>
          <w:sz w:val="20"/>
          <w:szCs w:val="20"/>
          <w:color w:val="auto"/>
        </w:rPr>
      </w:pPr>
      <w:r>
        <w:rPr>
          <w:rFonts w:ascii="Courier New" w:cs="Courier New" w:eastAsia="Courier New" w:hAnsi="Courier New"/>
          <w:sz w:val="16"/>
          <w:szCs w:val="16"/>
          <w:color w:val="auto"/>
        </w:rPr>
        <w:t>Grantee's election, any person that controls such surviving corporation, (y) Issuer in a merger in which Issuer is the continuing or surviving person, or (z) the transferee of all or substantially all of Issuer's assets (or of the assets of its Subsidiaries taken as a whole).</w:t>
      </w:r>
    </w:p>
    <w:p>
      <w:pPr>
        <w:spacing w:after="0" w:line="190" w:lineRule="exact"/>
        <w:rPr>
          <w:sz w:val="20"/>
          <w:szCs w:val="20"/>
          <w:color w:val="auto"/>
        </w:rPr>
      </w:pPr>
    </w:p>
    <w:p>
      <w:pPr>
        <w:ind w:left="1" w:right="2639" w:firstLine="3457"/>
        <w:spacing w:after="0" w:line="244" w:lineRule="auto"/>
        <w:tabs>
          <w:tab w:leader="none" w:pos="3941" w:val="left"/>
        </w:tabs>
        <w:numPr>
          <w:ilvl w:val="1"/>
          <w:numId w:val="1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"Market/Offer Price" shall mean the highest of (v) the highest price per share of Issuer Common Stock at which a Tender Offer or an Exchange Offer therefor has been made, (w) the highest price per share of Issuer Common Stock to be paid by any third party pursuant to an agreement with Issuer, (x) the price per share of Issuer Common Stock received by holders of Issuer Common Stock in connection with any merger or other business combination transaction described in Section 7(b)(i), 7(b)(ii) or 7(b)(iii), (y) the highest closing price for shares of Issuer Common Stock within the 12-month period immediately preceding the date on which the merger, consolidation, asset sale or other transaction in question is consummated, and</w:t>
      </w:r>
    </w:p>
    <w:p>
      <w:pPr>
        <w:spacing w:after="0" w:line="4" w:lineRule="exact"/>
        <w:rPr>
          <w:rFonts w:ascii="Courier New" w:cs="Courier New" w:eastAsia="Courier New" w:hAnsi="Courier New"/>
          <w:sz w:val="16"/>
          <w:szCs w:val="16"/>
          <w:color w:val="auto"/>
        </w:rPr>
      </w:pPr>
    </w:p>
    <w:p>
      <w:pPr>
        <w:ind w:left="1" w:right="2539" w:hanging="1"/>
        <w:spacing w:after="0" w:line="244" w:lineRule="auto"/>
        <w:tabs>
          <w:tab w:leader="none" w:pos="386" w:val="left"/>
        </w:tabs>
        <w:numPr>
          <w:ilvl w:val="0"/>
          <w:numId w:val="1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of a sale of all or substantially all of Issuer's assets (or those of its Subsidiaries taken as a whole) an amount equal to (I) the sum of the price paid in such sale for such assets and the current market value of the remaining assets of Issuer, as determined by a nationally-recognized independent investment banking firm selected by Grantee, divided by (II) the number of shares of Issuer Common Stock outstanding at such time. In calculating the Market/Offer Price, in the event that a Tender Offer or an Exchange Offer is made for Issuer Common Stock or an agreement is entered into involving consideration other than cash, the value of the securities or other property issuable or deliverable in exchange for Issuer Common Stock shall be determined by a nationally-recognized independent investment banking firm selected by Grantee.</w:t>
      </w:r>
    </w:p>
    <w:p>
      <w:pPr>
        <w:spacing w:after="0" w:line="190" w:lineRule="exact"/>
        <w:rPr>
          <w:rFonts w:ascii="Courier New" w:cs="Courier New" w:eastAsia="Courier New" w:hAnsi="Courier New"/>
          <w:sz w:val="16"/>
          <w:szCs w:val="16"/>
          <w:color w:val="auto"/>
        </w:rPr>
      </w:pPr>
    </w:p>
    <w:p>
      <w:pPr>
        <w:ind w:left="4041" w:hanging="583"/>
        <w:spacing w:after="0"/>
        <w:tabs>
          <w:tab w:leader="none" w:pos="4041" w:val="left"/>
        </w:tabs>
        <w:numPr>
          <w:ilvl w:val="1"/>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"Average Price" shall mean the average</w:t>
      </w:r>
    </w:p>
    <w:p>
      <w:pPr>
        <w:spacing w:after="0" w:line="14" w:lineRule="exact"/>
        <w:rPr>
          <w:rFonts w:ascii="Courier New" w:cs="Courier New" w:eastAsia="Courier New" w:hAnsi="Courier New"/>
          <w:sz w:val="15"/>
          <w:szCs w:val="15"/>
          <w:color w:val="auto"/>
        </w:rPr>
      </w:pPr>
    </w:p>
    <w:p>
      <w:pPr>
        <w:ind w:left="1" w:right="2539"/>
        <w:spacing w:after="0" w:line="244" w:lineRule="auto"/>
        <w:rPr>
          <w:rFonts w:ascii="Courier New" w:cs="Courier New" w:eastAsia="Courier New" w:hAnsi="Courier New"/>
          <w:sz w:val="15"/>
          <w:szCs w:val="15"/>
          <w:color w:val="auto"/>
        </w:rPr>
      </w:pPr>
      <w:r>
        <w:rPr>
          <w:rFonts w:ascii="Courier New" w:cs="Courier New" w:eastAsia="Courier New" w:hAnsi="Courier New"/>
          <w:sz w:val="16"/>
          <w:szCs w:val="16"/>
          <w:color w:val="auto"/>
        </w:rPr>
        <w:t>closing sales price per share of a share of Substitute Common Stock quoted on the NYSE (or if Substitute Common Stock is not quoted on the NYSE, the average closing sales price per share as quoted on the Nasdaq National Market System or, if the shares of Substitute Common Stock are not quoted thereon, the highest bid price per share as quoted on the principal trading market on which such shares are traded as reported by a recognized source) for the 12-month period immediately preceding the date of consummation of the consolidation, merger or sale in question; provided, that if Issuer is the issuer of the Substitute Option, the Average Price shall be computed with respect to a share of common stock issued by Issuer, by the person merging into Issuer or by any company which controls such person, as Grantee may elect.</w:t>
      </w:r>
    </w:p>
    <w:p>
      <w:pPr>
        <w:spacing w:after="0" w:line="188" w:lineRule="exact"/>
        <w:rPr>
          <w:sz w:val="20"/>
          <w:szCs w:val="20"/>
          <w:color w:val="auto"/>
        </w:rPr>
      </w:pPr>
    </w:p>
    <w:p>
      <w:pPr>
        <w:ind w:left="3941" w:hanging="483"/>
        <w:spacing w:after="0"/>
        <w:tabs>
          <w:tab w:leader="none" w:pos="3941" w:val="left"/>
        </w:tabs>
        <w:numPr>
          <w:ilvl w:val="1"/>
          <w:numId w:val="1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"Substitute Common Stock" shall mean</w:t>
      </w:r>
    </w:p>
    <w:p>
      <w:pPr>
        <w:spacing w:after="0" w:line="5" w:lineRule="exact"/>
        <w:rPr>
          <w:rFonts w:ascii="Courier New" w:cs="Courier New" w:eastAsia="Courier New" w:hAnsi="Courier New"/>
          <w:sz w:val="16"/>
          <w:szCs w:val="16"/>
          <w:color w:val="auto"/>
        </w:rPr>
      </w:pPr>
    </w:p>
    <w:p>
      <w:pPr>
        <w:ind w:left="1" w:right="2919"/>
        <w:spacing w:after="0" w:line="243"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shares of capital stock (or similar equity interest) with the greatest voting power in respect of the election of directors (or persons similarly responsible for the direction of the business and affairs) of the Substitute Option Issuer.</w:t>
      </w:r>
    </w:p>
    <w:p>
      <w:pPr>
        <w:spacing w:after="0" w:line="189" w:lineRule="exact"/>
        <w:rPr>
          <w:rFonts w:ascii="Courier New" w:cs="Courier New" w:eastAsia="Courier New" w:hAnsi="Courier New"/>
          <w:sz w:val="16"/>
          <w:szCs w:val="16"/>
          <w:color w:val="auto"/>
        </w:rPr>
      </w:pPr>
    </w:p>
    <w:p>
      <w:pPr>
        <w:ind w:left="1" w:right="2539" w:firstLine="2593"/>
        <w:spacing w:after="0" w:line="262" w:lineRule="auto"/>
        <w:tabs>
          <w:tab w:leader="none" w:pos="2980" w:val="left"/>
        </w:tabs>
        <w:numPr>
          <w:ilvl w:val="0"/>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no event, pursuant to any of the foregoing paragraphs, shall the Substitute Option be exercisable for more than 19.9% of the shares of Substitute Common Stock outstanding prior to exercise of the Substitute Option. In the event that the Substitute Option would be exercisable for more than 19.9% of the shares of Substitute Common Stock but for the limitation in the first sentence of this Section 7(f), Substitute Option Issuer shall make a cash payment to Grantee equal to the excess of (i) the value of the Substitute Option without giving effect to the limitation in the first sentence of this Section 7(f) over (ii) the value of the Substitute Option after giving effect to the limitation in the first sentence of this Section 7(f). This</w:t>
      </w:r>
    </w:p>
    <w:p>
      <w:pPr>
        <w:spacing w:after="0" w:line="200" w:lineRule="exact"/>
        <w:rPr>
          <w:sz w:val="20"/>
          <w:szCs w:val="20"/>
          <w:color w:val="auto"/>
        </w:rPr>
      </w:pPr>
    </w:p>
    <w:p>
      <w:pPr>
        <w:spacing w:after="0" w:line="345"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21"/>
          </w:cols>
          <w:pgMar w:left="239" w:top="300" w:right="1440" w:bottom="1440" w:gutter="0" w:footer="0" w:header="0"/>
        </w:sectPr>
      </w:pPr>
    </w:p>
    <w:bookmarkStart w:id="87" w:name="page88"/>
    <w:bookmarkEnd w:id="87"/>
    <w:p>
      <w:pPr>
        <w:ind w:left="280"/>
        <w:spacing w:after="0"/>
        <w:rPr>
          <w:sz w:val="20"/>
          <w:szCs w:val="20"/>
          <w:color w:val="auto"/>
        </w:rPr>
      </w:pPr>
      <w:r>
        <w:rPr>
          <w:rFonts w:ascii="Courier New" w:cs="Courier New" w:eastAsia="Courier New" w:hAnsi="Courier New"/>
          <w:sz w:val="16"/>
          <w:szCs w:val="16"/>
          <w:color w:val="auto"/>
        </w:rPr>
        <w:t>9</w:t>
      </w:r>
    </w:p>
    <w:p>
      <w:pPr>
        <w:spacing w:after="0" w:line="5" w:lineRule="exact"/>
        <w:rPr>
          <w:sz w:val="20"/>
          <w:szCs w:val="20"/>
          <w:color w:val="auto"/>
        </w:rPr>
      </w:pPr>
    </w:p>
    <w:p>
      <w:pPr>
        <w:ind w:right="2719"/>
        <w:spacing w:after="0" w:line="242" w:lineRule="auto"/>
        <w:rPr>
          <w:sz w:val="20"/>
          <w:szCs w:val="20"/>
          <w:color w:val="auto"/>
        </w:rPr>
      </w:pPr>
      <w:r>
        <w:rPr>
          <w:rFonts w:ascii="Courier New" w:cs="Courier New" w:eastAsia="Courier New" w:hAnsi="Courier New"/>
          <w:sz w:val="16"/>
          <w:szCs w:val="16"/>
          <w:color w:val="auto"/>
        </w:rPr>
        <w:t>difference in value shall be determined by a nationally-recognized independent investment banking firm selected by Grantee.</w:t>
      </w:r>
    </w:p>
    <w:p>
      <w:pPr>
        <w:spacing w:after="0" w:line="187" w:lineRule="exact"/>
        <w:rPr>
          <w:sz w:val="20"/>
          <w:szCs w:val="20"/>
          <w:color w:val="auto"/>
        </w:rPr>
      </w:pPr>
    </w:p>
    <w:p>
      <w:pPr>
        <w:ind w:left="2980" w:hanging="387"/>
        <w:spacing w:after="0"/>
        <w:tabs>
          <w:tab w:leader="none" w:pos="2980" w:val="left"/>
        </w:tabs>
        <w:numPr>
          <w:ilvl w:val="1"/>
          <w:numId w:val="1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Issuer shall not enter into any transaction</w:t>
      </w:r>
    </w:p>
    <w:p>
      <w:pPr>
        <w:spacing w:after="0" w:line="5" w:lineRule="exact"/>
        <w:rPr>
          <w:rFonts w:ascii="Courier New" w:cs="Courier New" w:eastAsia="Courier New" w:hAnsi="Courier New"/>
          <w:sz w:val="16"/>
          <w:szCs w:val="16"/>
          <w:color w:val="auto"/>
        </w:rPr>
      </w:pPr>
    </w:p>
    <w:p>
      <w:pPr>
        <w:ind w:right="253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described in Section 7(b) unless the Acquiring Corporation and any person that controls the Acquiring Corporation assume in writing all the obligations of Issuer hereunder and take all other actions that may be necessary so that the provisions of this Section 7 are given full force and effect (including, without limitation, any action that may be necessary so that the holders of the other shares of common stock issued by Substitute Option Issuer are not entitled to exercise any rights by reason of the issuance or exercise of the Substitute Option and the shares of Substitute Common Stock are otherwise in no way distinguishable from or have lesser economic value (other than any diminution in value resulting from the fact that the shares of Substitute Common Stock are restricted securities, as defined in Rule 144 under the Securities Act or any successor provision) than other shares of common stock issued by Substitute Option Issuer).</w:t>
      </w:r>
    </w:p>
    <w:p>
      <w:pPr>
        <w:spacing w:after="0" w:line="189" w:lineRule="exact"/>
        <w:rPr>
          <w:rFonts w:ascii="Courier New" w:cs="Courier New" w:eastAsia="Courier New" w:hAnsi="Courier New"/>
          <w:sz w:val="16"/>
          <w:szCs w:val="16"/>
          <w:color w:val="auto"/>
        </w:rPr>
      </w:pPr>
    </w:p>
    <w:p>
      <w:pPr>
        <w:ind w:left="2020" w:hanging="292"/>
        <w:spacing w:after="0"/>
        <w:tabs>
          <w:tab w:leader="none" w:pos="2020" w:val="left"/>
        </w:tabs>
        <w:numPr>
          <w:ilvl w:val="0"/>
          <w:numId w:val="1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Repurchase at the Option of Grantee.</w:t>
      </w:r>
    </w:p>
    <w:p>
      <w:pPr>
        <w:spacing w:after="0" w:line="190" w:lineRule="exact"/>
        <w:rPr>
          <w:rFonts w:ascii="Courier New" w:cs="Courier New" w:eastAsia="Courier New" w:hAnsi="Courier New"/>
          <w:sz w:val="16"/>
          <w:szCs w:val="16"/>
          <w:color w:val="auto"/>
        </w:rPr>
      </w:pPr>
    </w:p>
    <w:p>
      <w:pPr>
        <w:ind w:right="2539" w:firstLine="2593"/>
        <w:spacing w:after="0" w:line="244" w:lineRule="auto"/>
        <w:tabs>
          <w:tab w:leader="none" w:pos="2978" w:val="left"/>
        </w:tabs>
        <w:numPr>
          <w:ilvl w:val="1"/>
          <w:numId w:val="1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the request of Grantee at any time commencing upon the first occurrence of a Repurchase Event (as defined in Section 8(c)) and prior to the termination of the Option pursuant to Section 3(a), Issuer (or any successor) shall repurchase from Grantee (x) the Option and (y) all shares of Issuer Common Stock purchased by Grantee pursuant hereto with respect to which Grantee then has beneficial ownership. The date on which Grantee exercises its rights under this Section 8 is referred to as the "Request Date". Such repurchase shall be at an aggregate price (the "Section 8 Repurchase Consideration") equal to the sum of:</w:t>
      </w:r>
    </w:p>
    <w:p>
      <w:pPr>
        <w:spacing w:after="0" w:line="189" w:lineRule="exact"/>
        <w:rPr>
          <w:rFonts w:ascii="Courier New" w:cs="Courier New" w:eastAsia="Courier New" w:hAnsi="Courier New"/>
          <w:sz w:val="16"/>
          <w:szCs w:val="16"/>
          <w:color w:val="auto"/>
        </w:rPr>
      </w:pPr>
    </w:p>
    <w:p>
      <w:pPr>
        <w:ind w:right="2819" w:firstLine="3457"/>
        <w:spacing w:after="0" w:line="243" w:lineRule="auto"/>
        <w:tabs>
          <w:tab w:leader="none" w:pos="3843" w:val="left"/>
        </w:tabs>
        <w:numPr>
          <w:ilvl w:val="2"/>
          <w:numId w:val="1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aggregate Purchase Price paid by Grantee for any shares of Issuer Common Stock acquired pursuant to the Option with respect to which Grantee then has beneficial ownership;</w:t>
      </w:r>
    </w:p>
    <w:p>
      <w:pPr>
        <w:spacing w:after="0" w:line="186" w:lineRule="exact"/>
        <w:rPr>
          <w:rFonts w:ascii="Courier New" w:cs="Courier New" w:eastAsia="Courier New" w:hAnsi="Courier New"/>
          <w:sz w:val="16"/>
          <w:szCs w:val="16"/>
          <w:color w:val="auto"/>
        </w:rPr>
      </w:pPr>
    </w:p>
    <w:p>
      <w:pPr>
        <w:ind w:left="3940" w:hanging="483"/>
        <w:spacing w:after="0"/>
        <w:tabs>
          <w:tab w:leader="none" w:pos="3940" w:val="left"/>
        </w:tabs>
        <w:numPr>
          <w:ilvl w:val="2"/>
          <w:numId w:val="1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excess, if any, of (x) the</w:t>
      </w:r>
    </w:p>
    <w:p>
      <w:pPr>
        <w:spacing w:after="0" w:line="5" w:lineRule="exact"/>
        <w:rPr>
          <w:rFonts w:ascii="Courier New" w:cs="Courier New" w:eastAsia="Courier New" w:hAnsi="Courier New"/>
          <w:sz w:val="16"/>
          <w:szCs w:val="16"/>
          <w:color w:val="auto"/>
        </w:rPr>
      </w:pPr>
    </w:p>
    <w:p>
      <w:pPr>
        <w:ind w:right="2539"/>
        <w:spacing w:after="0" w:line="267"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Market/Offer Price for each share of Issuer Common Stock over (y) the Purchase Price (as adjusted pursuant to Section 7), multiplied by the number of shares of Issuer Common Stock with respect to which the Option has not been exercised; and</w:t>
      </w:r>
    </w:p>
    <w:p>
      <w:pPr>
        <w:spacing w:after="0" w:line="170" w:lineRule="exact"/>
        <w:rPr>
          <w:rFonts w:ascii="Courier New" w:cs="Courier New" w:eastAsia="Courier New" w:hAnsi="Courier New"/>
          <w:sz w:val="16"/>
          <w:szCs w:val="16"/>
          <w:color w:val="auto"/>
        </w:rPr>
      </w:pPr>
    </w:p>
    <w:p>
      <w:pPr>
        <w:ind w:left="4040" w:hanging="583"/>
        <w:spacing w:after="0"/>
        <w:tabs>
          <w:tab w:leader="none" w:pos="4040" w:val="left"/>
        </w:tabs>
        <w:numPr>
          <w:ilvl w:val="2"/>
          <w:numId w:val="1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excess, if any, of the</w:t>
      </w:r>
    </w:p>
    <w:p>
      <w:pPr>
        <w:spacing w:after="0" w:line="5" w:lineRule="exact"/>
        <w:rPr>
          <w:rFonts w:ascii="Courier New" w:cs="Courier New" w:eastAsia="Courier New" w:hAnsi="Courier New"/>
          <w:sz w:val="16"/>
          <w:szCs w:val="16"/>
          <w:color w:val="auto"/>
        </w:rPr>
      </w:pPr>
    </w:p>
    <w:p>
      <w:pPr>
        <w:ind w:right="263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Market/Offer Price over the Purchase Price paid (or, in the case of Option Shares with respect to which the option has been exercised but the Closing Date has not occurred, payable, as adjusted pursuant to Section 7) by Grantee for each share of Issuer Common Stock with respect to which the Option has been exercised and with respect to which Grantee then has beneficial ownership, multiplied by the number of such shares.</w:t>
      </w:r>
    </w:p>
    <w:p>
      <w:pPr>
        <w:spacing w:after="0" w:line="185" w:lineRule="exact"/>
        <w:rPr>
          <w:rFonts w:ascii="Courier New" w:cs="Courier New" w:eastAsia="Courier New" w:hAnsi="Courier New"/>
          <w:sz w:val="16"/>
          <w:szCs w:val="16"/>
          <w:color w:val="auto"/>
        </w:rPr>
      </w:pPr>
    </w:p>
    <w:p>
      <w:pPr>
        <w:ind w:left="2980" w:hanging="387"/>
        <w:spacing w:after="0"/>
        <w:tabs>
          <w:tab w:leader="none" w:pos="2980" w:val="left"/>
        </w:tabs>
        <w:numPr>
          <w:ilvl w:val="1"/>
          <w:numId w:val="1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Grantee exercises its rights under this</w:t>
      </w:r>
    </w:p>
    <w:p>
      <w:pPr>
        <w:spacing w:after="0" w:line="5" w:lineRule="exact"/>
        <w:rPr>
          <w:rFonts w:ascii="Courier New" w:cs="Courier New" w:eastAsia="Courier New" w:hAnsi="Courier New"/>
          <w:sz w:val="16"/>
          <w:szCs w:val="16"/>
          <w:color w:val="auto"/>
        </w:rPr>
      </w:pPr>
    </w:p>
    <w:p>
      <w:pPr>
        <w:ind w:right="263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Section 8, Issuer shall, within 5 business days after the Request Date, pay the Section 8 Repurchase Consideration to Grantee in immediately available funds, and contemporaneously with such payment, Grantee shall surrender to Issuer the Option and the certificates evidencing the shares of Issuer Common Stock purchased thereunder with respect to which Grantee then has beneficial ownership, and Grantee shall warrant that it has sole record and beneficial ownership of such shares and that the</w:t>
      </w:r>
    </w:p>
    <w:p>
      <w:pPr>
        <w:spacing w:after="0" w:line="371"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300" w:right="1440" w:bottom="1440" w:gutter="0" w:footer="0" w:header="0"/>
        </w:sectPr>
      </w:pPr>
    </w:p>
    <w:bookmarkStart w:id="88" w:name="page89"/>
    <w:bookmarkEnd w:id="88"/>
    <w:p>
      <w:pPr>
        <w:ind w:left="281"/>
        <w:spacing w:after="0"/>
        <w:rPr>
          <w:sz w:val="20"/>
          <w:szCs w:val="20"/>
          <w:color w:val="auto"/>
        </w:rPr>
      </w:pPr>
      <w:r>
        <w:rPr>
          <w:rFonts w:ascii="Courier New" w:cs="Courier New" w:eastAsia="Courier New" w:hAnsi="Courier New"/>
          <w:sz w:val="16"/>
          <w:szCs w:val="16"/>
          <w:color w:val="auto"/>
        </w:rPr>
        <w:t>10</w:t>
      </w:r>
    </w:p>
    <w:p>
      <w:pPr>
        <w:spacing w:after="0" w:line="5" w:lineRule="exact"/>
        <w:rPr>
          <w:sz w:val="20"/>
          <w:szCs w:val="20"/>
          <w:color w:val="auto"/>
        </w:rPr>
      </w:pPr>
    </w:p>
    <w:p>
      <w:pPr>
        <w:ind w:left="1" w:right="2539"/>
        <w:spacing w:after="0" w:line="261" w:lineRule="auto"/>
        <w:rPr>
          <w:sz w:val="20"/>
          <w:szCs w:val="20"/>
          <w:color w:val="auto"/>
        </w:rPr>
      </w:pPr>
      <w:r>
        <w:rPr>
          <w:rFonts w:ascii="Courier New" w:cs="Courier New" w:eastAsia="Courier New" w:hAnsi="Courier New"/>
          <w:sz w:val="15"/>
          <w:szCs w:val="15"/>
          <w:color w:val="auto"/>
        </w:rPr>
        <w:t>same are then free and clear of all Liens. Notwithstanding the foregoing, to the extent that prior notification to or approval of any Governmental Entity is required in connection with the payment of all or any portion of the Section 8 Repurchase Consideration, Grantee shall have the ongoing option to revoke its request for repurchase pursuant to Section 8, in whole or in part, or to require that Issuer deliver from time to time that portion of the Section 8 Repurchase Consideration that it is not then so prohibited from paying and promptly file the required notice or application for approval and expeditiously process the same (and each party shall cooperate with the other in the filing of any such notice or application and the obtaining of any such approval) and the period of time that would otherwise run pursuant to the preceding sentence for the payment of the portion of the Section 8 Repurchase Consideration shall run instead from the date on which, as the case may be, (i) any required notification period has expired or been terminated or (ii) such approval has been obtained and, in either event, any requisite waiting period shall have passed. If any Governmental Entity disapproves of any part of Issuer's proposed repurchase pursuant to this Section 8, Issuer shall promptly give notice of such fact to Grantee. If any Governmental Entity prohibits the repurchase (and Issuer hereby undertakes to use its reasonable best efforts to obtain all required approvals from Governmental Entities to accomplish such repurchase) in part but not in whole, then Grantee shall have the right (i) to revoke the repurchase request or</w:t>
      </w:r>
    </w:p>
    <w:p>
      <w:pPr>
        <w:spacing w:after="0" w:line="184" w:lineRule="exact"/>
        <w:rPr>
          <w:sz w:val="20"/>
          <w:szCs w:val="20"/>
          <w:color w:val="auto"/>
        </w:rPr>
      </w:pPr>
    </w:p>
    <w:p>
      <w:pPr>
        <w:ind w:left="1" w:right="2539" w:hanging="1"/>
        <w:spacing w:after="0" w:line="261" w:lineRule="auto"/>
        <w:tabs>
          <w:tab w:leader="none" w:pos="482" w:val="left"/>
        </w:tabs>
        <w:numPr>
          <w:ilvl w:val="0"/>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extent permitted by such Governmental Entity, determine whether the repurchase should apply to the Option and/or Option Shares and to what extent to each, and Grantee shall thereupon have the right to exercise the Option as to the number of Option Shares for which the Option was exercisable at the Request Date less the sum of the number of shares covered by the Option in respect of which payment has been made pursuant to Section 8(a)(ii) and the number of shares covered by the portion of the Option (if any) that has been repurchased; whereupon, in the case of clause (ii), Issuer shall promptly (x) deliver to Grantee that portion of the Section 8 Repurchase Consideration that Issuer is not prohibited from delivering and (y) deliver to Grantee, as appropriate, either (A) a new Stock Option Agreement evidencing the right of Grantee to purchase that number of shares of Issuer Common Stock obtained by multiplying the number of shares of Issuer Common Stock for which the surrendered Stock Option Agreement was exercisable at the time of delivery of the notice of repurchase by a fraction, the numerator of which is the Section 8 Repurchase Consideration less the portion thereof theretofore delivered to Grantee and the denominator of which is the Section 8 Repurchase Consideration, or (B) a certificate for the Option Shares it is then so prohibited from repurchasing; provided, that if the Option shall have terminated prior to the date of such notice or shall be scheduled to terminate at any time before the expiration of a period ending on the thirtieth business day after such date, Grantee shall nonetheless have the right so to exercise the Option or exercise its rights under this Section 8 until the expiration of such period of 30 business days. Grantee shall notify Issuer of its determination under the preceding sentence within 10 business days of receipt of notice of disapproval of the repurchase.</w:t>
      </w:r>
    </w:p>
    <w:p>
      <w:pPr>
        <w:spacing w:after="0" w:line="367" w:lineRule="exact"/>
        <w:rPr>
          <w:rFonts w:ascii="Courier New" w:cs="Courier New" w:eastAsia="Courier New" w:hAnsi="Courier New"/>
          <w:sz w:val="15"/>
          <w:szCs w:val="15"/>
          <w:color w:val="auto"/>
        </w:rPr>
      </w:pPr>
    </w:p>
    <w:p>
      <w:pPr>
        <w:ind w:left="2981" w:hanging="387"/>
        <w:spacing w:after="0"/>
        <w:tabs>
          <w:tab w:leader="none" w:pos="2981" w:val="left"/>
        </w:tabs>
        <w:numPr>
          <w:ilvl w:val="1"/>
          <w:numId w:val="1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used herein, a "Repurchase Event" shall occur</w:t>
      </w:r>
    </w:p>
    <w:p>
      <w:pPr>
        <w:spacing w:after="0" w:line="5" w:lineRule="exact"/>
        <w:rPr>
          <w:rFonts w:ascii="Courier New" w:cs="Courier New" w:eastAsia="Courier New" w:hAnsi="Courier New"/>
          <w:sz w:val="16"/>
          <w:szCs w:val="16"/>
          <w:color w:val="auto"/>
        </w:rPr>
      </w:pPr>
    </w:p>
    <w:p>
      <w:pPr>
        <w:ind w:left="1" w:right="2539"/>
        <w:spacing w:after="0" w:line="262"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if (A) (i) any person (other than Grantee or any Subsidiary of Grantee) shall have acquired beneficial ownership of (as such term is defined in Rule 13d-3 promulgated under the Exchange Act), or the right to acquire beneficial ownership of, or any group shall have been formed which beneficially owns or has the right to acquire beneficial ownership of, 50% or more of the then outstanding shares of Issuer Common Stock or (ii) any of the transactions described in Section 7(b)(i), 7(b)(ii) or 7(b)(iii) has been consummated and (B) a Purchase Event shall have occurred prior to the termination of the Option.</w:t>
      </w:r>
    </w:p>
    <w:p>
      <w:pPr>
        <w:spacing w:after="0" w:line="200" w:lineRule="exact"/>
        <w:rPr>
          <w:sz w:val="20"/>
          <w:szCs w:val="20"/>
          <w:color w:val="auto"/>
        </w:rPr>
      </w:pPr>
    </w:p>
    <w:p>
      <w:pPr>
        <w:spacing w:after="0" w:line="347"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21"/>
          </w:cols>
          <w:pgMar w:left="239" w:top="300" w:right="1440" w:bottom="1440" w:gutter="0" w:footer="0" w:header="0"/>
        </w:sectPr>
      </w:pPr>
    </w:p>
    <w:bookmarkStart w:id="89" w:name="page90"/>
    <w:bookmarkEnd w:id="89"/>
    <w:p>
      <w:pPr>
        <w:ind w:left="280"/>
        <w:spacing w:after="0"/>
        <w:rPr>
          <w:sz w:val="20"/>
          <w:szCs w:val="20"/>
          <w:color w:val="auto"/>
        </w:rPr>
      </w:pPr>
      <w:r>
        <w:rPr>
          <w:rFonts w:ascii="Courier New" w:cs="Courier New" w:eastAsia="Courier New" w:hAnsi="Courier New"/>
          <w:sz w:val="16"/>
          <w:szCs w:val="16"/>
          <w:color w:val="auto"/>
        </w:rPr>
        <w:t>11</w:t>
      </w:r>
    </w:p>
    <w:p>
      <w:pPr>
        <w:spacing w:after="0" w:line="4" w:lineRule="exact"/>
        <w:rPr>
          <w:sz w:val="20"/>
          <w:szCs w:val="20"/>
          <w:color w:val="auto"/>
        </w:rPr>
      </w:pPr>
    </w:p>
    <w:p>
      <w:pPr>
        <w:ind w:left="2020" w:hanging="292"/>
        <w:spacing w:after="0"/>
        <w:tabs>
          <w:tab w:leader="none" w:pos="2020" w:val="left"/>
        </w:tabs>
        <w:numPr>
          <w:ilvl w:val="0"/>
          <w:numId w:val="1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Repurchase of Substitute Option.</w:t>
      </w:r>
    </w:p>
    <w:p>
      <w:pPr>
        <w:spacing w:after="0" w:line="190" w:lineRule="exact"/>
        <w:rPr>
          <w:rFonts w:ascii="Courier New" w:cs="Courier New" w:eastAsia="Courier New" w:hAnsi="Courier New"/>
          <w:sz w:val="16"/>
          <w:szCs w:val="16"/>
          <w:color w:val="auto"/>
        </w:rPr>
      </w:pPr>
    </w:p>
    <w:p>
      <w:pPr>
        <w:ind w:left="2980" w:hanging="387"/>
        <w:spacing w:after="0"/>
        <w:tabs>
          <w:tab w:leader="none" w:pos="2980" w:val="left"/>
        </w:tabs>
        <w:numPr>
          <w:ilvl w:val="1"/>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the request of Grantee at any time, Substitute</w:t>
      </w:r>
    </w:p>
    <w:p>
      <w:pPr>
        <w:spacing w:after="0" w:line="14" w:lineRule="exact"/>
        <w:rPr>
          <w:rFonts w:ascii="Courier New" w:cs="Courier New" w:eastAsia="Courier New" w:hAnsi="Courier New"/>
          <w:sz w:val="15"/>
          <w:szCs w:val="15"/>
          <w:color w:val="auto"/>
        </w:rPr>
      </w:pPr>
    </w:p>
    <w:p>
      <w:pPr>
        <w:ind w:right="2639"/>
        <w:spacing w:after="0" w:line="263"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Option Issuer (or any successor) shall repurchase from Grantee (x) the Substitute Option and (y) all shares of Substitute Common Stock purchased by Grantee pursuant hereto with respect to which Grantee then has beneficial ownership. The date on which Grantee exercises its rights under this Section 9 is referred to as the "Section 9 Request Date". Such repurchase shall be at an aggregate price (the "Section 9 Repurchase Consideration") equal to the sum of:</w:t>
      </w:r>
    </w:p>
    <w:p>
      <w:pPr>
        <w:spacing w:after="0" w:line="174" w:lineRule="exact"/>
        <w:rPr>
          <w:rFonts w:ascii="Courier New" w:cs="Courier New" w:eastAsia="Courier New" w:hAnsi="Courier New"/>
          <w:sz w:val="15"/>
          <w:szCs w:val="15"/>
          <w:color w:val="auto"/>
        </w:rPr>
      </w:pPr>
    </w:p>
    <w:p>
      <w:pPr>
        <w:ind w:left="3840" w:hanging="383"/>
        <w:spacing w:after="0"/>
        <w:tabs>
          <w:tab w:leader="none" w:pos="3840" w:val="left"/>
        </w:tabs>
        <w:numPr>
          <w:ilvl w:val="2"/>
          <w:numId w:val="1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aggregate purchase price paid by</w:t>
      </w:r>
    </w:p>
    <w:p>
      <w:pPr>
        <w:spacing w:after="0" w:line="5" w:lineRule="exact"/>
        <w:rPr>
          <w:rFonts w:ascii="Courier New" w:cs="Courier New" w:eastAsia="Courier New" w:hAnsi="Courier New"/>
          <w:sz w:val="16"/>
          <w:szCs w:val="16"/>
          <w:color w:val="auto"/>
        </w:rPr>
      </w:pPr>
    </w:p>
    <w:p>
      <w:pPr>
        <w:ind w:right="2819"/>
        <w:spacing w:after="0" w:line="243"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Grantee for any shares of Substitute Common Stock acquired pursuant to the Option or Substitute Option with respect to which Grantee then has beneficial ownership;</w:t>
      </w:r>
    </w:p>
    <w:p>
      <w:pPr>
        <w:spacing w:after="0" w:line="186" w:lineRule="exact"/>
        <w:rPr>
          <w:rFonts w:ascii="Courier New" w:cs="Courier New" w:eastAsia="Courier New" w:hAnsi="Courier New"/>
          <w:sz w:val="16"/>
          <w:szCs w:val="16"/>
          <w:color w:val="auto"/>
        </w:rPr>
      </w:pPr>
    </w:p>
    <w:p>
      <w:pPr>
        <w:ind w:left="3940" w:hanging="483"/>
        <w:spacing w:after="0"/>
        <w:tabs>
          <w:tab w:leader="none" w:pos="3940" w:val="left"/>
        </w:tabs>
        <w:numPr>
          <w:ilvl w:val="2"/>
          <w:numId w:val="1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excess, if any, of (x) the</w:t>
      </w:r>
    </w:p>
    <w:p>
      <w:pPr>
        <w:spacing w:after="0" w:line="5" w:lineRule="exact"/>
        <w:rPr>
          <w:rFonts w:ascii="Courier New" w:cs="Courier New" w:eastAsia="Courier New" w:hAnsi="Courier New"/>
          <w:sz w:val="16"/>
          <w:szCs w:val="16"/>
          <w:color w:val="auto"/>
        </w:rPr>
      </w:pPr>
    </w:p>
    <w:p>
      <w:pPr>
        <w:ind w:right="2719"/>
        <w:spacing w:after="0" w:line="243"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Substitute Applicable Price (as hereinafter defined) for each share of Substitute Common Stock over (y) the Substitute Option Price (as adjusted pursuant to Section 7) multiplied by the number of shares of Substitute Common Stock with respect to which the Substitute Option has not been exercised; and</w:t>
      </w:r>
    </w:p>
    <w:p>
      <w:pPr>
        <w:spacing w:after="0" w:line="187" w:lineRule="exact"/>
        <w:rPr>
          <w:rFonts w:ascii="Courier New" w:cs="Courier New" w:eastAsia="Courier New" w:hAnsi="Courier New"/>
          <w:sz w:val="16"/>
          <w:szCs w:val="16"/>
          <w:color w:val="auto"/>
        </w:rPr>
      </w:pPr>
    </w:p>
    <w:p>
      <w:pPr>
        <w:ind w:left="4040" w:hanging="583"/>
        <w:spacing w:after="0"/>
        <w:tabs>
          <w:tab w:leader="none" w:pos="4040" w:val="left"/>
        </w:tabs>
        <w:numPr>
          <w:ilvl w:val="2"/>
          <w:numId w:val="1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excess, if any, of the Substitute</w:t>
      </w:r>
    </w:p>
    <w:p>
      <w:pPr>
        <w:spacing w:after="0" w:line="5" w:lineRule="exact"/>
        <w:rPr>
          <w:rFonts w:ascii="Courier New" w:cs="Courier New" w:eastAsia="Courier New" w:hAnsi="Courier New"/>
          <w:sz w:val="16"/>
          <w:szCs w:val="16"/>
          <w:color w:val="auto"/>
        </w:rPr>
      </w:pPr>
    </w:p>
    <w:p>
      <w:pPr>
        <w:ind w:right="263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Applicable Price over the purchase price paid (or in the case of shares with respect to which the Option or Substitute Option has been exercised but the Closing Date has not occurred, payable) by Grantee for each share of Substitute Common Stock with respect to which the Option or Substitute Option has been exercised and with respect to which Grantee then has beneficial ownership, multiplied by the number of such shares.</w:t>
      </w:r>
    </w:p>
    <w:p>
      <w:pPr>
        <w:spacing w:after="0" w:line="185" w:lineRule="exact"/>
        <w:rPr>
          <w:rFonts w:ascii="Courier New" w:cs="Courier New" w:eastAsia="Courier New" w:hAnsi="Courier New"/>
          <w:sz w:val="16"/>
          <w:szCs w:val="16"/>
          <w:color w:val="auto"/>
        </w:rPr>
      </w:pPr>
    </w:p>
    <w:p>
      <w:pPr>
        <w:ind w:left="2980" w:hanging="387"/>
        <w:spacing w:after="0"/>
        <w:tabs>
          <w:tab w:leader="none" w:pos="2980" w:val="left"/>
        </w:tabs>
        <w:numPr>
          <w:ilvl w:val="1"/>
          <w:numId w:val="1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Grantee exercises its rights under this</w:t>
      </w:r>
    </w:p>
    <w:p>
      <w:pPr>
        <w:spacing w:after="0" w:line="5" w:lineRule="exact"/>
        <w:rPr>
          <w:rFonts w:ascii="Courier New" w:cs="Courier New" w:eastAsia="Courier New" w:hAnsi="Courier New"/>
          <w:sz w:val="16"/>
          <w:szCs w:val="16"/>
          <w:color w:val="auto"/>
        </w:rPr>
      </w:pPr>
    </w:p>
    <w:p>
      <w:pPr>
        <w:ind w:right="253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Section 9, Substitute Option Issuer shall, within 5 business days after the Section 9 Request Date, pay the Section 9 Repurchase Consideration to Grantee in immediately available funds, and contemporaneously with such payment, Grantee shall surrender to Substitute Option Issuer the Substitute Option and the certificates evidencing the shares of Substitute Common Stock purchased thereunder with respect to which Grantee then has beneficial ownership, and Grantee shall warrant that it has sole record and beneficial ownership of such shares and that the same are then free and clear of all Liens. Notwithstanding the foregoing, to the extent that prior notification to or approval of any Governmental Entity is required in connection with the payment of all or any portion of the Section 9 Repurchase Consideration, Grantee shall have the ongoing option to revoke its request for repurchase pursuant to Section 9, in whole or in part, or to require that Substitute Option Issuer deliver from time to time that portion of the Section 9 Repurchase Consideration that it is not then so prohibited from paying and promptly file the required notice or application for approval and expeditiously process the same (and each party shall cooperate with the other in the filing of any such notice or application and the obtaining of any such approval) and the period of time that would otherwise run pursuant to the preceding sentence for the payment of the portion of the Section 9 Repurchase Consideration shall run instead from the date on which, as the case may be, (i) any required notification period has expired or been terminated or (ii) such approval has been obtained and, in either event, any requisite waiting period shall have passed. If any Governmental Entity disapproves of any part of Substitute Option Issuer's proposed repurchase pursuant to this Section 9, Substitute Option Issuer shall promptly give notice of such fact to Grantee. If any Governmental Entity prohibits the repurchase (and Substitute Option Issuer</w:t>
      </w:r>
    </w:p>
    <w:p>
      <w:pPr>
        <w:spacing w:after="0" w:line="196"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300" w:right="1440" w:bottom="1440" w:gutter="0" w:footer="0" w:header="0"/>
        </w:sectPr>
      </w:pPr>
    </w:p>
    <w:bookmarkStart w:id="90" w:name="page91"/>
    <w:bookmarkEnd w:id="90"/>
    <w:p>
      <w:pPr>
        <w:ind w:left="280"/>
        <w:spacing w:after="0"/>
        <w:rPr>
          <w:sz w:val="20"/>
          <w:szCs w:val="20"/>
          <w:color w:val="auto"/>
        </w:rPr>
      </w:pPr>
      <w:r>
        <w:rPr>
          <w:rFonts w:ascii="Courier New" w:cs="Courier New" w:eastAsia="Courier New" w:hAnsi="Courier New"/>
          <w:sz w:val="16"/>
          <w:szCs w:val="16"/>
          <w:color w:val="auto"/>
        </w:rPr>
        <w:t>12</w:t>
      </w:r>
    </w:p>
    <w:p>
      <w:pPr>
        <w:spacing w:after="0" w:line="5"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hereby undertakes to use its reasonable best efforts to obtain all required approvals from Governmental Entities to accomplish such repurchase) in part but not in whole, then Grantee shall have the right (i) to revoke the repurchase request or (ii) to the extent permitted by such Governmental Entity, determine whether the repurchase should apply to the Substitute Option and/or Option Shares and to what extent to each, and Grantee shall thereupon have the right to exercise the Substitute Option as to the number of Option Shares for which the Substitute Option was exercisable at the Section 9 Request Date less the sum of the number of shares covered by the Substitute Option in respect of which payment has been made pursuant to Section 9(a)(ii) and the number of shares covered by the portion of the Substitute Option (if any) that has been repurchased; whereupon, in the case of clause (ii), Substitute Option Issuer shall promptly (x) deliver to Grantee that portion of the Section 9 Repurchase Consideration that Substitute Option Issuer is not prohibited from delivering and (y) deliver to Grantee, as appropriate, either (A) a new Stock Option Agreement evidencing the right of Grantee to purchase that number of shares of Substitute Common Stock obtained by multiplying the number of shares of Substitute Common Stock for which the surrendered Stock Option Agreement was exercisable at the time of delivery of the notice of repurchase by a fraction, the numerator of which is the Section 9 Repurchase Consideration less the portion thereof theretofore delivered to Grantee and the denominator of which is the Section 9 Repurchase Consideration or (B) a certificate for the Option Shares it is then so prohibited from repurchasing; provided, that if the Substitute Option shall have terminated prior to the date of such notice or shall be scheduled to terminate at any time before the expiration of a period ending on the thirtieth business day after such date, Grantee shall nonetheless have the right so to exercise the Substitute Option or exercise its rights under Section 9 until the expiration of such period of 30 business days. Grantee shall notify Substitute Option Issuer of its determination under the preceding sentence within ten (10) business days of receipt of notice of disapproval of the repurchase.</w:t>
      </w:r>
    </w:p>
    <w:p>
      <w:pPr>
        <w:spacing w:after="0" w:line="198" w:lineRule="exact"/>
        <w:rPr>
          <w:sz w:val="20"/>
          <w:szCs w:val="20"/>
          <w:color w:val="auto"/>
        </w:rPr>
      </w:pPr>
    </w:p>
    <w:p>
      <w:pPr>
        <w:ind w:left="2980" w:hanging="387"/>
        <w:spacing w:after="0"/>
        <w:tabs>
          <w:tab w:leader="none" w:pos="2980" w:val="left"/>
        </w:tabs>
        <w:numPr>
          <w:ilvl w:val="1"/>
          <w:numId w:val="1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purposes of this Agreement, the "Substitute</w:t>
      </w:r>
    </w:p>
    <w:p>
      <w:pPr>
        <w:spacing w:after="0" w:line="5" w:lineRule="exact"/>
        <w:rPr>
          <w:rFonts w:ascii="Courier New" w:cs="Courier New" w:eastAsia="Courier New" w:hAnsi="Courier New"/>
          <w:sz w:val="16"/>
          <w:szCs w:val="16"/>
          <w:color w:val="auto"/>
        </w:rPr>
      </w:pPr>
    </w:p>
    <w:p>
      <w:pPr>
        <w:ind w:right="2639"/>
        <w:spacing w:after="0" w:line="274"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Applicable Price" means the highest closing sales price per share of Substitute Common Stock during the six months preceding the Section 9 Request Date.</w:t>
      </w:r>
    </w:p>
    <w:p>
      <w:pPr>
        <w:spacing w:after="0" w:line="164" w:lineRule="exact"/>
        <w:rPr>
          <w:rFonts w:ascii="Courier New" w:cs="Courier New" w:eastAsia="Courier New" w:hAnsi="Courier New"/>
          <w:sz w:val="16"/>
          <w:szCs w:val="16"/>
          <w:color w:val="auto"/>
        </w:rPr>
      </w:pPr>
    </w:p>
    <w:p>
      <w:pPr>
        <w:ind w:left="2980" w:hanging="387"/>
        <w:spacing w:after="0"/>
        <w:tabs>
          <w:tab w:leader="none" w:pos="2980" w:val="left"/>
        </w:tabs>
        <w:numPr>
          <w:ilvl w:val="1"/>
          <w:numId w:val="1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Following the conversion of the Option into a</w:t>
      </w:r>
    </w:p>
    <w:p>
      <w:pPr>
        <w:spacing w:after="0" w:line="5" w:lineRule="exact"/>
        <w:rPr>
          <w:rFonts w:ascii="Courier New" w:cs="Courier New" w:eastAsia="Courier New" w:hAnsi="Courier New"/>
          <w:sz w:val="16"/>
          <w:szCs w:val="16"/>
          <w:color w:val="auto"/>
        </w:rPr>
      </w:pPr>
    </w:p>
    <w:p>
      <w:pPr>
        <w:ind w:right="3299"/>
        <w:spacing w:after="0" w:line="243"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Substitute Option, all references to "Issuer", "Issuer Common Stock" and "Section 8" contained herein shall also be deemed to be references to "Substitute Option Issuer", "Substitute Common Stock" and "Section 9", respectively.</w:t>
      </w:r>
    </w:p>
    <w:p>
      <w:pPr>
        <w:spacing w:after="0" w:line="187" w:lineRule="exact"/>
        <w:rPr>
          <w:rFonts w:ascii="Courier New" w:cs="Courier New" w:eastAsia="Courier New" w:hAnsi="Courier New"/>
          <w:sz w:val="16"/>
          <w:szCs w:val="16"/>
          <w:color w:val="auto"/>
        </w:rPr>
      </w:pPr>
    </w:p>
    <w:p>
      <w:pPr>
        <w:ind w:left="2120" w:hanging="392"/>
        <w:spacing w:after="0"/>
        <w:tabs>
          <w:tab w:leader="none" w:pos="2120" w:val="left"/>
        </w:tabs>
        <w:numPr>
          <w:ilvl w:val="0"/>
          <w:numId w:val="1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Registration Rights.</w:t>
      </w:r>
    </w:p>
    <w:p>
      <w:pPr>
        <w:spacing w:after="0" w:line="190" w:lineRule="exact"/>
        <w:rPr>
          <w:rFonts w:ascii="Courier New" w:cs="Courier New" w:eastAsia="Courier New" w:hAnsi="Courier New"/>
          <w:sz w:val="16"/>
          <w:szCs w:val="16"/>
          <w:color w:val="auto"/>
        </w:rPr>
      </w:pPr>
    </w:p>
    <w:p>
      <w:pPr>
        <w:ind w:right="2539" w:firstLine="2593"/>
        <w:spacing w:after="0" w:line="262" w:lineRule="auto"/>
        <w:tabs>
          <w:tab w:leader="none" w:pos="2978" w:val="left"/>
        </w:tabs>
        <w:numPr>
          <w:ilvl w:val="1"/>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Demand Registration Rights. Issuer shall, subject to the conditions of Section 10(c) below, if requested by any Grantee following a Purchase Event that occurs prior to the termination of the Option, including Grantee and any permitted transferee ("Selling Stockholder"), as expeditiously as possible prepare, file and keep current a registration statement under the Securities Act if such registration is necessary in order to permit the sale or other disposition of any or all shares of Issuer Common Stock or other securities that have been acquired by or are issuable to the Selling Stockholder upon exercise of the Option in accordance with the intended method of sale or other disposition stated by the Selling Stockholder in such request, including, without limitation, a "shelf" registration statement under Rule 415 under the</w:t>
      </w:r>
    </w:p>
    <w:p>
      <w:pPr>
        <w:spacing w:after="0" w:line="175"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300" w:right="1440" w:bottom="1440" w:gutter="0" w:footer="0" w:header="0"/>
        </w:sectPr>
      </w:pPr>
    </w:p>
    <w:bookmarkStart w:id="91" w:name="page92"/>
    <w:bookmarkEnd w:id="91"/>
    <w:p>
      <w:pPr>
        <w:ind w:left="280"/>
        <w:spacing w:after="0"/>
        <w:rPr>
          <w:sz w:val="20"/>
          <w:szCs w:val="20"/>
          <w:color w:val="auto"/>
        </w:rPr>
      </w:pPr>
      <w:r>
        <w:rPr>
          <w:rFonts w:ascii="Courier New" w:cs="Courier New" w:eastAsia="Courier New" w:hAnsi="Courier New"/>
          <w:sz w:val="16"/>
          <w:szCs w:val="16"/>
          <w:color w:val="auto"/>
        </w:rPr>
        <w:t>13</w:t>
      </w:r>
    </w:p>
    <w:p>
      <w:pPr>
        <w:spacing w:after="0" w:line="5" w:lineRule="exact"/>
        <w:rPr>
          <w:sz w:val="20"/>
          <w:szCs w:val="20"/>
          <w:color w:val="auto"/>
        </w:rPr>
      </w:pPr>
    </w:p>
    <w:p>
      <w:pPr>
        <w:ind w:right="2539"/>
        <w:spacing w:after="0" w:line="243" w:lineRule="auto"/>
        <w:rPr>
          <w:sz w:val="20"/>
          <w:szCs w:val="20"/>
          <w:color w:val="auto"/>
        </w:rPr>
      </w:pPr>
      <w:r>
        <w:rPr>
          <w:rFonts w:ascii="Courier New" w:cs="Courier New" w:eastAsia="Courier New" w:hAnsi="Courier New"/>
          <w:sz w:val="16"/>
          <w:szCs w:val="16"/>
          <w:color w:val="auto"/>
        </w:rPr>
        <w:t>Securities Act or any successor provision, and Issuer shall use its best efforts to qualify such shares or other securities for sale under any applicable state securities laws.</w:t>
      </w:r>
    </w:p>
    <w:p>
      <w:pPr>
        <w:spacing w:after="0" w:line="189" w:lineRule="exact"/>
        <w:rPr>
          <w:sz w:val="20"/>
          <w:szCs w:val="20"/>
          <w:color w:val="auto"/>
        </w:rPr>
      </w:pPr>
    </w:p>
    <w:p>
      <w:pPr>
        <w:ind w:right="2539" w:firstLine="2593"/>
        <w:spacing w:after="0" w:line="261" w:lineRule="auto"/>
        <w:tabs>
          <w:tab w:leader="none" w:pos="2978" w:val="left"/>
        </w:tabs>
        <w:numPr>
          <w:ilvl w:val="0"/>
          <w:numId w:val="1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Additional Registration Rights. If Issuer at any time after the exercise of the Option proposes to register any shares of Issuer Common Stock under the Securities Act in connection with an underwritten public offering of such Issuer Common Stock, Issuer will promptly give written notice to Grantee of its intention to do so and, upon the written request of any Selling Stockholder given within 30 days after receipt of any such notice (which request shall specify the number of shares of Issuer Common Stock intended to be included in such underwritten public offering by the Selling Stockholder), Issuer will cause all such shares for which a Selling Stockholder requests participation in such registration to be so registered and included in such underwritten public offering; provided, however, that Issuer may elect to not cause any such shares to be so registered (i) if in the reasonable good faith opinion of the underwriters for such offering, the inclusion of all such shares by the Selling Stockholder would materially interfere with the marketing of such offering (in which case Issuer shall register as many shares as possible without materially interfering with the marketing of the offering), or (ii) in the case of a registration solely to implement an employee benefit plan or a registration filed on Form S-4 of the Securities Act or any successor Form. If some but not all the shares of Issuer Common Stock with respect to which Issuer shall have received requests for registration pursuant to this Section 10(b) shall be excluded from such registration, Issuer shall make appropriate allocation of shares to be registered among the Selling Stockholders desiring to register their shares pro rata in the proportion that the number of shares requested to be registered by each such Selling Stockholder bears to the total number of shares requested to be registered by all such Selling Stockholders then desiring to have Issuer Common Stock registered for sale.</w:t>
      </w:r>
    </w:p>
    <w:p>
      <w:pPr>
        <w:spacing w:after="0" w:line="369" w:lineRule="exact"/>
        <w:rPr>
          <w:rFonts w:ascii="Courier New" w:cs="Courier New" w:eastAsia="Courier New" w:hAnsi="Courier New"/>
          <w:sz w:val="15"/>
          <w:szCs w:val="15"/>
          <w:color w:val="auto"/>
        </w:rPr>
      </w:pPr>
    </w:p>
    <w:p>
      <w:pPr>
        <w:ind w:right="2539" w:firstLine="2593"/>
        <w:spacing w:after="0" w:line="262" w:lineRule="auto"/>
        <w:tabs>
          <w:tab w:leader="none" w:pos="2978" w:val="left"/>
        </w:tabs>
        <w:numPr>
          <w:ilvl w:val="0"/>
          <w:numId w:val="1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Conditions to Required Registration. Issuer shall use its reasonable best efforts to cause each registration statement referred to in Section 10(a) above to become effective and to obtain all consents or waivers of other parties which are required therefor and to keep such registration statement effective as may be reasonably necessary to effect such sale or other disposition; provided, however, that Issuer may delay any registration of Option Shares required pursuant to Section 10(a) above for a period not exceeding 90 days provided Issuer shall in good faith determine that any such registration would adversely affect an offering or contemplated offering of other securities by Issuer or would require disclosure of nonpublic information that would materially and adversely affect Issuer, and Issuer shall not be required to register Option Shares under the Securities Act pursuant to Section 10(a) above:</w:t>
      </w:r>
    </w:p>
    <w:p>
      <w:pPr>
        <w:spacing w:after="0" w:line="174" w:lineRule="exact"/>
        <w:rPr>
          <w:rFonts w:ascii="Courier New" w:cs="Courier New" w:eastAsia="Courier New" w:hAnsi="Courier New"/>
          <w:sz w:val="15"/>
          <w:szCs w:val="15"/>
          <w:color w:val="auto"/>
        </w:rPr>
      </w:pPr>
    </w:p>
    <w:p>
      <w:pPr>
        <w:ind w:left="3840" w:hanging="383"/>
        <w:spacing w:after="0"/>
        <w:tabs>
          <w:tab w:leader="none" w:pos="3840" w:val="left"/>
        </w:tabs>
        <w:numPr>
          <w:ilvl w:val="1"/>
          <w:numId w:val="1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prior to the earlier of (a) termination</w:t>
      </w:r>
    </w:p>
    <w:p>
      <w:pPr>
        <w:spacing w:after="0" w:line="5" w:lineRule="exact"/>
        <w:rPr>
          <w:rFonts w:ascii="Courier New" w:cs="Courier New" w:eastAsia="Courier New" w:hAnsi="Courier New"/>
          <w:sz w:val="16"/>
          <w:szCs w:val="16"/>
          <w:color w:val="auto"/>
        </w:rPr>
      </w:pPr>
    </w:p>
    <w:p>
      <w:pPr>
        <w:ind w:right="3119"/>
        <w:spacing w:after="0" w:line="24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of the Merger Agreement pursuant to Article VII thereof and (b) a Purchase Event;</w:t>
      </w:r>
    </w:p>
    <w:p>
      <w:pPr>
        <w:spacing w:after="0" w:line="186" w:lineRule="exact"/>
        <w:rPr>
          <w:rFonts w:ascii="Courier New" w:cs="Courier New" w:eastAsia="Courier New" w:hAnsi="Courier New"/>
          <w:sz w:val="16"/>
          <w:szCs w:val="16"/>
          <w:color w:val="auto"/>
        </w:rPr>
      </w:pPr>
    </w:p>
    <w:p>
      <w:pPr>
        <w:ind w:left="3940" w:hanging="483"/>
        <w:spacing w:after="0"/>
        <w:tabs>
          <w:tab w:leader="none" w:pos="3940" w:val="left"/>
        </w:tabs>
        <w:numPr>
          <w:ilvl w:val="1"/>
          <w:numId w:val="1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more than three occasions;</w:t>
      </w:r>
    </w:p>
    <w:p>
      <w:pPr>
        <w:spacing w:after="0" w:line="188" w:lineRule="exact"/>
        <w:rPr>
          <w:rFonts w:ascii="Courier New" w:cs="Courier New" w:eastAsia="Courier New" w:hAnsi="Courier New"/>
          <w:sz w:val="16"/>
          <w:szCs w:val="16"/>
          <w:color w:val="auto"/>
        </w:rPr>
      </w:pPr>
    </w:p>
    <w:p>
      <w:pPr>
        <w:ind w:left="4040" w:hanging="583"/>
        <w:spacing w:after="0"/>
        <w:tabs>
          <w:tab w:leader="none" w:pos="4040" w:val="left"/>
        </w:tabs>
        <w:numPr>
          <w:ilvl w:val="1"/>
          <w:numId w:val="1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within 90 days after the effective</w:t>
      </w:r>
    </w:p>
    <w:p>
      <w:pPr>
        <w:spacing w:after="0" w:line="5" w:lineRule="exact"/>
        <w:rPr>
          <w:rFonts w:ascii="Courier New" w:cs="Courier New" w:eastAsia="Courier New" w:hAnsi="Courier New"/>
          <w:sz w:val="16"/>
          <w:szCs w:val="16"/>
          <w:color w:val="auto"/>
        </w:rPr>
      </w:pPr>
    </w:p>
    <w:p>
      <w:pPr>
        <w:ind w:right="2539"/>
        <w:spacing w:after="0" w:line="243"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date of a registration referred to in Section 10(b) above pursuant to which the Selling Stockholder or Selling Stockholders concerned were afforded the opportunity to register all such shares under the Securities Act and shares were registered to the extent requested; and</w:t>
      </w:r>
    </w:p>
    <w:p>
      <w:pPr>
        <w:spacing w:after="0" w:line="373"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19"/>
          </w:cols>
          <w:pgMar w:left="240" w:top="300" w:right="1440" w:bottom="1440" w:gutter="0" w:footer="0" w:header="0"/>
        </w:sectPr>
      </w:pPr>
    </w:p>
    <w:bookmarkStart w:id="92" w:name="page93"/>
    <w:bookmarkEnd w:id="92"/>
    <w:p>
      <w:pPr>
        <w:ind w:left="280"/>
        <w:spacing w:after="0"/>
        <w:rPr>
          <w:sz w:val="20"/>
          <w:szCs w:val="20"/>
          <w:color w:val="auto"/>
        </w:rPr>
      </w:pPr>
      <w:r>
        <w:rPr>
          <w:rFonts w:ascii="Courier New" w:cs="Courier New" w:eastAsia="Courier New" w:hAnsi="Courier New"/>
          <w:sz w:val="16"/>
          <w:szCs w:val="16"/>
          <w:color w:val="auto"/>
        </w:rPr>
        <w:t>14</w:t>
      </w:r>
    </w:p>
    <w:p>
      <w:pPr>
        <w:spacing w:after="0" w:line="4" w:lineRule="exact"/>
        <w:rPr>
          <w:sz w:val="20"/>
          <w:szCs w:val="20"/>
          <w:color w:val="auto"/>
        </w:rPr>
      </w:pPr>
    </w:p>
    <w:p>
      <w:pPr>
        <w:ind w:left="3940" w:hanging="483"/>
        <w:spacing w:after="0"/>
        <w:tabs>
          <w:tab w:leader="none" w:pos="3940" w:val="left"/>
        </w:tabs>
        <w:numPr>
          <w:ilvl w:val="0"/>
          <w:numId w:val="1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unless a request therefor is made to</w:t>
      </w:r>
    </w:p>
    <w:p>
      <w:pPr>
        <w:spacing w:after="0" w:line="5" w:lineRule="exact"/>
        <w:rPr>
          <w:rFonts w:ascii="Courier New" w:cs="Courier New" w:eastAsia="Courier New" w:hAnsi="Courier New"/>
          <w:sz w:val="16"/>
          <w:szCs w:val="16"/>
          <w:color w:val="auto"/>
        </w:rPr>
      </w:pPr>
    </w:p>
    <w:p>
      <w:pPr>
        <w:ind w:right="3019"/>
        <w:spacing w:after="0" w:line="243"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register at least 25% or more of the aggregate number of Option Shares (including shares of Issuer Common Stock and other securities issuable upon exercise of the Option) then outstanding.</w:t>
      </w:r>
    </w:p>
    <w:p>
      <w:pPr>
        <w:spacing w:after="0" w:line="189" w:lineRule="exact"/>
        <w:rPr>
          <w:sz w:val="20"/>
          <w:szCs w:val="20"/>
          <w:color w:val="auto"/>
        </w:rPr>
      </w:pPr>
    </w:p>
    <w:p>
      <w:pPr>
        <w:ind w:right="2539" w:firstLine="1729"/>
        <w:spacing w:after="0" w:line="244" w:lineRule="auto"/>
        <w:rPr>
          <w:sz w:val="20"/>
          <w:szCs w:val="20"/>
          <w:color w:val="auto"/>
        </w:rPr>
      </w:pPr>
      <w:r>
        <w:rPr>
          <w:rFonts w:ascii="Courier New" w:cs="Courier New" w:eastAsia="Courier New" w:hAnsi="Courier New"/>
          <w:sz w:val="16"/>
          <w:szCs w:val="16"/>
          <w:color w:val="auto"/>
        </w:rPr>
        <w:t>In addition to the foregoing, Issuer shall not be required to maintain the effectiveness of any registration statement after the expiration of three months from the effective date of such registration statement. Issuer shall use its reasonable best efforts to make any filings, and take all steps, under all applicable state securities laws to the extent necessary to permit the sale or other disposition of the Option Shares so registered in accordance with the intended method of distribution for such shares; provided, however, that Issuer shall not be required to consent to general jurisdiction or qualify to do business in any state where it is not otherwise required to so consent to such jurisdiction or to so qualify to do business. If requested by any such Grantee in connection with such registration, Issuer shall become a party to any underwriting agreement relating to the sale of such shares, but only to the extent of obligating itself in respect of representations, warranties, indemnities and other agreements customarily included in secondary offering underwriting agreements. Upon receiving any request under this Section 10 from any Grantee, Issuer agrees to send a copy thereof to any other person known to Issuer to be entitled to registration rights under this Section 10, in each case by promptly mailing the same, postage prepaid, to the address of record of the persons entitled to receive such copies.</w:t>
      </w:r>
    </w:p>
    <w:p>
      <w:pPr>
        <w:spacing w:after="0" w:line="194" w:lineRule="exact"/>
        <w:rPr>
          <w:sz w:val="20"/>
          <w:szCs w:val="20"/>
          <w:color w:val="auto"/>
        </w:rPr>
      </w:pPr>
    </w:p>
    <w:p>
      <w:pPr>
        <w:ind w:right="2539" w:firstLine="1729"/>
        <w:spacing w:after="0" w:line="244" w:lineRule="auto"/>
        <w:rPr>
          <w:sz w:val="20"/>
          <w:szCs w:val="20"/>
          <w:color w:val="auto"/>
        </w:rPr>
      </w:pPr>
      <w:r>
        <w:rPr>
          <w:rFonts w:ascii="Courier New" w:cs="Courier New" w:eastAsia="Courier New" w:hAnsi="Courier New"/>
          <w:sz w:val="16"/>
          <w:szCs w:val="16"/>
          <w:color w:val="auto"/>
        </w:rPr>
        <w:t>Notwithstanding anything else in this Section 10, in lieu of complying with its obligations pursuant to a request made by any Grantee under this Section 10, Issuer may, at its election, repurchase the Option Shares requested to be registered by such Grantee at a purchase price per share equal to the average closing price of such Option Shares during the ten business days preceding the date on which Issuer gives notice to Grantee of its intention to repurchase such Option Shares (which notice shall be given no later than fifteen days after Grantee has given notice to Issuer of its election to exercise its registration rights under Section 10(a) or 10(b)).</w:t>
      </w:r>
    </w:p>
    <w:p>
      <w:pPr>
        <w:spacing w:after="0" w:line="187" w:lineRule="exact"/>
        <w:rPr>
          <w:sz w:val="20"/>
          <w:szCs w:val="20"/>
          <w:color w:val="auto"/>
        </w:rPr>
      </w:pPr>
    </w:p>
    <w:p>
      <w:pPr>
        <w:ind w:left="2980" w:hanging="387"/>
        <w:spacing w:after="0"/>
        <w:tabs>
          <w:tab w:leader="none" w:pos="2980" w:val="left"/>
        </w:tabs>
        <w:numPr>
          <w:ilvl w:val="0"/>
          <w:numId w:val="1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Expenses. Except where applicable state law</w:t>
      </w:r>
    </w:p>
    <w:p>
      <w:pPr>
        <w:spacing w:after="0" w:line="5" w:lineRule="exact"/>
        <w:rPr>
          <w:rFonts w:ascii="Courier New" w:cs="Courier New" w:eastAsia="Courier New" w:hAnsi="Courier New"/>
          <w:sz w:val="16"/>
          <w:szCs w:val="16"/>
          <w:color w:val="auto"/>
        </w:rPr>
      </w:pPr>
    </w:p>
    <w:p>
      <w:pPr>
        <w:ind w:right="253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prohibits such payments and except for underwriting discounts or commissions and brokers' fees, Issuer will pay all expenses (including, without limitation, registration fees, qualification fees, blue sky fees and expenses (including the fees and expenses of counsel), legal fees and expenses, including the reasonable fees and expenses of one counsel to the holders whose Option Shares are being registered, printing expenses and the costs of special audits or "cold comfort" letters, expenses of underwriters, excluding discounts and commissions but including liability insurance if Issuer so desires or the underwriters so require, and the reasonable fees and expenses of any necessary special experts) in connection with each registration pursuant to Section 10(a) or 10(b) above (including the related offerings and sales by holders of Option Shares) and all other qualifications, notifications or exemptions pursuant to Section 10(a) or 10(b) above.</w:t>
      </w:r>
    </w:p>
    <w:p>
      <w:pPr>
        <w:spacing w:after="0" w:line="189" w:lineRule="exact"/>
        <w:rPr>
          <w:rFonts w:ascii="Courier New" w:cs="Courier New" w:eastAsia="Courier New" w:hAnsi="Courier New"/>
          <w:sz w:val="16"/>
          <w:szCs w:val="16"/>
          <w:color w:val="auto"/>
        </w:rPr>
      </w:pPr>
    </w:p>
    <w:p>
      <w:pPr>
        <w:ind w:left="2980" w:hanging="387"/>
        <w:spacing w:after="0"/>
        <w:tabs>
          <w:tab w:leader="none" w:pos="2980" w:val="left"/>
        </w:tabs>
        <w:numPr>
          <w:ilvl w:val="0"/>
          <w:numId w:val="1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Indemnification. In connection with any</w:t>
      </w:r>
    </w:p>
    <w:p>
      <w:pPr>
        <w:spacing w:after="0" w:line="5" w:lineRule="exact"/>
        <w:rPr>
          <w:rFonts w:ascii="Courier New" w:cs="Courier New" w:eastAsia="Courier New" w:hAnsi="Courier New"/>
          <w:sz w:val="16"/>
          <w:szCs w:val="16"/>
          <w:color w:val="auto"/>
        </w:rPr>
      </w:pPr>
    </w:p>
    <w:p>
      <w:pPr>
        <w:ind w:right="253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registration under Section 10(a) or 10(b) above, Issuer hereby indemnifies the Selling Stockholders, and each underwriter thereof, including each person, if any, who controls such Selling Stockholders or underwriter within the meaning of Section 15 of the Securities Act, and including each director, officer, stockholder, partner, member, employee, representative and agent of any thereof, against all expenses, losses, claims, damages and liabilities caused by any untrue, or alleged untrue,</w:t>
      </w:r>
    </w:p>
    <w:p>
      <w:pPr>
        <w:spacing w:after="0" w:line="186"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19"/>
          </w:cols>
          <w:pgMar w:left="240" w:top="300" w:right="1440" w:bottom="1440" w:gutter="0" w:footer="0" w:header="0"/>
        </w:sectPr>
      </w:pPr>
    </w:p>
    <w:bookmarkStart w:id="93" w:name="page94"/>
    <w:bookmarkEnd w:id="93"/>
    <w:p>
      <w:pPr>
        <w:ind w:left="281"/>
        <w:spacing w:after="0"/>
        <w:rPr>
          <w:sz w:val="20"/>
          <w:szCs w:val="20"/>
          <w:color w:val="auto"/>
        </w:rPr>
      </w:pPr>
      <w:r>
        <w:rPr>
          <w:rFonts w:ascii="Courier New" w:cs="Courier New" w:eastAsia="Courier New" w:hAnsi="Courier New"/>
          <w:sz w:val="16"/>
          <w:szCs w:val="16"/>
          <w:color w:val="auto"/>
        </w:rPr>
        <w:t>15</w:t>
      </w:r>
    </w:p>
    <w:p>
      <w:pPr>
        <w:spacing w:after="0" w:line="5" w:lineRule="exact"/>
        <w:rPr>
          <w:sz w:val="20"/>
          <w:szCs w:val="20"/>
          <w:color w:val="auto"/>
        </w:rPr>
      </w:pPr>
    </w:p>
    <w:p>
      <w:pPr>
        <w:ind w:left="1" w:right="2539"/>
        <w:spacing w:after="0" w:line="261" w:lineRule="auto"/>
        <w:rPr>
          <w:sz w:val="20"/>
          <w:szCs w:val="20"/>
          <w:color w:val="auto"/>
        </w:rPr>
      </w:pPr>
      <w:r>
        <w:rPr>
          <w:rFonts w:ascii="Courier New" w:cs="Courier New" w:eastAsia="Courier New" w:hAnsi="Courier New"/>
          <w:sz w:val="15"/>
          <w:szCs w:val="15"/>
          <w:color w:val="auto"/>
        </w:rPr>
        <w:t>statement of a material fact contained in any registration statement or prospectus or notification or offering circular (including any amendments or supplements thereto) or any preliminary prospectus, or caused by any omission, or alleged omission, to state therein a material fact required to be stated therein or necessary to make the statements therein not misleading, except insofar as such expenses, losses, claims, damages or liabilities of such indemnified party are caused by any untrue statement or alleged untrue statement that was included by Issuer in any such registration statement or prospectus or notification or offering circular (including any amendments or supplements thereto) in reliance upon and in conformity with, information furnished in writing to Issuer by such indemnified party expressly for use therein, and Issuer and each person, if any, who controls Issuer within the meaning of Section 15 of the Securities Act, and each director, officer, stockholder, partner, member, employee, representative and agent of Issuer shall be indemnified by such Selling Stockholders, or by such underwriter, as the case may be, for all such expenses, losses, claims, damages and liabilities caused by any untrue, or alleged untrue, statement, that was included by Issuer in any such registration statement or prospectus or notification or offering circular (including any amendments or supplements thereto) in reliance upon, and in conformity with, information furnished in writing to Issuer by such Selling Stockholders or such underwriter, as the case may be, expressly for such use.</w:t>
      </w:r>
    </w:p>
    <w:p>
      <w:pPr>
        <w:spacing w:after="0" w:line="369" w:lineRule="exact"/>
        <w:rPr>
          <w:sz w:val="20"/>
          <w:szCs w:val="20"/>
          <w:color w:val="auto"/>
        </w:rPr>
      </w:pPr>
    </w:p>
    <w:p>
      <w:pPr>
        <w:ind w:left="1" w:right="2539" w:firstLine="1729"/>
        <w:spacing w:after="0" w:line="261" w:lineRule="auto"/>
        <w:rPr>
          <w:sz w:val="20"/>
          <w:szCs w:val="20"/>
          <w:color w:val="auto"/>
        </w:rPr>
      </w:pPr>
      <w:r>
        <w:rPr>
          <w:rFonts w:ascii="Courier New" w:cs="Courier New" w:eastAsia="Courier New" w:hAnsi="Courier New"/>
          <w:sz w:val="15"/>
          <w:szCs w:val="15"/>
          <w:color w:val="auto"/>
        </w:rPr>
        <w:t>Promptly upon receipt by a party indemnified under this Section 10(e) of notice of the commencement of any action against such indemnified party in respect of which indemnity or reimbursement may be sought against any indemnifying party under this Section 10(e), such indemnified party shall notify the indemnifying party in writing of the commencement of such action, but the failure so to notify the indemnifying party shall not relieve it of any liability which it may otherwise have to any indemnified party under this Section 10(e) unless the failure so to notify the indemnified party results in substantial prejudice thereto. In case notice of commencement of any such action shall be given to the indemnifying party as above provided, the indemnifying party shall be entitled to participate in and, to the extent it may wish, jointly with any other indemnifying party similarly notified, to assume the defense of such action at its own expense, with counsel chosen by it and satisfactory to such indemnified party. The indemnified party shall have the right to employ separate counsel in any such action and participate in the defense thereof, but the fees and expenses of such counsel (other than reasonable costs of investigation) shall be paid by the indemnified party unless</w:t>
      </w:r>
    </w:p>
    <w:p>
      <w:pPr>
        <w:spacing w:after="0" w:line="184" w:lineRule="exact"/>
        <w:rPr>
          <w:sz w:val="20"/>
          <w:szCs w:val="20"/>
          <w:color w:val="auto"/>
        </w:rPr>
      </w:pPr>
    </w:p>
    <w:p>
      <w:pPr>
        <w:ind w:left="1" w:right="2639" w:hanging="1"/>
        <w:spacing w:after="0" w:line="244" w:lineRule="auto"/>
        <w:tabs>
          <w:tab w:leader="none" w:pos="386" w:val="left"/>
        </w:tabs>
        <w:numPr>
          <w:ilvl w:val="0"/>
          <w:numId w:val="1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indemnifying party agrees to pay the same, (ii) the indemnifying party fails to assume the defense of such action with counsel satisfactory to the indemnified party, or (iii) the indemnified party has been advised by counsel that one or more legal defenses may be available to the indemnifying party that may be contrary to the interest of the indemnified party, in which case the indemnifying party shall be entitled to assume the defense of such action notwithstanding its obligation to bear fees and expenses of such counsel. No indemnifying party shall be liable for any settlement entered into without its consent, which consent may not be unreasonably withheld.</w:t>
      </w:r>
    </w:p>
    <w:p>
      <w:pPr>
        <w:spacing w:after="0" w:line="189" w:lineRule="exact"/>
        <w:rPr>
          <w:sz w:val="20"/>
          <w:szCs w:val="20"/>
          <w:color w:val="auto"/>
        </w:rPr>
      </w:pPr>
    </w:p>
    <w:p>
      <w:pPr>
        <w:ind w:left="1" w:right="2539" w:firstLine="1729"/>
        <w:spacing w:after="0" w:line="244" w:lineRule="auto"/>
        <w:rPr>
          <w:sz w:val="20"/>
          <w:szCs w:val="20"/>
          <w:color w:val="auto"/>
        </w:rPr>
      </w:pPr>
      <w:r>
        <w:rPr>
          <w:rFonts w:ascii="Courier New" w:cs="Courier New" w:eastAsia="Courier New" w:hAnsi="Courier New"/>
          <w:sz w:val="16"/>
          <w:szCs w:val="16"/>
          <w:color w:val="auto"/>
        </w:rPr>
        <w:t>If the indemnification provided for in this Section 10(e) is unavailable to a party otherwise entitled to be indemnified in respect of any expenses, losses, claims, damages or liabilities referred to herein, then the indemnifying party, in lieu of indemnifying such party otherwise entitled to be indemnified, shall contribute to the amount paid or payable by such party to be indemnified as a result of such expenses, losses, claims, damages or liabilities in such proportion as is appropriate to reflect the relative benefits received by Issuer, the Selling</w:t>
      </w:r>
    </w:p>
    <w:p>
      <w:pPr>
        <w:spacing w:after="0" w:line="187"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221"/>
          </w:cols>
          <w:pgMar w:left="239" w:top="300" w:right="1440" w:bottom="1440" w:gutter="0" w:footer="0" w:header="0"/>
        </w:sectPr>
      </w:pPr>
    </w:p>
    <w:bookmarkStart w:id="94" w:name="page95"/>
    <w:bookmarkEnd w:id="94"/>
    <w:p>
      <w:pPr>
        <w:ind w:left="280"/>
        <w:spacing w:after="0"/>
        <w:rPr>
          <w:sz w:val="20"/>
          <w:szCs w:val="20"/>
          <w:color w:val="auto"/>
        </w:rPr>
      </w:pPr>
      <w:r>
        <w:rPr>
          <w:rFonts w:ascii="Courier New" w:cs="Courier New" w:eastAsia="Courier New" w:hAnsi="Courier New"/>
          <w:sz w:val="16"/>
          <w:szCs w:val="16"/>
          <w:color w:val="auto"/>
        </w:rPr>
        <w:t>16</w:t>
      </w:r>
    </w:p>
    <w:p>
      <w:pPr>
        <w:spacing w:after="0" w:line="5"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Stockholders and the underwriters from the offering of the securities and also the relative fault of Issuer, the Selling Stockholders and the underwriters in connection with the statements or omissions which resulted in such expenses, losses, claims, damages or liabilities, as well as any other relevant equitable considerations. The amount paid or payable by a party as a result of the expenses, losses, claims, damages and liabilities referred to above shall be deemed to include any legal or other fees or expenses reasonably incurred by such party in connection with investigating or defending any action or claim; provided, however, that in no case shall any Selling Stockholder be responsible, in the aggregate, for any amount in excess of the net offering proceeds attributable to its Option Shares included in the offering. No person guilty of fraudulent misrepresentation (within the meaning of Section 11(f) of the Securities Act) shall be entitled to contribution from any person who was not guilty of such fraudulent misrepresentation. Any obligation by any Selling Stockholder to indemnify shall be several and not joint with other Selling Stockholders.</w:t>
      </w:r>
    </w:p>
    <w:p>
      <w:pPr>
        <w:spacing w:after="0" w:line="193" w:lineRule="exact"/>
        <w:rPr>
          <w:sz w:val="20"/>
          <w:szCs w:val="20"/>
          <w:color w:val="auto"/>
        </w:rPr>
      </w:pPr>
    </w:p>
    <w:p>
      <w:pPr>
        <w:ind w:right="2639" w:firstLine="1729"/>
        <w:spacing w:after="0" w:line="243" w:lineRule="auto"/>
        <w:rPr>
          <w:sz w:val="20"/>
          <w:szCs w:val="20"/>
          <w:color w:val="auto"/>
        </w:rPr>
      </w:pPr>
      <w:r>
        <w:rPr>
          <w:rFonts w:ascii="Courier New" w:cs="Courier New" w:eastAsia="Courier New" w:hAnsi="Courier New"/>
          <w:sz w:val="16"/>
          <w:szCs w:val="16"/>
          <w:color w:val="auto"/>
        </w:rPr>
        <w:t>In connection with any registration pursuant to Section 10(a) or 10(b) above, Issuer and each Selling Stockholder (other than Grantee) shall enter into an agreement containing the indemnification provisions of this Section 10(e).</w:t>
      </w:r>
    </w:p>
    <w:p>
      <w:pPr>
        <w:spacing w:after="0" w:line="190" w:lineRule="exact"/>
        <w:rPr>
          <w:sz w:val="20"/>
          <w:szCs w:val="20"/>
          <w:color w:val="auto"/>
        </w:rPr>
      </w:pPr>
    </w:p>
    <w:p>
      <w:pPr>
        <w:ind w:right="2539" w:firstLine="2593"/>
        <w:spacing w:after="0" w:line="244" w:lineRule="auto"/>
        <w:tabs>
          <w:tab w:leader="none" w:pos="2978" w:val="left"/>
        </w:tabs>
        <w:numPr>
          <w:ilvl w:val="1"/>
          <w:numId w:val="1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Miscellaneous Reporting. Issuer shall comply with all reporting requirements and will do all such other things as may be necessary to permit the expeditious sale at any time of any Option Shares by the Selling Stockholders thereof in accordance with and to the extent permitted by any rule or regulation promulgated by the SEC from time to time, including, without limitation, Rule 144. Issuer shall at its expense provide the Selling Stockholders with any information necessary in connection with the completion and filing of any reports or forms required to be filed by them under the Securities Act or the Exchange Act, or required pursuant to any state securities laws or the rules of the NASD or any stock exchange.</w:t>
      </w:r>
    </w:p>
    <w:p>
      <w:pPr>
        <w:spacing w:after="0" w:line="187" w:lineRule="exact"/>
        <w:rPr>
          <w:rFonts w:ascii="Courier New" w:cs="Courier New" w:eastAsia="Courier New" w:hAnsi="Courier New"/>
          <w:sz w:val="16"/>
          <w:szCs w:val="16"/>
          <w:color w:val="auto"/>
        </w:rPr>
      </w:pPr>
    </w:p>
    <w:p>
      <w:pPr>
        <w:ind w:left="2980" w:hanging="387"/>
        <w:spacing w:after="0"/>
        <w:tabs>
          <w:tab w:leader="none" w:pos="2980" w:val="left"/>
        </w:tabs>
        <w:numPr>
          <w:ilvl w:val="1"/>
          <w:numId w:val="1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Issue Taxes. Issuer will pay all stamp taxes in</w:t>
      </w:r>
    </w:p>
    <w:p>
      <w:pPr>
        <w:spacing w:after="0" w:line="5" w:lineRule="exact"/>
        <w:rPr>
          <w:rFonts w:ascii="Courier New" w:cs="Courier New" w:eastAsia="Courier New" w:hAnsi="Courier New"/>
          <w:sz w:val="16"/>
          <w:szCs w:val="16"/>
          <w:color w:val="auto"/>
        </w:rPr>
      </w:pPr>
    </w:p>
    <w:p>
      <w:pPr>
        <w:ind w:right="2539"/>
        <w:spacing w:after="0" w:line="243"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connection with the issuance and the sale of the Option Shares and in connection with the exercise of the Option, and will save the Selling Stockholders harmless, without limitation as to time, against any and all liabilities with respect to all such taxes.</w:t>
      </w:r>
    </w:p>
    <w:p>
      <w:pPr>
        <w:spacing w:after="0" w:line="189" w:lineRule="exact"/>
        <w:rPr>
          <w:rFonts w:ascii="Courier New" w:cs="Courier New" w:eastAsia="Courier New" w:hAnsi="Courier New"/>
          <w:sz w:val="16"/>
          <w:szCs w:val="16"/>
          <w:color w:val="auto"/>
        </w:rPr>
      </w:pPr>
    </w:p>
    <w:p>
      <w:pPr>
        <w:ind w:right="2539" w:firstLine="1728"/>
        <w:spacing w:after="0" w:line="244" w:lineRule="auto"/>
        <w:tabs>
          <w:tab w:leader="none" w:pos="2114" w:val="left"/>
        </w:tabs>
        <w:numPr>
          <w:ilvl w:val="0"/>
          <w:numId w:val="1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Quotation or Listing. If Issuer Common Stock or any other securities to be acquired in connection with the exercise of the Option are then authorized for quotation or trading or listing on the NYSE, the Nasdaq National Market System or any other securities exchange or securities quotation system, Issuer, upon the request of Grantee, will promptly file an application, if required, to authorize for quotation or trading or listing the shares of Issuer Common Stock or any other securities to be acquired upon exercise of the Option on such securities exchange or securities quotation system and will use its reasonable best efforts to obtain approval, if required, of such quotation or listing as soon as practicable.</w:t>
      </w:r>
    </w:p>
    <w:p>
      <w:pPr>
        <w:spacing w:after="0" w:line="189" w:lineRule="exact"/>
        <w:rPr>
          <w:rFonts w:ascii="Courier New" w:cs="Courier New" w:eastAsia="Courier New" w:hAnsi="Courier New"/>
          <w:sz w:val="16"/>
          <w:szCs w:val="16"/>
          <w:color w:val="auto"/>
        </w:rPr>
      </w:pPr>
    </w:p>
    <w:p>
      <w:pPr>
        <w:ind w:right="2539" w:firstLine="1728"/>
        <w:spacing w:after="0" w:line="263" w:lineRule="auto"/>
        <w:tabs>
          <w:tab w:leader="none" w:pos="2114"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Division of Option. This Agreement (and the Option granted hereby) are exchangeable, without expense, at the option of Grantee, upon presentation and surrender of this Agreement at the principal office of Issuer for other Agreements providing for Options of different denominations entitling the holder thereof to purchase in the aggregate the same number of shares of Issuer Common Stock purchasable hereunder. The terms "Agreement" and "Option" as used herein include any other Stock Option Agreement and related Options for</w:t>
      </w:r>
    </w:p>
    <w:p>
      <w:pPr>
        <w:spacing w:after="0" w:line="35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10219"/>
          </w:cols>
          <w:pgMar w:left="240" w:top="300" w:right="1440" w:bottom="1440" w:gutter="0" w:footer="0" w:header="0"/>
        </w:sectPr>
      </w:pPr>
    </w:p>
    <w:bookmarkStart w:id="95" w:name="page96"/>
    <w:bookmarkEnd w:id="95"/>
    <w:p>
      <w:pPr>
        <w:ind w:left="280"/>
        <w:spacing w:after="0"/>
        <w:rPr>
          <w:sz w:val="20"/>
          <w:szCs w:val="20"/>
          <w:color w:val="auto"/>
        </w:rPr>
      </w:pPr>
      <w:r>
        <w:rPr>
          <w:rFonts w:ascii="Courier New" w:cs="Courier New" w:eastAsia="Courier New" w:hAnsi="Courier New"/>
          <w:sz w:val="16"/>
          <w:szCs w:val="16"/>
          <w:color w:val="auto"/>
        </w:rPr>
        <w:t>17</w:t>
      </w:r>
    </w:p>
    <w:p>
      <w:pPr>
        <w:spacing w:after="0" w:line="5" w:lineRule="exact"/>
        <w:rPr>
          <w:sz w:val="20"/>
          <w:szCs w:val="20"/>
          <w:color w:val="auto"/>
        </w:rPr>
      </w:pPr>
    </w:p>
    <w:p>
      <w:pPr>
        <w:ind w:right="2639"/>
        <w:spacing w:after="0" w:line="244" w:lineRule="auto"/>
        <w:rPr>
          <w:sz w:val="20"/>
          <w:szCs w:val="20"/>
          <w:color w:val="auto"/>
        </w:rPr>
      </w:pPr>
      <w:r>
        <w:rPr>
          <w:rFonts w:ascii="Courier New" w:cs="Courier New" w:eastAsia="Courier New" w:hAnsi="Courier New"/>
          <w:sz w:val="16"/>
          <w:szCs w:val="16"/>
          <w:color w:val="auto"/>
        </w:rPr>
        <w:t>which this Agreement (and the Option granted hereby) may be exchanged. Upon receipt by Issuer of evidence reasonably satisfactory to it of the loss, theft, destruction or mutilation of this Agreement, and (in the case of loss, theft or destruction) of reasonably satisfactory indemnification to protect Issuer from any loss which it may suffer if this Agreement is replaced, and upon surrender and cancellation of this Agreement, if mutilated, Issuer will execute and deliver a new Agreement of like tenor and date.</w:t>
      </w:r>
    </w:p>
    <w:p>
      <w:pPr>
        <w:spacing w:after="0" w:line="188" w:lineRule="exact"/>
        <w:rPr>
          <w:sz w:val="20"/>
          <w:szCs w:val="20"/>
          <w:color w:val="auto"/>
        </w:rPr>
      </w:pPr>
    </w:p>
    <w:p>
      <w:pPr>
        <w:ind w:right="2539" w:firstLine="1728"/>
        <w:spacing w:after="0" w:line="244" w:lineRule="auto"/>
        <w:tabs>
          <w:tab w:leader="none" w:pos="2114" w:val="left"/>
        </w:tabs>
        <w:numPr>
          <w:ilvl w:val="0"/>
          <w:numId w:val="1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Limitation of Grantee Profit. (a) Notwithstanding any other provision herein or in the Merger Agreement, in no event shall Grantee's Total Profit (as defined below) exceed $1.25 billion (the "Maximum Profit"), and, if it otherwise would exceed such amount, Grantee, at its sole discretion, shall either (i) reduce the number of shares subject to the Option (and any Substitute Option), (ii) deliver to Issuer, or the Substitute Issuer, as the case may be, for cancellation shares of Issuer Common Stock or Substitute Common Stock, as the case may be (or other securities into which such Option Shares are converted or exchanged), (iii) pay cash to Issuer, or the Substitute Issuer, as the case may be, (iv) reduce the amount of the Section 8 Repurchase Consideration or Section 9 Repurchase Consideration or (v) any combination of the foregoing, so that Grantee's actually realized Total Profit shall not exceed the Maximum Profit after taking into account the foregoing actions. Notwithstanding any other provision of this Agreement, the Option may not be exercised for a number of shares as would, as of the date of exercise, result in a Notional Total Profit (as defined below) of more than the Maximum Profit and, if exercise of the Option would otherwise result in the Notional Total Profit exceeding such amount, Grantee, in its discretion, may take any of the actions specified in this Section 13(a) so that the Notional Total Profit shall not exceed the Maximum Profit; provided, that nothing in this sentence shall restrict any subsequent exercise of the Option which at such time complies with this sentence.</w:t>
      </w:r>
    </w:p>
    <w:p>
      <w:pPr>
        <w:spacing w:after="0" w:line="193" w:lineRule="exact"/>
        <w:rPr>
          <w:rFonts w:ascii="Courier New" w:cs="Courier New" w:eastAsia="Courier New" w:hAnsi="Courier New"/>
          <w:sz w:val="16"/>
          <w:szCs w:val="16"/>
          <w:color w:val="auto"/>
        </w:rPr>
      </w:pPr>
    </w:p>
    <w:p>
      <w:pPr>
        <w:ind w:left="2980" w:hanging="387"/>
        <w:spacing w:after="0"/>
        <w:tabs>
          <w:tab w:leader="none" w:pos="2980" w:val="left"/>
        </w:tabs>
        <w:numPr>
          <w:ilvl w:val="1"/>
          <w:numId w:val="1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purposes of this Agreement, "Total Profit"</w:t>
      </w:r>
    </w:p>
    <w:p>
      <w:pPr>
        <w:spacing w:after="0" w:line="5" w:lineRule="exact"/>
        <w:rPr>
          <w:rFonts w:ascii="Courier New" w:cs="Courier New" w:eastAsia="Courier New" w:hAnsi="Courier New"/>
          <w:sz w:val="16"/>
          <w:szCs w:val="16"/>
          <w:color w:val="auto"/>
        </w:rPr>
      </w:pPr>
    </w:p>
    <w:p>
      <w:pPr>
        <w:ind w:right="253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shall mean: (i) the aggregate amount (before taxes) of (A) the excess of (x) the net cash amounts or fair market value of any property received by Grantee pursuant to a sale of Option Shares (or securities into which such shares are converted or exchanged), other than to a wholly-owned subsidiary of Grantee, or a repurchase of Option Shares by Issuer pursuant to Section 8 hereof, after payment of applicable brokerage or sales commissions and discounts, over (y) Grantee's aggregate purchase price for such Option Shares (or other securities), plus (B) all amounts received by Grantee upon the repurchase of the Option by Issuer pursuant to Section 8 hereof, plus (C) all equivalent net amounts with respect to the Substitute Option and any amounts paid pursuant to Section 7(f) hereof, plus (D) all amounts theretofore received by Grantee pursuant to Section 7.2(b) of the Merger Agreement, minus (ii) all amounts of cash previously paid to Issuer pursuant to Section 13(a) plus the value of the Option Shares (or other securities) previously delivered to Issuer for cancellation pursuant to Section 13(a), which value shall be deemed to be the aggregate Purchase Price paid for such Option Shares (or other securities). For purposes of this Agreement, "Notional Total Profit" with respect to any number of shares as to which Grantee may propose to exercise the Option shall be the Total Profit, determined as of the date of such proposed exercise assuming that the Option were exercised on such date for such number of shares, and assuming that such shares, together with all other Option Shares held by Grantee and its affiliates as of such date, were sold for cash at the closing market price for the Issuer Common Stock as of the close of business on the preceding trading day (less customary brokerage commissions). For purposes of this Section 13, transactions by a wholly-owned</w:t>
      </w:r>
    </w:p>
    <w:p>
      <w:pPr>
        <w:spacing w:after="0" w:line="195"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10219"/>
          </w:cols>
          <w:pgMar w:left="240" w:top="300" w:right="1440" w:bottom="1440" w:gutter="0" w:footer="0" w:header="0"/>
        </w:sectPr>
      </w:pPr>
    </w:p>
    <w:bookmarkStart w:id="96" w:name="page97"/>
    <w:bookmarkEnd w:id="96"/>
    <w:p>
      <w:pPr>
        <w:ind w:left="280"/>
        <w:spacing w:after="0"/>
        <w:rPr>
          <w:sz w:val="20"/>
          <w:szCs w:val="20"/>
          <w:color w:val="auto"/>
        </w:rPr>
      </w:pPr>
      <w:r>
        <w:rPr>
          <w:rFonts w:ascii="Courier New" w:cs="Courier New" w:eastAsia="Courier New" w:hAnsi="Courier New"/>
          <w:sz w:val="16"/>
          <w:szCs w:val="16"/>
          <w:color w:val="auto"/>
        </w:rPr>
        <w:t>18</w:t>
      </w:r>
    </w:p>
    <w:p>
      <w:pPr>
        <w:spacing w:after="0" w:line="5" w:lineRule="exact"/>
        <w:rPr>
          <w:sz w:val="20"/>
          <w:szCs w:val="20"/>
          <w:color w:val="auto"/>
        </w:rPr>
      </w:pPr>
    </w:p>
    <w:p>
      <w:pPr>
        <w:ind w:right="3119"/>
        <w:spacing w:after="0" w:line="242" w:lineRule="auto"/>
        <w:rPr>
          <w:sz w:val="20"/>
          <w:szCs w:val="20"/>
          <w:color w:val="auto"/>
        </w:rPr>
      </w:pPr>
      <w:r>
        <w:rPr>
          <w:rFonts w:ascii="Courier New" w:cs="Courier New" w:eastAsia="Courier New" w:hAnsi="Courier New"/>
          <w:sz w:val="16"/>
          <w:szCs w:val="16"/>
          <w:color w:val="auto"/>
        </w:rPr>
        <w:t>subsidiary transferee of Grantee in respect of the Option or Option Shares transferred to it shall be treated as if made by Grantee.</w:t>
      </w:r>
    </w:p>
    <w:p>
      <w:pPr>
        <w:spacing w:after="0" w:line="189" w:lineRule="exact"/>
        <w:rPr>
          <w:sz w:val="20"/>
          <w:szCs w:val="20"/>
          <w:color w:val="auto"/>
        </w:rPr>
      </w:pPr>
    </w:p>
    <w:p>
      <w:pPr>
        <w:ind w:right="2639" w:firstLine="2593"/>
        <w:spacing w:after="0" w:line="244" w:lineRule="auto"/>
        <w:tabs>
          <w:tab w:leader="none" w:pos="2978" w:val="left"/>
        </w:tabs>
        <w:numPr>
          <w:ilvl w:val="1"/>
          <w:numId w:val="1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any other provision of this Agreement, nothing in this Agreement shall affect the ability of Grantee to receive, nor relieve Issuer's obligation to pay, any payment provided for in Section 7.2(b) of the Merger Agreement; provided, that if and to the extent the Total Profit received by Grantee would exceed the Maximum Profit following receipt of such payment, Grantee shall be obligated to comply with the terms of Section 13(a) within 15 days of the date on which Grantee has realized cash and/or property representing Total Profit in excess of Maximum Profit.</w:t>
      </w:r>
    </w:p>
    <w:p>
      <w:pPr>
        <w:spacing w:after="0" w:line="186" w:lineRule="exact"/>
        <w:rPr>
          <w:rFonts w:ascii="Courier New" w:cs="Courier New" w:eastAsia="Courier New" w:hAnsi="Courier New"/>
          <w:sz w:val="16"/>
          <w:szCs w:val="16"/>
          <w:color w:val="auto"/>
        </w:rPr>
      </w:pPr>
    </w:p>
    <w:p>
      <w:pPr>
        <w:ind w:left="2120" w:hanging="392"/>
        <w:spacing w:after="0"/>
        <w:tabs>
          <w:tab w:leader="none" w:pos="2120" w:val="left"/>
        </w:tabs>
        <w:numPr>
          <w:ilvl w:val="0"/>
          <w:numId w:val="1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Miscellaneous.</w:t>
      </w:r>
    </w:p>
    <w:p>
      <w:pPr>
        <w:spacing w:after="0" w:line="190" w:lineRule="exact"/>
        <w:rPr>
          <w:rFonts w:ascii="Courier New" w:cs="Courier New" w:eastAsia="Courier New" w:hAnsi="Courier New"/>
          <w:sz w:val="16"/>
          <w:szCs w:val="16"/>
          <w:color w:val="auto"/>
        </w:rPr>
      </w:pPr>
    </w:p>
    <w:p>
      <w:pPr>
        <w:ind w:right="2539" w:firstLine="2593"/>
        <w:spacing w:after="0" w:line="264" w:lineRule="auto"/>
        <w:tabs>
          <w:tab w:leader="none" w:pos="2978" w:val="left"/>
        </w:tabs>
        <w:numPr>
          <w:ilvl w:val="1"/>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Expenses. Except as otherwise provided herein or in the Merger Agreement, each of the parties hereto shall bear and pay all costs and expenses incurred by it or on its behalf in connection with the transactions contemplated hereunder, including, without limitation, fees and expenses of its own financial consultants, investment bankers, accountants and counsel.</w:t>
      </w:r>
    </w:p>
    <w:p>
      <w:pPr>
        <w:spacing w:after="0" w:line="172" w:lineRule="exact"/>
        <w:rPr>
          <w:rFonts w:ascii="Courier New" w:cs="Courier New" w:eastAsia="Courier New" w:hAnsi="Courier New"/>
          <w:sz w:val="15"/>
          <w:szCs w:val="15"/>
          <w:color w:val="auto"/>
        </w:rPr>
      </w:pPr>
    </w:p>
    <w:p>
      <w:pPr>
        <w:ind w:left="2980" w:hanging="387"/>
        <w:spacing w:after="0"/>
        <w:tabs>
          <w:tab w:leader="none" w:pos="2980" w:val="left"/>
        </w:tabs>
        <w:numPr>
          <w:ilvl w:val="1"/>
          <w:numId w:val="1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Waiver and Amendment. Any provision of this</w:t>
      </w:r>
    </w:p>
    <w:p>
      <w:pPr>
        <w:spacing w:after="0" w:line="5" w:lineRule="exact"/>
        <w:rPr>
          <w:rFonts w:ascii="Courier New" w:cs="Courier New" w:eastAsia="Courier New" w:hAnsi="Courier New"/>
          <w:sz w:val="16"/>
          <w:szCs w:val="16"/>
          <w:color w:val="auto"/>
        </w:rPr>
      </w:pPr>
    </w:p>
    <w:p>
      <w:pPr>
        <w:ind w:right="2539"/>
        <w:spacing w:after="0" w:line="262"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Agreement may be waived at any time by the party that is entitled to the benefits of such provision. This Agreement may not be modified, amended, altered or supplemented except upon the execution and delivery of a written agreement executed by the parties hereto. The failure of any party to this Agreement to assert any of its rights under this Agreement or otherwise shall not constitute a waiver of such rights. No single or partial exercise of any right, remedy, power or privilege hereunder shall preclude any other or further exercise thereof or the exercise of any other right, remedy, power or privilege. Any waiver shall be effective only in the specific instance and for the specific purpose for which given and shall not constitute a waiver to any subsequent or other exercise of any right, remedy, power or privilege hereunder.</w:t>
      </w:r>
    </w:p>
    <w:p>
      <w:pPr>
        <w:spacing w:after="0" w:line="362" w:lineRule="exact"/>
        <w:rPr>
          <w:rFonts w:ascii="Courier New" w:cs="Courier New" w:eastAsia="Courier New" w:hAnsi="Courier New"/>
          <w:sz w:val="16"/>
          <w:szCs w:val="16"/>
          <w:color w:val="auto"/>
        </w:rPr>
      </w:pPr>
    </w:p>
    <w:p>
      <w:pPr>
        <w:ind w:right="2539" w:firstLine="2593"/>
        <w:spacing w:after="0" w:line="244" w:lineRule="auto"/>
        <w:tabs>
          <w:tab w:leader="none" w:pos="2978" w:val="left"/>
        </w:tabs>
        <w:numPr>
          <w:ilvl w:val="1"/>
          <w:numId w:val="1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Entire Agreement; No Third-Party Beneficiaries; Severability. This Agreement, together with the Merger Agreement and the other documents and instruments referred to herein and therein, between Grantee and Issuer constitutes the entire agreement and supersedes all prior agreements and understandings, both written and oral, between the parties with respect to the subject matter hereof. This Agreement is not intended to confer upon any person other than the parties hereto (or their respective successors and assigns) (other than any transferees of the Option Shares or any permitted transferee of this Agreement pursuant to Section 14(h)) any rights, remedies, obligations or liabilities hereunder. If any term, provision, covenant or restriction of this Agreement is held by a court of competent jurisdiction or Governmental Entity to be invalid, void or unenforceable, the remainder of the terms, provisions, covenants and restrictions of this Agreement shall remain in full force and effect and shall in no way be affected impaired or invalidated. If for any reason such court or Governmental Entity determines that the Option does not permit Grantee to acquire, or does not require Issuer to repurchase, the full number of shares of Issuer Common Stock as provided in Section 2 (as may be adjusted herein), it is the express intention of Issuer to allow Grantee to acquire or to require Issuer to repurchase such lesser number of shares as may be permissible without any amendment or modification hereof.</w:t>
      </w:r>
    </w:p>
    <w:p>
      <w:pPr>
        <w:spacing w:after="0" w:line="37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18</w:t>
      </w:r>
    </w:p>
    <w:p>
      <w:pPr>
        <w:sectPr>
          <w:pgSz w:w="11900" w:h="16838" w:orient="portrait"/>
          <w:cols w:equalWidth="0" w:num="1">
            <w:col w:w="10219"/>
          </w:cols>
          <w:pgMar w:left="240" w:top="300" w:right="1440" w:bottom="1440" w:gutter="0" w:footer="0" w:header="0"/>
        </w:sectPr>
      </w:pPr>
    </w:p>
    <w:bookmarkStart w:id="97" w:name="page98"/>
    <w:bookmarkEnd w:id="97"/>
    <w:p>
      <w:pPr>
        <w:ind w:left="280"/>
        <w:spacing w:after="0"/>
        <w:rPr>
          <w:sz w:val="20"/>
          <w:szCs w:val="20"/>
          <w:color w:val="auto"/>
        </w:rPr>
      </w:pPr>
      <w:r>
        <w:rPr>
          <w:rFonts w:ascii="Courier New" w:cs="Courier New" w:eastAsia="Courier New" w:hAnsi="Courier New"/>
          <w:sz w:val="16"/>
          <w:szCs w:val="16"/>
          <w:color w:val="auto"/>
        </w:rPr>
        <w:t>19</w:t>
      </w:r>
    </w:p>
    <w:p>
      <w:pPr>
        <w:spacing w:after="0" w:line="4" w:lineRule="exact"/>
        <w:rPr>
          <w:sz w:val="20"/>
          <w:szCs w:val="20"/>
          <w:color w:val="auto"/>
        </w:rPr>
      </w:pPr>
    </w:p>
    <w:p>
      <w:pPr>
        <w:ind w:left="2980" w:hanging="387"/>
        <w:spacing w:after="0"/>
        <w:tabs>
          <w:tab w:leader="none" w:pos="2980" w:val="left"/>
        </w:tabs>
        <w:numPr>
          <w:ilvl w:val="0"/>
          <w:numId w:val="1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Governing Law. This Agreement shall be governed</w:t>
      </w:r>
    </w:p>
    <w:p>
      <w:pPr>
        <w:spacing w:after="0" w:line="5" w:lineRule="exact"/>
        <w:rPr>
          <w:rFonts w:ascii="Courier New" w:cs="Courier New" w:eastAsia="Courier New" w:hAnsi="Courier New"/>
          <w:sz w:val="16"/>
          <w:szCs w:val="16"/>
          <w:color w:val="auto"/>
        </w:rPr>
      </w:pPr>
    </w:p>
    <w:p>
      <w:pPr>
        <w:ind w:right="3019"/>
        <w:spacing w:after="0" w:line="24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and construed in accordance with the laws of the State of Delaware (without giving effect to choice of law principles thereof).</w:t>
      </w:r>
    </w:p>
    <w:p>
      <w:pPr>
        <w:spacing w:after="0" w:line="188" w:lineRule="exact"/>
        <w:rPr>
          <w:rFonts w:ascii="Courier New" w:cs="Courier New" w:eastAsia="Courier New" w:hAnsi="Courier New"/>
          <w:sz w:val="16"/>
          <w:szCs w:val="16"/>
          <w:color w:val="auto"/>
        </w:rPr>
      </w:pPr>
    </w:p>
    <w:p>
      <w:pPr>
        <w:ind w:right="2719" w:firstLine="2593"/>
        <w:spacing w:after="0" w:line="243" w:lineRule="auto"/>
        <w:tabs>
          <w:tab w:leader="none" w:pos="2978" w:val="left"/>
        </w:tabs>
        <w:numPr>
          <w:ilvl w:val="0"/>
          <w:numId w:val="1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Descriptive Headings. The descriptive headings contained herein are for convenience of reference only and shall not affect in any way the meaning or interpretation of this Agreement.</w:t>
      </w:r>
    </w:p>
    <w:p>
      <w:pPr>
        <w:spacing w:after="0" w:line="186" w:lineRule="exact"/>
        <w:rPr>
          <w:rFonts w:ascii="Courier New" w:cs="Courier New" w:eastAsia="Courier New" w:hAnsi="Courier New"/>
          <w:sz w:val="16"/>
          <w:szCs w:val="16"/>
          <w:color w:val="auto"/>
        </w:rPr>
      </w:pPr>
    </w:p>
    <w:p>
      <w:pPr>
        <w:ind w:left="2980" w:hanging="387"/>
        <w:spacing w:after="0"/>
        <w:tabs>
          <w:tab w:leader="none" w:pos="2980" w:val="left"/>
        </w:tabs>
        <w:numPr>
          <w:ilvl w:val="0"/>
          <w:numId w:val="1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Notices. All notices and other communications</w:t>
      </w:r>
    </w:p>
    <w:p>
      <w:pPr>
        <w:spacing w:after="0" w:line="5" w:lineRule="exact"/>
        <w:rPr>
          <w:rFonts w:ascii="Courier New" w:cs="Courier New" w:eastAsia="Courier New" w:hAnsi="Courier New"/>
          <w:sz w:val="16"/>
          <w:szCs w:val="16"/>
          <w:color w:val="auto"/>
        </w:rPr>
      </w:pPr>
    </w:p>
    <w:p>
      <w:pPr>
        <w:ind w:right="253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hereunder shall be in writing and shall be deemed given if delivered personally, telecopied (with confirmation) or mailed by registered or certified mail (return receipt requested) to the parties at the addresses set forth in the Merger Agreement (or at such other address for a party as shall be specified by like notice).</w:t>
      </w:r>
    </w:p>
    <w:p>
      <w:pPr>
        <w:spacing w:after="0" w:line="187" w:lineRule="exact"/>
        <w:rPr>
          <w:rFonts w:ascii="Courier New" w:cs="Courier New" w:eastAsia="Courier New" w:hAnsi="Courier New"/>
          <w:sz w:val="16"/>
          <w:szCs w:val="16"/>
          <w:color w:val="auto"/>
        </w:rPr>
      </w:pPr>
    </w:p>
    <w:p>
      <w:pPr>
        <w:ind w:right="2719" w:firstLine="2593"/>
        <w:spacing w:after="0" w:line="244" w:lineRule="auto"/>
        <w:tabs>
          <w:tab w:leader="none" w:pos="2978" w:val="left"/>
        </w:tabs>
        <w:numPr>
          <w:ilvl w:val="0"/>
          <w:numId w:val="1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Counterparts. This Agreement and any amendments hereto may be executed in two counterparts, each of which shall be considered one and the same agreement and shall become effective when both counterparts have been signed, it being understood that both parties need not sign the same counterpart.</w:t>
      </w:r>
    </w:p>
    <w:p>
      <w:pPr>
        <w:spacing w:after="0" w:line="187" w:lineRule="exact"/>
        <w:rPr>
          <w:rFonts w:ascii="Courier New" w:cs="Courier New" w:eastAsia="Courier New" w:hAnsi="Courier New"/>
          <w:sz w:val="16"/>
          <w:szCs w:val="16"/>
          <w:color w:val="auto"/>
        </w:rPr>
      </w:pPr>
    </w:p>
    <w:p>
      <w:pPr>
        <w:ind w:right="2539" w:firstLine="2593"/>
        <w:spacing w:after="0" w:line="244" w:lineRule="auto"/>
        <w:tabs>
          <w:tab w:leader="none" w:pos="2978" w:val="left"/>
        </w:tabs>
        <w:numPr>
          <w:ilvl w:val="0"/>
          <w:numId w:val="1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Assignment. Neither this Agreement nor any of the rights, interests or obligations hereunder or under the Option shall be assigned by any of the parties hereto (whether by operation of law or otherwise) without the prior written consent of the other party, except that Grantee may assign this Agreement to a wholly-owned Subsidiary of Grantee (in which event the term "Grantee" as used herein shall be deemed to refer to such Subsidiary). Subject to the preceding sentence, this Agreement shall be binding upon, inure to the benefit of and be enforceable by the parties and their respective successors and permitted assigns. For the avoidance of doubt, nothing in this paragraph (h) shall prohibit Issuer from engaging in a transaction contemplated by Section 7(b) in accordance with the provisions of Section 7(b), provided that the terms of this Agreement and the Merger Agreement shall remain applicable with respect to any such transaction.</w:t>
      </w:r>
    </w:p>
    <w:p>
      <w:pPr>
        <w:spacing w:after="0" w:line="191" w:lineRule="exact"/>
        <w:rPr>
          <w:rFonts w:ascii="Courier New" w:cs="Courier New" w:eastAsia="Courier New" w:hAnsi="Courier New"/>
          <w:sz w:val="16"/>
          <w:szCs w:val="16"/>
          <w:color w:val="auto"/>
        </w:rPr>
      </w:pPr>
    </w:p>
    <w:p>
      <w:pPr>
        <w:ind w:right="2539" w:firstLine="2593"/>
        <w:spacing w:after="0" w:line="265" w:lineRule="auto"/>
        <w:tabs>
          <w:tab w:leader="none" w:pos="2978"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Further Assurances. In the event of any exercise of the Option by Grantee, Issuer and Grantee shall execute and deliver all other documents and instruments and take all other action that may be reasonably necessary in order to consummate the transactions provided for by such exercise.</w:t>
      </w:r>
    </w:p>
    <w:p>
      <w:pPr>
        <w:spacing w:after="0" w:line="171" w:lineRule="exact"/>
        <w:rPr>
          <w:rFonts w:ascii="Courier New" w:cs="Courier New" w:eastAsia="Courier New" w:hAnsi="Courier New"/>
          <w:sz w:val="15"/>
          <w:szCs w:val="15"/>
          <w:color w:val="auto"/>
        </w:rPr>
      </w:pPr>
    </w:p>
    <w:p>
      <w:pPr>
        <w:ind w:left="2980" w:hanging="387"/>
        <w:spacing w:after="0"/>
        <w:tabs>
          <w:tab w:leader="none" w:pos="2980" w:val="left"/>
        </w:tabs>
        <w:numPr>
          <w:ilvl w:val="0"/>
          <w:numId w:val="1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Enforcement. The parties agree that irreparable</w:t>
      </w:r>
    </w:p>
    <w:p>
      <w:pPr>
        <w:spacing w:after="0" w:line="5" w:lineRule="exact"/>
        <w:rPr>
          <w:rFonts w:ascii="Courier New" w:cs="Courier New" w:eastAsia="Courier New" w:hAnsi="Courier New"/>
          <w:sz w:val="16"/>
          <w:szCs w:val="16"/>
          <w:color w:val="auto"/>
        </w:rPr>
      </w:pPr>
    </w:p>
    <w:p>
      <w:pPr>
        <w:ind w:right="253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damage would occur in the event that any of the provisions of this Agreement were not performed in accordance with their specific terms or were otherwise breached. It is accordingly agreed that the parties shall be entitled to an injunction or injunctions to prevent breaches of this Agreement and to enforce specifically the terms and provisions of this Agreement in any Federal court or New York State court sitting in the Borough of Manhattan, City of New York, this being in addition to any other remedy to which they are entitled at law or in equity.</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19</w:t>
      </w:r>
    </w:p>
    <w:p>
      <w:pPr>
        <w:sectPr>
          <w:pgSz w:w="11900" w:h="16838" w:orient="portrait"/>
          <w:cols w:equalWidth="0" w:num="1">
            <w:col w:w="10219"/>
          </w:cols>
          <w:pgMar w:left="240" w:top="300" w:right="1440" w:bottom="1440" w:gutter="0" w:footer="0" w:header="0"/>
        </w:sectPr>
      </w:pPr>
    </w:p>
    <w:bookmarkStart w:id="98" w:name="page99"/>
    <w:bookmarkEnd w:id="98"/>
    <w:p>
      <w:pPr>
        <w:ind w:left="280"/>
        <w:spacing w:after="0"/>
        <w:rPr>
          <w:sz w:val="20"/>
          <w:szCs w:val="20"/>
          <w:color w:val="auto"/>
        </w:rPr>
      </w:pPr>
      <w:r>
        <w:rPr>
          <w:rFonts w:ascii="Courier New" w:cs="Courier New" w:eastAsia="Courier New" w:hAnsi="Courier New"/>
          <w:sz w:val="16"/>
          <w:szCs w:val="16"/>
          <w:color w:val="auto"/>
        </w:rPr>
        <w:t>20</w:t>
      </w:r>
    </w:p>
    <w:p>
      <w:pPr>
        <w:spacing w:after="0" w:line="5" w:lineRule="exact"/>
        <w:rPr>
          <w:sz w:val="20"/>
          <w:szCs w:val="20"/>
          <w:color w:val="auto"/>
        </w:rPr>
      </w:pPr>
    </w:p>
    <w:p>
      <w:pPr>
        <w:ind w:right="2639" w:firstLine="1729"/>
        <w:spacing w:after="0" w:line="243" w:lineRule="auto"/>
        <w:rPr>
          <w:sz w:val="20"/>
          <w:szCs w:val="20"/>
          <w:color w:val="auto"/>
        </w:rPr>
      </w:pPr>
      <w:r>
        <w:rPr>
          <w:rFonts w:ascii="Courier New" w:cs="Courier New" w:eastAsia="Courier New" w:hAnsi="Courier New"/>
          <w:sz w:val="16"/>
          <w:szCs w:val="16"/>
          <w:color w:val="auto"/>
        </w:rPr>
        <w:t>IN WITNESS WHEREOF, Issuer and Grantee have caused this Stock Option Agreement to be signed by their respective officers thereunto duly authorized, all as of the day and year first written above.</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THE CHASE MANHATTAN CORPORATION</w:t>
      </w:r>
    </w:p>
    <w:p>
      <w:pPr>
        <w:spacing w:after="0" w:line="373" w:lineRule="exact"/>
        <w:rPr>
          <w:sz w:val="20"/>
          <w:szCs w:val="20"/>
          <w:color w:val="auto"/>
        </w:rPr>
      </w:pPr>
    </w:p>
    <w:p>
      <w:pPr>
        <w:ind w:left="3360"/>
        <w:spacing w:after="0"/>
        <w:tabs>
          <w:tab w:leader="none" w:pos="3820" w:val="left"/>
        </w:tabs>
        <w:rPr>
          <w:sz w:val="20"/>
          <w:szCs w:val="20"/>
          <w:color w:val="auto"/>
        </w:rPr>
      </w:pPr>
      <w:r>
        <w:rPr>
          <w:rFonts w:ascii="Courier New" w:cs="Courier New" w:eastAsia="Courier New" w:hAnsi="Courier New"/>
          <w:sz w:val="16"/>
          <w:szCs w:val="16"/>
          <w:color w:val="auto"/>
        </w:rPr>
        <w:t>By:</w:t>
        <w:tab/>
        <w:t>/s/ William B. Harrison, Jr.</w:t>
      </w:r>
    </w:p>
    <w:p>
      <w:pPr>
        <w:spacing w:after="0" w:line="4"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Name: William B. Harrison, Jr.</w:t>
      </w:r>
    </w:p>
    <w:p>
      <w:pPr>
        <w:spacing w:after="0" w:line="4"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Title: Chairman and CEO</w:t>
      </w:r>
    </w:p>
    <w:p>
      <w:pPr>
        <w:spacing w:after="0" w:line="373"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J.P. MORGAN &amp; CO. INCORPORATED</w:t>
      </w:r>
    </w:p>
    <w:p>
      <w:pPr>
        <w:spacing w:after="0" w:line="200" w:lineRule="exact"/>
        <w:rPr>
          <w:sz w:val="20"/>
          <w:szCs w:val="20"/>
          <w:color w:val="auto"/>
        </w:rPr>
      </w:pPr>
    </w:p>
    <w:p>
      <w:pPr>
        <w:spacing w:after="0" w:line="358" w:lineRule="exact"/>
        <w:rPr>
          <w:sz w:val="20"/>
          <w:szCs w:val="20"/>
          <w:color w:val="auto"/>
        </w:rPr>
      </w:pPr>
    </w:p>
    <w:p>
      <w:pPr>
        <w:ind w:left="3360"/>
        <w:spacing w:after="0"/>
        <w:tabs>
          <w:tab w:leader="none" w:pos="3820" w:val="left"/>
        </w:tabs>
        <w:rPr>
          <w:sz w:val="20"/>
          <w:szCs w:val="20"/>
          <w:color w:val="auto"/>
        </w:rPr>
      </w:pPr>
      <w:r>
        <w:rPr>
          <w:rFonts w:ascii="Courier New" w:cs="Courier New" w:eastAsia="Courier New" w:hAnsi="Courier New"/>
          <w:sz w:val="16"/>
          <w:szCs w:val="16"/>
          <w:color w:val="auto"/>
        </w:rPr>
        <w:t>By:</w:t>
      </w:r>
      <w:r>
        <w:rPr>
          <w:sz w:val="20"/>
          <w:szCs w:val="20"/>
          <w:color w:val="auto"/>
        </w:rPr>
        <w:tab/>
      </w:r>
      <w:r>
        <w:rPr>
          <w:rFonts w:ascii="Courier New" w:cs="Courier New" w:eastAsia="Courier New" w:hAnsi="Courier New"/>
          <w:sz w:val="15"/>
          <w:szCs w:val="15"/>
          <w:color w:val="auto"/>
        </w:rPr>
        <w:t>/s/ Douglas A. Warner III</w:t>
      </w:r>
    </w:p>
    <w:p>
      <w:pPr>
        <w:spacing w:after="0" w:line="4"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Name: Douglas A. Warner III</w:t>
      </w:r>
    </w:p>
    <w:p>
      <w:pPr>
        <w:spacing w:after="0" w:line="4"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Title: Chairman and CEO</w:t>
      </w:r>
    </w:p>
    <w:p>
      <w:pPr>
        <w:sectPr>
          <w:pgSz w:w="11900" w:h="16838" w:orient="portrait"/>
          <w:cols w:equalWidth="0" w:num="1">
            <w:col w:w="10219"/>
          </w:cols>
          <w:pgMar w:left="240" w:top="300" w:right="1440" w:bottom="1440" w:gutter="0" w:footer="0" w:header="0"/>
        </w:sectPr>
      </w:pPr>
    </w:p>
    <w:bookmarkStart w:id="99" w:name="page100"/>
    <w:bookmarkEnd w:id="99"/>
    <w:p>
      <w:pPr>
        <w:ind w:left="280"/>
        <w:spacing w:after="0"/>
        <w:rPr>
          <w:sz w:val="20"/>
          <w:szCs w:val="20"/>
          <w:color w:val="auto"/>
        </w:rPr>
      </w:pPr>
      <w:r>
        <w:rPr>
          <w:rFonts w:ascii="Courier New" w:cs="Courier New" w:eastAsia="Courier New" w:hAnsi="Courier New"/>
          <w:sz w:val="16"/>
          <w:szCs w:val="16"/>
          <w:color w:val="auto"/>
        </w:rPr>
        <w:t>1</w:t>
      </w:r>
    </w:p>
    <w:p>
      <w:pPr>
        <w:spacing w:after="0" w:line="4" w:lineRule="exact"/>
        <w:rPr>
          <w:sz w:val="20"/>
          <w:szCs w:val="20"/>
          <w:color w:val="auto"/>
        </w:rPr>
      </w:pPr>
    </w:p>
    <w:p>
      <w:pPr>
        <w:jc w:val="right"/>
        <w:ind w:right="2539"/>
        <w:spacing w:after="0"/>
        <w:rPr>
          <w:sz w:val="20"/>
          <w:szCs w:val="20"/>
          <w:color w:val="auto"/>
        </w:rPr>
      </w:pPr>
      <w:r>
        <w:rPr>
          <w:rFonts w:ascii="Courier New" w:cs="Courier New" w:eastAsia="Courier New" w:hAnsi="Courier New"/>
          <w:sz w:val="16"/>
          <w:szCs w:val="16"/>
          <w:color w:val="auto"/>
        </w:rPr>
        <w:t>EXHIBIT 10.2</w:t>
      </w:r>
    </w:p>
    <w:p>
      <w:pPr>
        <w:spacing w:after="0" w:line="188" w:lineRule="exact"/>
        <w:rPr>
          <w:sz w:val="20"/>
          <w:szCs w:val="20"/>
          <w:color w:val="auto"/>
        </w:rPr>
      </w:pPr>
    </w:p>
    <w:p>
      <w:pPr>
        <w:jc w:val="right"/>
        <w:ind w:right="2539"/>
        <w:spacing w:after="0"/>
        <w:rPr>
          <w:sz w:val="20"/>
          <w:szCs w:val="20"/>
          <w:color w:val="auto"/>
        </w:rPr>
      </w:pPr>
      <w:r>
        <w:rPr>
          <w:rFonts w:ascii="Courier New" w:cs="Courier New" w:eastAsia="Courier New" w:hAnsi="Courier New"/>
          <w:sz w:val="16"/>
          <w:szCs w:val="16"/>
          <w:color w:val="auto"/>
        </w:rPr>
        <w:t>EXECUTION COPY</w:t>
      </w:r>
    </w:p>
    <w:p>
      <w:pPr>
        <w:spacing w:after="0" w:line="190" w:lineRule="exact"/>
        <w:rPr>
          <w:sz w:val="20"/>
          <w:szCs w:val="20"/>
          <w:color w:val="auto"/>
        </w:rPr>
      </w:pPr>
    </w:p>
    <w:p>
      <w:pPr>
        <w:jc w:val="center"/>
        <w:ind w:right="2539"/>
        <w:spacing w:after="0" w:line="243" w:lineRule="auto"/>
        <w:rPr>
          <w:sz w:val="20"/>
          <w:szCs w:val="20"/>
          <w:color w:val="auto"/>
        </w:rPr>
      </w:pPr>
      <w:r>
        <w:rPr>
          <w:rFonts w:ascii="Courier New" w:cs="Courier New" w:eastAsia="Courier New" w:hAnsi="Courier New"/>
          <w:sz w:val="16"/>
          <w:szCs w:val="16"/>
          <w:color w:val="auto"/>
        </w:rPr>
        <w:t>THE TRANSFER OF THIS AGREEMENT IS SUBJECT TO CERTAIN RESTRICTIONS CONTAINED HEREIN AND TO RESALE RESTRICTIONS UNDER THE SECURITIES ACT OF 1933, AS AMENDED</w:t>
      </w:r>
    </w:p>
    <w:p>
      <w:pPr>
        <w:spacing w:after="0" w:line="200" w:lineRule="exact"/>
        <w:rPr>
          <w:sz w:val="20"/>
          <w:szCs w:val="20"/>
          <w:color w:val="auto"/>
        </w:rPr>
      </w:pPr>
    </w:p>
    <w:p>
      <w:pPr>
        <w:spacing w:after="0" w:line="356" w:lineRule="exact"/>
        <w:rPr>
          <w:sz w:val="20"/>
          <w:szCs w:val="20"/>
          <w:color w:val="auto"/>
        </w:rPr>
      </w:pPr>
    </w:p>
    <w:p>
      <w:pPr>
        <w:ind w:left="2780"/>
        <w:spacing w:after="0"/>
        <w:rPr>
          <w:sz w:val="20"/>
          <w:szCs w:val="20"/>
          <w:color w:val="auto"/>
        </w:rPr>
      </w:pPr>
      <w:r>
        <w:rPr>
          <w:rFonts w:ascii="Courier New" w:cs="Courier New" w:eastAsia="Courier New" w:hAnsi="Courier New"/>
          <w:sz w:val="16"/>
          <w:szCs w:val="16"/>
          <w:color w:val="auto"/>
        </w:rPr>
        <w:t>STOCK OPTION AGREEMENT</w:t>
      </w:r>
    </w:p>
    <w:p>
      <w:pPr>
        <w:spacing w:after="0" w:line="190" w:lineRule="exact"/>
        <w:rPr>
          <w:sz w:val="20"/>
          <w:szCs w:val="20"/>
          <w:color w:val="auto"/>
        </w:rPr>
      </w:pPr>
    </w:p>
    <w:p>
      <w:pPr>
        <w:ind w:right="2719" w:firstLine="1729"/>
        <w:spacing w:after="0" w:line="243" w:lineRule="auto"/>
        <w:rPr>
          <w:sz w:val="20"/>
          <w:szCs w:val="20"/>
          <w:color w:val="auto"/>
        </w:rPr>
      </w:pPr>
      <w:r>
        <w:rPr>
          <w:rFonts w:ascii="Courier New" w:cs="Courier New" w:eastAsia="Courier New" w:hAnsi="Courier New"/>
          <w:sz w:val="16"/>
          <w:szCs w:val="16"/>
          <w:color w:val="auto"/>
        </w:rPr>
        <w:t>STOCK OPTION AGREEMENT, dated as of September 12, 2000 (this "Agreement"), by and between J.P. MORGAN &amp; CO. INCORPORATED, a Delaware corporation ("Issuer"), and THE CHASE MANHATTAN CORPORATION, a Delaware corporation ("Grantee").</w:t>
      </w:r>
    </w:p>
    <w:p>
      <w:pPr>
        <w:spacing w:after="0" w:line="190" w:lineRule="exact"/>
        <w:rPr>
          <w:sz w:val="20"/>
          <w:szCs w:val="20"/>
          <w:color w:val="auto"/>
        </w:rPr>
      </w:pPr>
    </w:p>
    <w:p>
      <w:pPr>
        <w:ind w:right="2539" w:firstLine="1729"/>
        <w:spacing w:after="0" w:line="243" w:lineRule="auto"/>
        <w:rPr>
          <w:sz w:val="20"/>
          <w:szCs w:val="20"/>
          <w:color w:val="auto"/>
        </w:rPr>
      </w:pPr>
      <w:r>
        <w:rPr>
          <w:rFonts w:ascii="Courier New" w:cs="Courier New" w:eastAsia="Courier New" w:hAnsi="Courier New"/>
          <w:sz w:val="16"/>
          <w:szCs w:val="16"/>
          <w:color w:val="auto"/>
        </w:rPr>
        <w:t>WHEREAS, Grantee and Issuer are concurrently herewith entering into an Agreement and Plan of Merger, dated as of the date hereof (the "Merger Agreement"), pursuant to which Issuer will be merged with and into Grantee, with Grantee being the surviving corporation (the "Merger"); and</w:t>
      </w:r>
    </w:p>
    <w:p>
      <w:pPr>
        <w:spacing w:after="0" w:line="190" w:lineRule="exact"/>
        <w:rPr>
          <w:sz w:val="20"/>
          <w:szCs w:val="20"/>
          <w:color w:val="auto"/>
        </w:rPr>
      </w:pPr>
    </w:p>
    <w:p>
      <w:pPr>
        <w:ind w:right="2639" w:firstLine="1729"/>
        <w:spacing w:after="0" w:line="243" w:lineRule="auto"/>
        <w:rPr>
          <w:sz w:val="20"/>
          <w:szCs w:val="20"/>
          <w:color w:val="auto"/>
        </w:rPr>
      </w:pPr>
      <w:r>
        <w:rPr>
          <w:rFonts w:ascii="Courier New" w:cs="Courier New" w:eastAsia="Courier New" w:hAnsi="Courier New"/>
          <w:sz w:val="16"/>
          <w:szCs w:val="16"/>
          <w:color w:val="auto"/>
        </w:rPr>
        <w:t>WHEREAS, as a condition and inducement to Grantee's execution of the Merger Agreement and the Chase Stock Option Agreement (as defined in the Merger Agreement), Grantee has required that Issuer agree, and Issuer has agreed, to grant Grantee the Option (as defined in Section 2).</w:t>
      </w:r>
    </w:p>
    <w:p>
      <w:pPr>
        <w:spacing w:after="0" w:line="190" w:lineRule="exact"/>
        <w:rPr>
          <w:sz w:val="20"/>
          <w:szCs w:val="20"/>
          <w:color w:val="auto"/>
        </w:rPr>
      </w:pPr>
    </w:p>
    <w:p>
      <w:pPr>
        <w:ind w:right="2819" w:firstLine="1729"/>
        <w:spacing w:after="0" w:line="243" w:lineRule="auto"/>
        <w:rPr>
          <w:sz w:val="20"/>
          <w:szCs w:val="20"/>
          <w:color w:val="auto"/>
        </w:rPr>
      </w:pPr>
      <w:r>
        <w:rPr>
          <w:rFonts w:ascii="Courier New" w:cs="Courier New" w:eastAsia="Courier New" w:hAnsi="Courier New"/>
          <w:sz w:val="16"/>
          <w:szCs w:val="16"/>
          <w:color w:val="auto"/>
        </w:rPr>
        <w:t>NOW, THEREFORE, in consideration of the foregoing and the respective representations, warranties, covenants and agreements set forth herein and in the Merger Agreement, and intending to be legally bound hereby, Issuer and Grantee agree as follows:</w:t>
      </w:r>
    </w:p>
    <w:p>
      <w:pPr>
        <w:spacing w:after="0" w:line="190" w:lineRule="exact"/>
        <w:rPr>
          <w:sz w:val="20"/>
          <w:szCs w:val="20"/>
          <w:color w:val="auto"/>
        </w:rPr>
      </w:pPr>
    </w:p>
    <w:p>
      <w:pPr>
        <w:ind w:right="2919" w:firstLine="1728"/>
        <w:spacing w:after="0" w:line="243" w:lineRule="auto"/>
        <w:tabs>
          <w:tab w:leader="none" w:pos="2018" w:val="left"/>
        </w:tabs>
        <w:numPr>
          <w:ilvl w:val="0"/>
          <w:numId w:val="1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Defined Terms. Capitalized terms which are used but not defined herein shall have the meanings ascribed to such terms in the Merger Agreement.</w:t>
      </w:r>
    </w:p>
    <w:p>
      <w:pPr>
        <w:spacing w:after="0" w:line="188" w:lineRule="exact"/>
        <w:rPr>
          <w:rFonts w:ascii="Courier New" w:cs="Courier New" w:eastAsia="Courier New" w:hAnsi="Courier New"/>
          <w:sz w:val="16"/>
          <w:szCs w:val="16"/>
          <w:color w:val="auto"/>
        </w:rPr>
      </w:pPr>
    </w:p>
    <w:p>
      <w:pPr>
        <w:ind w:right="2539" w:firstLine="1728"/>
        <w:spacing w:after="0" w:line="244" w:lineRule="auto"/>
        <w:tabs>
          <w:tab w:leader="none" w:pos="2018" w:val="left"/>
        </w:tabs>
        <w:numPr>
          <w:ilvl w:val="0"/>
          <w:numId w:val="1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Grant of Option. Subject to the terms and conditions set forth herein, Issuer hereby grants to Grantee an irrevocable option (the "Option") to purchase up to 31,596,653 shares (as adjusted as set forth herein, the "Option Shares") of common stock, par value $2.50 per share, of Issuer (the "Issuer Common Stock") at a purchase price per Option Share (as adjusted as set forth herein, the "Purchase Price") of $208.13; provided, that in no event shall the number of Option Shares for which this Option is exercisable exceed 19.9% of the issued and outstanding shares of Issuer Common Stock on the date hereof. Issuer shall make proper provision so that each Option Share issued upon exercise of the Option shall be accompanied by the applicable number of rights or other benefits as may be provided in any Issuer rights agreement or similar agreement that may be adopted after the date hereof.</w:t>
      </w:r>
    </w:p>
    <w:p>
      <w:pPr>
        <w:spacing w:after="0" w:line="188" w:lineRule="exact"/>
        <w:rPr>
          <w:rFonts w:ascii="Courier New" w:cs="Courier New" w:eastAsia="Courier New" w:hAnsi="Courier New"/>
          <w:sz w:val="16"/>
          <w:szCs w:val="16"/>
          <w:color w:val="auto"/>
        </w:rPr>
      </w:pPr>
    </w:p>
    <w:p>
      <w:pPr>
        <w:ind w:left="2600" w:hanging="872"/>
        <w:spacing w:after="0"/>
        <w:tabs>
          <w:tab w:leader="none" w:pos="2600" w:val="left"/>
        </w:tabs>
        <w:numPr>
          <w:ilvl w:val="0"/>
          <w:numId w:val="1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Exercise of Option.</w:t>
      </w:r>
    </w:p>
    <w:p>
      <w:pPr>
        <w:spacing w:after="0" w:line="190" w:lineRule="exact"/>
        <w:rPr>
          <w:rFonts w:ascii="Courier New" w:cs="Courier New" w:eastAsia="Courier New" w:hAnsi="Courier New"/>
          <w:sz w:val="16"/>
          <w:szCs w:val="16"/>
          <w:color w:val="auto"/>
        </w:rPr>
      </w:pPr>
    </w:p>
    <w:p>
      <w:pPr>
        <w:jc w:val="both"/>
        <w:ind w:right="2719" w:firstLine="2593"/>
        <w:spacing w:after="0" w:line="243" w:lineRule="auto"/>
        <w:tabs>
          <w:tab w:leader="none" w:pos="2978" w:val="left"/>
        </w:tabs>
        <w:numPr>
          <w:ilvl w:val="1"/>
          <w:numId w:val="1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Grantee may exercise the Option, in whole or in part, at any time and from time to time following the occurrence of a Purchase Event (as defined in Section 3(b)); provided, that the Option shall terminate and be of no further force or effect upon the earliest to</w:t>
      </w:r>
    </w:p>
    <w:p>
      <w:pPr>
        <w:sectPr>
          <w:pgSz w:w="11900" w:h="16838" w:orient="portrait"/>
          <w:cols w:equalWidth="0" w:num="1">
            <w:col w:w="10219"/>
          </w:cols>
          <w:pgMar w:left="240" w:top="140" w:right="1440" w:bottom="1440" w:gutter="0" w:footer="0" w:header="0"/>
        </w:sectPr>
      </w:pPr>
    </w:p>
    <w:bookmarkStart w:id="100" w:name="page101"/>
    <w:bookmarkEnd w:id="100"/>
    <w:p>
      <w:pPr>
        <w:ind w:left="280"/>
        <w:spacing w:after="0"/>
        <w:rPr>
          <w:sz w:val="20"/>
          <w:szCs w:val="20"/>
          <w:color w:val="auto"/>
        </w:rPr>
      </w:pPr>
      <w:r>
        <w:rPr>
          <w:rFonts w:ascii="Courier New" w:cs="Courier New" w:eastAsia="Courier New" w:hAnsi="Courier New"/>
          <w:sz w:val="16"/>
          <w:szCs w:val="16"/>
          <w:color w:val="auto"/>
        </w:rPr>
        <w:t>2</w:t>
      </w:r>
    </w:p>
    <w:p>
      <w:pPr>
        <w:spacing w:after="0" w:line="5" w:lineRule="exact"/>
        <w:rPr>
          <w:sz w:val="20"/>
          <w:szCs w:val="20"/>
          <w:color w:val="auto"/>
        </w:rPr>
      </w:pPr>
    </w:p>
    <w:p>
      <w:pPr>
        <w:ind w:right="2639"/>
        <w:spacing w:after="0" w:line="262" w:lineRule="auto"/>
        <w:rPr>
          <w:sz w:val="20"/>
          <w:szCs w:val="20"/>
          <w:color w:val="auto"/>
        </w:rPr>
      </w:pPr>
      <w:r>
        <w:rPr>
          <w:rFonts w:ascii="Courier New" w:cs="Courier New" w:eastAsia="Courier New" w:hAnsi="Courier New"/>
          <w:sz w:val="15"/>
          <w:szCs w:val="15"/>
          <w:color w:val="auto"/>
        </w:rPr>
        <w:t>occur of (A) the Effective Time, (B) termination of the Merger Agreement in accordance with the terms thereof so long as, in the case of this clause (B), a Purchase Event has not occurred and could not occur in the future, (C) the date that Grantee's Total Profit equals $1.25 billion, and (D) the date which is 90 days after the occurrence of a Purchase Event; and provided, further, that any purchase of shares upon exercise of the Option shall be subject to compliance with applicable law; and provided, further, that Grantee shall have sent the written notice of such exercise (as provided in Section 3(d)) within 90 days following such Purchase Event. Notwithstanding the termination of the Option, Grantee shall be entitled to purchase those Option Shares with respect to which it has exercised the Option in accordance herewith prior to the termination of the Option. The termination of the Option shall not affect any rights hereunder which by their terms extend beyond the date of such termination.</w:t>
      </w:r>
    </w:p>
    <w:p>
      <w:pPr>
        <w:spacing w:after="0" w:line="173" w:lineRule="exact"/>
        <w:rPr>
          <w:sz w:val="20"/>
          <w:szCs w:val="20"/>
          <w:color w:val="auto"/>
        </w:rPr>
      </w:pPr>
    </w:p>
    <w:p>
      <w:pPr>
        <w:jc w:val="center"/>
        <w:ind w:right="139"/>
        <w:spacing w:after="0"/>
        <w:rPr>
          <w:sz w:val="20"/>
          <w:szCs w:val="20"/>
          <w:color w:val="auto"/>
        </w:rPr>
      </w:pPr>
      <w:r>
        <w:rPr>
          <w:rFonts w:ascii="Courier New" w:cs="Courier New" w:eastAsia="Courier New" w:hAnsi="Courier New"/>
          <w:sz w:val="16"/>
          <w:szCs w:val="16"/>
          <w:color w:val="auto"/>
        </w:rPr>
        <w:t>(b) As used herein, a "Purchase Event" means any of</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following events:</w:t>
      </w:r>
    </w:p>
    <w:p>
      <w:pPr>
        <w:spacing w:after="0" w:line="188" w:lineRule="exact"/>
        <w:rPr>
          <w:sz w:val="20"/>
          <w:szCs w:val="20"/>
          <w:color w:val="auto"/>
        </w:rPr>
      </w:pPr>
    </w:p>
    <w:p>
      <w:pPr>
        <w:ind w:left="3840" w:hanging="383"/>
        <w:spacing w:after="0"/>
        <w:tabs>
          <w:tab w:leader="none" w:pos="3840" w:val="left"/>
        </w:tabs>
        <w:numPr>
          <w:ilvl w:val="0"/>
          <w:numId w:val="1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prior to the termination of the Merger</w:t>
      </w:r>
    </w:p>
    <w:p>
      <w:pPr>
        <w:spacing w:after="0" w:line="5" w:lineRule="exact"/>
        <w:rPr>
          <w:rFonts w:ascii="Courier New" w:cs="Courier New" w:eastAsia="Courier New" w:hAnsi="Courier New"/>
          <w:sz w:val="16"/>
          <w:szCs w:val="16"/>
          <w:color w:val="auto"/>
        </w:rPr>
      </w:pPr>
    </w:p>
    <w:p>
      <w:pPr>
        <w:ind w:right="271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Agreement, without Grantee's prior written consent, Issuer or any of its Subsidiaries shall have entered into one or more agreements with any person (other than Grantee or any Subsidiary of Grantee) to effect, or effected, in a single transaction or a series of related transactions, any Acquisition Proposal;</w:t>
      </w:r>
    </w:p>
    <w:p>
      <w:pPr>
        <w:spacing w:after="0" w:line="185" w:lineRule="exact"/>
        <w:rPr>
          <w:rFonts w:ascii="Courier New" w:cs="Courier New" w:eastAsia="Courier New" w:hAnsi="Courier New"/>
          <w:sz w:val="16"/>
          <w:szCs w:val="16"/>
          <w:color w:val="auto"/>
        </w:rPr>
      </w:pPr>
    </w:p>
    <w:p>
      <w:pPr>
        <w:ind w:left="3940" w:hanging="483"/>
        <w:spacing w:after="0"/>
        <w:tabs>
          <w:tab w:leader="none" w:pos="3940" w:val="left"/>
        </w:tabs>
        <w:numPr>
          <w:ilvl w:val="0"/>
          <w:numId w:val="1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prior to the termination of the Merger</w:t>
      </w:r>
    </w:p>
    <w:p>
      <w:pPr>
        <w:spacing w:after="0" w:line="5" w:lineRule="exact"/>
        <w:rPr>
          <w:rFonts w:ascii="Courier New" w:cs="Courier New" w:eastAsia="Courier New" w:hAnsi="Courier New"/>
          <w:sz w:val="16"/>
          <w:szCs w:val="16"/>
          <w:color w:val="auto"/>
        </w:rPr>
      </w:pPr>
    </w:p>
    <w:p>
      <w:pPr>
        <w:ind w:right="253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Agreement, any person (other than Grantee or any Subsidiary of Grantee) shall have acquired beneficial ownership (as such term is defined in Rule 13d-3 promulgated under the Exchange Act) of or the right to acquire beneficial ownership of, or any group (as such term is defined in Section 13(d)(3) of the Exchange Act), other than a group of which Grantee or any Subsidiary of Grantee is a member, shall have been formed which beneficially owns or has the right to acquire beneficial ownership of, shares of Issuer Common Stock or other voting securities representing 20% or more of the voting power of Issuer or any of its Significant Subsidiaries (as defined in Rule 1-02 of Regulation S-X of the SEC); or</w:t>
      </w:r>
    </w:p>
    <w:p>
      <w:pPr>
        <w:spacing w:after="0" w:line="187" w:lineRule="exact"/>
        <w:rPr>
          <w:rFonts w:ascii="Courier New" w:cs="Courier New" w:eastAsia="Courier New" w:hAnsi="Courier New"/>
          <w:sz w:val="16"/>
          <w:szCs w:val="16"/>
          <w:color w:val="auto"/>
        </w:rPr>
      </w:pPr>
    </w:p>
    <w:p>
      <w:pPr>
        <w:ind w:left="4040" w:hanging="583"/>
        <w:spacing w:after="0"/>
        <w:tabs>
          <w:tab w:leader="none" w:pos="4040" w:val="left"/>
        </w:tabs>
        <w:numPr>
          <w:ilvl w:val="0"/>
          <w:numId w:val="1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occurrence of an event the result</w:t>
      </w:r>
    </w:p>
    <w:p>
      <w:pPr>
        <w:spacing w:after="0" w:line="5" w:lineRule="exact"/>
        <w:rPr>
          <w:rFonts w:ascii="Courier New" w:cs="Courier New" w:eastAsia="Courier New" w:hAnsi="Courier New"/>
          <w:sz w:val="16"/>
          <w:szCs w:val="16"/>
          <w:color w:val="auto"/>
        </w:rPr>
      </w:pPr>
    </w:p>
    <w:p>
      <w:pPr>
        <w:jc w:val="both"/>
        <w:ind w:right="3299"/>
        <w:spacing w:after="0" w:line="24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of which is that the aggregate fee or fees required to be paid by Issuer pursuant to Section 7.2(c) of the Merger Agreement equals $1.25 billion.</w:t>
      </w:r>
    </w:p>
    <w:p>
      <w:pPr>
        <w:spacing w:after="0" w:line="189" w:lineRule="exact"/>
        <w:rPr>
          <w:sz w:val="20"/>
          <w:szCs w:val="20"/>
          <w:color w:val="auto"/>
        </w:rPr>
      </w:pPr>
    </w:p>
    <w:p>
      <w:pPr>
        <w:ind w:right="2919" w:firstLine="1729"/>
        <w:spacing w:after="0" w:line="242" w:lineRule="auto"/>
        <w:rPr>
          <w:sz w:val="20"/>
          <w:szCs w:val="20"/>
          <w:color w:val="auto"/>
        </w:rPr>
      </w:pPr>
      <w:r>
        <w:rPr>
          <w:rFonts w:ascii="Courier New" w:cs="Courier New" w:eastAsia="Courier New" w:hAnsi="Courier New"/>
          <w:sz w:val="16"/>
          <w:szCs w:val="16"/>
          <w:color w:val="auto"/>
        </w:rPr>
        <w:t>As used in this Agreement, "person" shall have the meaning specified in Sections 3(a)(9) and 13(d)(3) of the Exchange Act.</w:t>
      </w:r>
    </w:p>
    <w:p>
      <w:pPr>
        <w:spacing w:after="0" w:line="187" w:lineRule="exact"/>
        <w:rPr>
          <w:sz w:val="20"/>
          <w:szCs w:val="20"/>
          <w:color w:val="auto"/>
        </w:rPr>
      </w:pPr>
    </w:p>
    <w:p>
      <w:pPr>
        <w:ind w:left="2980" w:hanging="387"/>
        <w:spacing w:after="0"/>
        <w:tabs>
          <w:tab w:leader="none" w:pos="2980" w:val="left"/>
        </w:tabs>
        <w:numPr>
          <w:ilvl w:val="0"/>
          <w:numId w:val="1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Issuer shall notify Grantee promptly in writing</w:t>
      </w:r>
    </w:p>
    <w:p>
      <w:pPr>
        <w:spacing w:after="0" w:line="5" w:lineRule="exact"/>
        <w:rPr>
          <w:rFonts w:ascii="Courier New" w:cs="Courier New" w:eastAsia="Courier New" w:hAnsi="Courier New"/>
          <w:sz w:val="16"/>
          <w:szCs w:val="16"/>
          <w:color w:val="auto"/>
        </w:rPr>
      </w:pPr>
    </w:p>
    <w:p>
      <w:pPr>
        <w:ind w:right="2639"/>
        <w:spacing w:after="0" w:line="243"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of the occurrence of any Purchase Event, it being understood that the giving of such notice by Issuer shall not be a condition to the right of Grantee to exercise the Option.</w:t>
      </w:r>
    </w:p>
    <w:p>
      <w:pPr>
        <w:spacing w:after="0" w:line="186" w:lineRule="exact"/>
        <w:rPr>
          <w:rFonts w:ascii="Courier New" w:cs="Courier New" w:eastAsia="Courier New" w:hAnsi="Courier New"/>
          <w:sz w:val="16"/>
          <w:szCs w:val="16"/>
          <w:color w:val="auto"/>
        </w:rPr>
      </w:pPr>
    </w:p>
    <w:p>
      <w:pPr>
        <w:ind w:left="2980" w:hanging="387"/>
        <w:spacing w:after="0"/>
        <w:tabs>
          <w:tab w:leader="none" w:pos="2980" w:val="left"/>
        </w:tabs>
        <w:numPr>
          <w:ilvl w:val="0"/>
          <w:numId w:val="1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Grantee wishes to exercise the</w:t>
      </w:r>
    </w:p>
    <w:p>
      <w:pPr>
        <w:spacing w:after="0" w:line="5" w:lineRule="exact"/>
        <w:rPr>
          <w:rFonts w:ascii="Courier New" w:cs="Courier New" w:eastAsia="Courier New" w:hAnsi="Courier New"/>
          <w:sz w:val="16"/>
          <w:szCs w:val="16"/>
          <w:color w:val="auto"/>
        </w:rPr>
      </w:pPr>
    </w:p>
    <w:p>
      <w:pPr>
        <w:ind w:right="271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Option, it shall send to Issuer a written notice (the date of which is herein referred to as the "Notice Date") specifying (i) the total number of Option Shares it intends to purchase pursuant to such exercise and (ii) a place and date not earlier than three business days nor later than 60 business days from the Notice Date for the closing (the "Closing") of such purchase (the "Closing Date"); provided, that if the Closing cannot be consummated by reason of any applicable law, rule, regulation or order or the</w:t>
      </w:r>
    </w:p>
    <w:p>
      <w:pPr>
        <w:spacing w:after="0" w:line="186"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300" w:right="1440" w:bottom="1440" w:gutter="0" w:footer="0" w:header="0"/>
        </w:sectPr>
      </w:pPr>
    </w:p>
    <w:bookmarkStart w:id="101" w:name="page102"/>
    <w:bookmarkEnd w:id="101"/>
    <w:p>
      <w:pPr>
        <w:ind w:left="280"/>
        <w:spacing w:after="0"/>
        <w:rPr>
          <w:sz w:val="20"/>
          <w:szCs w:val="20"/>
          <w:color w:val="auto"/>
        </w:rPr>
      </w:pPr>
      <w:r>
        <w:rPr>
          <w:rFonts w:ascii="Courier New" w:cs="Courier New" w:eastAsia="Courier New" w:hAnsi="Courier New"/>
          <w:sz w:val="16"/>
          <w:szCs w:val="16"/>
          <w:color w:val="auto"/>
        </w:rPr>
        <w:t>3</w:t>
      </w:r>
    </w:p>
    <w:p>
      <w:pPr>
        <w:spacing w:after="0" w:line="5"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need to obtain any necessary approvals or consents of applicable Governmental Entities, the period of time that otherwise would run pursuant to this sentence shall run instead from the date on which such restriction on consummation has expired or been terminated; and provided, further, without limiting the foregoing, that if prior notification or application to, approval of or authorization by any Governmental Entity is required in connection with such purchase, Issuer shall use its reasonable best efforts to cooperate with Grantee in the prompt filing of the required notice or application for approval or authorization, and the Closing shall occur immediately following the date on which such approvals have been obtained and any required notification or waiting periods have expired.</w:t>
      </w:r>
    </w:p>
    <w:p>
      <w:pPr>
        <w:spacing w:after="0" w:line="190" w:lineRule="exact"/>
        <w:rPr>
          <w:sz w:val="20"/>
          <w:szCs w:val="20"/>
          <w:color w:val="auto"/>
        </w:rPr>
      </w:pPr>
    </w:p>
    <w:p>
      <w:pPr>
        <w:ind w:right="2539" w:firstLine="2593"/>
        <w:spacing w:after="0" w:line="262" w:lineRule="auto"/>
        <w:tabs>
          <w:tab w:leader="none" w:pos="2978" w:val="left"/>
        </w:tabs>
        <w:numPr>
          <w:ilvl w:val="1"/>
          <w:numId w:val="1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Section 3(d), in no event shall any Closing Date be more than six months after the related Notice Date, and if the Closing Date shall not have occurred within six months after the related Notice Date due to the failure to obtain any such required approval or consent, the exercise of the Option effected on the Notice Date shall be deemed to have expired. In the event (i) Grantee receives official notice that an approval or consent of any Governmental Entity required for the purchase of Option Shares will not be issued or granted or (ii) a Closing Date shall not have occurred within six months after the related Notice Date due to the failure to obtain any such required approval or consent, Grantee shall be entitled to exercise the Option (whether or not the Option would have otherwise terminated) in connection with the resale of Issuer Common Stock or other securities pursuant to a registration statement as provided in Section 10. The provisions of this Section 3 and Section 4 shall apply with appropriate adjustments to any such exercise.</w:t>
      </w:r>
    </w:p>
    <w:p>
      <w:pPr>
        <w:spacing w:after="0" w:line="172" w:lineRule="exact"/>
        <w:rPr>
          <w:rFonts w:ascii="Courier New" w:cs="Courier New" w:eastAsia="Courier New" w:hAnsi="Courier New"/>
          <w:sz w:val="15"/>
          <w:szCs w:val="15"/>
          <w:color w:val="auto"/>
        </w:rPr>
      </w:pPr>
    </w:p>
    <w:p>
      <w:pPr>
        <w:ind w:left="2600" w:hanging="872"/>
        <w:spacing w:after="0"/>
        <w:tabs>
          <w:tab w:leader="none" w:pos="2600" w:val="left"/>
        </w:tabs>
        <w:numPr>
          <w:ilvl w:val="0"/>
          <w:numId w:val="1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Payment and Delivery of Certificates.</w:t>
      </w:r>
    </w:p>
    <w:p>
      <w:pPr>
        <w:spacing w:after="0" w:line="188" w:lineRule="exact"/>
        <w:rPr>
          <w:rFonts w:ascii="Courier New" w:cs="Courier New" w:eastAsia="Courier New" w:hAnsi="Courier New"/>
          <w:sz w:val="16"/>
          <w:szCs w:val="16"/>
          <w:color w:val="auto"/>
        </w:rPr>
      </w:pPr>
    </w:p>
    <w:p>
      <w:pPr>
        <w:ind w:left="2980" w:hanging="387"/>
        <w:spacing w:after="0"/>
        <w:tabs>
          <w:tab w:leader="none" w:pos="2980" w:val="left"/>
        </w:tabs>
        <w:numPr>
          <w:ilvl w:val="1"/>
          <w:numId w:val="1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each Closing Date, Grantee shall (i) pay to</w:t>
      </w:r>
    </w:p>
    <w:p>
      <w:pPr>
        <w:spacing w:after="0" w:line="5" w:lineRule="exact"/>
        <w:rPr>
          <w:rFonts w:ascii="Courier New" w:cs="Courier New" w:eastAsia="Courier New" w:hAnsi="Courier New"/>
          <w:sz w:val="16"/>
          <w:szCs w:val="16"/>
          <w:color w:val="auto"/>
        </w:rPr>
      </w:pPr>
    </w:p>
    <w:p>
      <w:pPr>
        <w:ind w:right="2539"/>
        <w:spacing w:after="0" w:line="263"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Issuer, in immediately available funds by wire transfer to a bank account designated by Issuer (provided that the failure or refusal of Issuer to designate a bank account shall not preclude Grantee from exercising the Option), an amount equal to the Purchase Price multiplied by the number of Option Shares to be purchased on such Closing Date, and (ii) present and surrender this Agreement to Issuer at the address of Issuer specified in Section 14(f).</w:t>
      </w:r>
    </w:p>
    <w:p>
      <w:pPr>
        <w:spacing w:after="0" w:line="176" w:lineRule="exact"/>
        <w:rPr>
          <w:rFonts w:ascii="Courier New" w:cs="Courier New" w:eastAsia="Courier New" w:hAnsi="Courier New"/>
          <w:sz w:val="16"/>
          <w:szCs w:val="16"/>
          <w:color w:val="auto"/>
        </w:rPr>
      </w:pPr>
    </w:p>
    <w:p>
      <w:pPr>
        <w:ind w:left="2980" w:hanging="387"/>
        <w:spacing w:after="0"/>
        <w:tabs>
          <w:tab w:leader="none" w:pos="2980" w:val="left"/>
        </w:tabs>
        <w:numPr>
          <w:ilvl w:val="1"/>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each Closing, simultaneously with the delivery</w:t>
      </w:r>
    </w:p>
    <w:p>
      <w:pPr>
        <w:spacing w:after="0" w:line="14" w:lineRule="exact"/>
        <w:rPr>
          <w:rFonts w:ascii="Courier New" w:cs="Courier New" w:eastAsia="Courier New" w:hAnsi="Courier New"/>
          <w:sz w:val="15"/>
          <w:szCs w:val="15"/>
          <w:color w:val="auto"/>
        </w:rPr>
      </w:pPr>
    </w:p>
    <w:p>
      <w:pPr>
        <w:ind w:right="2539"/>
        <w:spacing w:after="0" w:line="244" w:lineRule="auto"/>
        <w:rPr>
          <w:rFonts w:ascii="Courier New" w:cs="Courier New" w:eastAsia="Courier New" w:hAnsi="Courier New"/>
          <w:sz w:val="15"/>
          <w:szCs w:val="15"/>
          <w:color w:val="auto"/>
        </w:rPr>
      </w:pPr>
      <w:r>
        <w:rPr>
          <w:rFonts w:ascii="Courier New" w:cs="Courier New" w:eastAsia="Courier New" w:hAnsi="Courier New"/>
          <w:sz w:val="16"/>
          <w:szCs w:val="16"/>
          <w:color w:val="auto"/>
        </w:rPr>
        <w:t>of immediately available funds and surrender of this Agreement as provided in Section 4(a), (i) Issuer shall deliver to Grantee (A) a certificate or certificates representing the Option Shares to be purchased at such Closing, which Option Shares shall be fully paid, validly issued and non-assessable, free and clear of all liens, claims, charges, security interests or other encumbrances ("Liens") other than those created by the express terms of this Agreement, and subject to no preemptive or other similar rights, and (B) if the Option is exercised in part only, an executed new agreement with the same terms as this Agreement evidencing the right to purchase the balance of the shares of Issuer Common Stock purchasable hereunder, and (ii) Grantee shall deliver to Issuer a letter agreeing that Grantee shall not offer to sell or otherwise dispose of such Option Shares in violation of applicable federal and state securities laws or of the provisions of this Agreement.</w:t>
      </w:r>
    </w:p>
    <w:p>
      <w:pPr>
        <w:spacing w:after="0" w:line="191" w:lineRule="exact"/>
        <w:rPr>
          <w:rFonts w:ascii="Courier New" w:cs="Courier New" w:eastAsia="Courier New" w:hAnsi="Courier New"/>
          <w:sz w:val="15"/>
          <w:szCs w:val="15"/>
          <w:color w:val="auto"/>
        </w:rPr>
      </w:pPr>
    </w:p>
    <w:p>
      <w:pPr>
        <w:jc w:val="both"/>
        <w:ind w:right="2639" w:firstLine="2593"/>
        <w:spacing w:after="0" w:line="243" w:lineRule="auto"/>
        <w:tabs>
          <w:tab w:leader="none" w:pos="2978" w:val="left"/>
        </w:tabs>
        <w:numPr>
          <w:ilvl w:val="1"/>
          <w:numId w:val="1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addition to any other legend that is required by applicable law, certificates for the Option Shares delivered at each Closing shall be endorsed with a restrictive legend which shall read substantially as follows:</w:t>
      </w:r>
    </w:p>
    <w:p>
      <w:pPr>
        <w:spacing w:after="0" w:line="18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300" w:right="1440" w:bottom="1440" w:gutter="0" w:footer="0" w:header="0"/>
        </w:sectPr>
      </w:pPr>
    </w:p>
    <w:bookmarkStart w:id="102" w:name="page103"/>
    <w:bookmarkEnd w:id="102"/>
    <w:p>
      <w:pPr>
        <w:ind w:left="281"/>
        <w:spacing w:after="0"/>
        <w:rPr>
          <w:sz w:val="20"/>
          <w:szCs w:val="20"/>
          <w:color w:val="auto"/>
        </w:rPr>
      </w:pPr>
      <w:r>
        <w:rPr>
          <w:rFonts w:ascii="Courier New" w:cs="Courier New" w:eastAsia="Courier New" w:hAnsi="Courier New"/>
          <w:sz w:val="16"/>
          <w:szCs w:val="16"/>
          <w:color w:val="auto"/>
        </w:rPr>
        <w:t>4</w:t>
      </w:r>
    </w:p>
    <w:p>
      <w:pPr>
        <w:spacing w:after="0" w:line="5" w:lineRule="exact"/>
        <w:rPr>
          <w:sz w:val="20"/>
          <w:szCs w:val="20"/>
          <w:color w:val="auto"/>
        </w:rPr>
      </w:pPr>
    </w:p>
    <w:p>
      <w:pPr>
        <w:ind w:left="861" w:right="2539"/>
        <w:spacing w:after="0" w:line="242" w:lineRule="auto"/>
        <w:rPr>
          <w:sz w:val="20"/>
          <w:szCs w:val="20"/>
          <w:color w:val="auto"/>
        </w:rPr>
      </w:pPr>
      <w:r>
        <w:rPr>
          <w:rFonts w:ascii="Courier New" w:cs="Courier New" w:eastAsia="Courier New" w:hAnsi="Courier New"/>
          <w:sz w:val="16"/>
          <w:szCs w:val="16"/>
          <w:color w:val="auto"/>
        </w:rPr>
        <w:t>THE TRANSFER OF THE STOCK REPRESENTED BY THIS CERTIFICATE IS SUBJECT TO RESTRICTIONS ARISING UNDER THE SECURITIES ACT OF 1933, AS AMENDED.</w:t>
      </w:r>
    </w:p>
    <w:p>
      <w:pPr>
        <w:spacing w:after="0" w:line="189" w:lineRule="exact"/>
        <w:rPr>
          <w:sz w:val="20"/>
          <w:szCs w:val="20"/>
          <w:color w:val="auto"/>
        </w:rPr>
      </w:pPr>
    </w:p>
    <w:p>
      <w:pPr>
        <w:ind w:left="1" w:right="2539"/>
        <w:spacing w:after="0" w:line="244" w:lineRule="auto"/>
        <w:rPr>
          <w:sz w:val="20"/>
          <w:szCs w:val="20"/>
          <w:color w:val="auto"/>
        </w:rPr>
      </w:pPr>
      <w:r>
        <w:rPr>
          <w:rFonts w:ascii="Courier New" w:cs="Courier New" w:eastAsia="Courier New" w:hAnsi="Courier New"/>
          <w:sz w:val="16"/>
          <w:szCs w:val="16"/>
          <w:color w:val="auto"/>
        </w:rPr>
        <w:t>It is understood and agreed that the above legend shall be removed by delivery of substitute certificate(s) without such legend if such Option Shares have been registered pursuant to the Securities Act, such Option Shares have been sold in reliance on and in accordance with Rule 144 under the Securities Act or Grantee shall have delivered to Issuer a copy of a letter from the staff of the SEC, or an opinion of counsel in form and substance reasonably satisfactory to Issuer and its counsel, to the effect that such legend is not required for purposes of the Securities Act.</w:t>
      </w:r>
    </w:p>
    <w:p>
      <w:pPr>
        <w:spacing w:after="0" w:line="187" w:lineRule="exact"/>
        <w:rPr>
          <w:sz w:val="20"/>
          <w:szCs w:val="20"/>
          <w:color w:val="auto"/>
        </w:rPr>
      </w:pPr>
    </w:p>
    <w:p>
      <w:pPr>
        <w:ind w:left="2981" w:hanging="387"/>
        <w:spacing w:after="0"/>
        <w:tabs>
          <w:tab w:leader="none" w:pos="2981" w:val="left"/>
        </w:tabs>
        <w:numPr>
          <w:ilvl w:val="2"/>
          <w:numId w:val="1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Upon the giving by Grantee to Issuer of the</w:t>
      </w:r>
    </w:p>
    <w:p>
      <w:pPr>
        <w:spacing w:after="0" w:line="5" w:lineRule="exact"/>
        <w:rPr>
          <w:rFonts w:ascii="Courier New" w:cs="Courier New" w:eastAsia="Courier New" w:hAnsi="Courier New"/>
          <w:sz w:val="16"/>
          <w:szCs w:val="16"/>
          <w:color w:val="auto"/>
        </w:rPr>
      </w:pPr>
    </w:p>
    <w:p>
      <w:pPr>
        <w:ind w:left="1" w:right="263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written notice of exercise of the Option provided for under Section 3(d), the tender of the applicable Purchase Price in immediately available funds and the tender of this Agreement to Issuer, Grantee shall be deemed to be the holder of record of the shares of Issuer Common Stock issuable upon such exercise, regardless of whether the stock transfer books of Issuer are then closed or certificates representing such shares of Issuer Common Stock are then actually delivered to Grantee. Issuer shall pay all expenses, and any and all federal, foreign, state, and local taxes and other charges, that may be payable in connection with the preparation, issuance and delivery of stock certificates under this Section 4(d) in the name of Grantee or its assignee, transferee, or designee.</w:t>
      </w:r>
    </w:p>
    <w:p>
      <w:pPr>
        <w:spacing w:after="0" w:line="188" w:lineRule="exact"/>
        <w:rPr>
          <w:rFonts w:ascii="Courier New" w:cs="Courier New" w:eastAsia="Courier New" w:hAnsi="Courier New"/>
          <w:sz w:val="16"/>
          <w:szCs w:val="16"/>
          <w:color w:val="auto"/>
        </w:rPr>
      </w:pPr>
    </w:p>
    <w:p>
      <w:pPr>
        <w:ind w:left="2981" w:hanging="387"/>
        <w:spacing w:after="0"/>
        <w:tabs>
          <w:tab w:leader="none" w:pos="2981" w:val="left"/>
        </w:tabs>
        <w:numPr>
          <w:ilvl w:val="2"/>
          <w:numId w:val="1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Issuer agrees (i) that it shall at all times</w:t>
      </w:r>
    </w:p>
    <w:p>
      <w:pPr>
        <w:spacing w:after="0" w:line="5" w:lineRule="exact"/>
        <w:rPr>
          <w:rFonts w:ascii="Courier New" w:cs="Courier New" w:eastAsia="Courier New" w:hAnsi="Courier New"/>
          <w:sz w:val="16"/>
          <w:szCs w:val="16"/>
          <w:color w:val="auto"/>
        </w:rPr>
      </w:pPr>
    </w:p>
    <w:p>
      <w:pPr>
        <w:ind w:left="1" w:right="253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maintain, free from Liens and preemptive or similar rights, sufficient authorized but unissued or treasury shares of Issuer Common Stock so that the Option may be exercised without additional authorization of Issuer Common Stock after giving effect to all other options, warrants, convertible securities and other rights to purchase Issuer Common Stock then outstanding, (ii) that it will not, by charter amendment or through reorganization, recapitalization, consolidation, merger, dissolution, liquidation, spin-off, sale of assets or similar transaction, or by any other voluntary act, avoid or seek to avoid the observance or performance of any of the covenants, agreements, stipulations or conditions to be observed or performed hereunder by Issuer and (iii) that it will promptly take all action as may from time to time be required (including</w:t>
      </w:r>
    </w:p>
    <w:p>
      <w:pPr>
        <w:spacing w:after="0" w:line="5" w:lineRule="exact"/>
        <w:rPr>
          <w:rFonts w:ascii="Courier New" w:cs="Courier New" w:eastAsia="Courier New" w:hAnsi="Courier New"/>
          <w:sz w:val="16"/>
          <w:szCs w:val="16"/>
          <w:color w:val="auto"/>
        </w:rPr>
      </w:pPr>
    </w:p>
    <w:p>
      <w:pPr>
        <w:ind w:left="1" w:right="2639" w:hanging="1"/>
        <w:spacing w:after="0" w:line="244" w:lineRule="auto"/>
        <w:tabs>
          <w:tab w:leader="none" w:pos="386" w:val="left"/>
        </w:tabs>
        <w:numPr>
          <w:ilvl w:val="0"/>
          <w:numId w:val="1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complying with all premerger notification, reporting and waiting period requirements and (B) in the event prior approval or authorization of or notice or application to any Governmental Entity is necessary before the Option may be exercised, cooperating fully with Grantee in preparing such applications or notices and providing such information to such Governmental Entities as may be required) in order to permit Grantee to exercise the Option and Issuer to duly and effectively issue shares of Issuer Common Stock pursuant hereto on a timely basis.</w:t>
      </w:r>
    </w:p>
    <w:p>
      <w:pPr>
        <w:spacing w:after="0" w:line="188" w:lineRule="exact"/>
        <w:rPr>
          <w:rFonts w:ascii="Courier New" w:cs="Courier New" w:eastAsia="Courier New" w:hAnsi="Courier New"/>
          <w:sz w:val="16"/>
          <w:szCs w:val="16"/>
          <w:color w:val="auto"/>
        </w:rPr>
      </w:pPr>
    </w:p>
    <w:p>
      <w:pPr>
        <w:ind w:left="1" w:right="2919" w:firstLine="1728"/>
        <w:spacing w:after="0" w:line="242" w:lineRule="auto"/>
        <w:tabs>
          <w:tab w:leader="none" w:pos="2019" w:val="left"/>
        </w:tabs>
        <w:numPr>
          <w:ilvl w:val="1"/>
          <w:numId w:val="1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Representations and Warranties of Issuer. Issuer hereby represents and warrants to Grantee as follows:</w:t>
      </w:r>
    </w:p>
    <w:p>
      <w:pPr>
        <w:spacing w:after="0" w:line="186" w:lineRule="exact"/>
        <w:rPr>
          <w:rFonts w:ascii="Courier New" w:cs="Courier New" w:eastAsia="Courier New" w:hAnsi="Courier New"/>
          <w:sz w:val="16"/>
          <w:szCs w:val="16"/>
          <w:color w:val="auto"/>
        </w:rPr>
      </w:pPr>
    </w:p>
    <w:p>
      <w:pPr>
        <w:ind w:left="2981" w:hanging="387"/>
        <w:spacing w:after="0"/>
        <w:tabs>
          <w:tab w:leader="none" w:pos="2981" w:val="left"/>
        </w:tabs>
        <w:numPr>
          <w:ilvl w:val="2"/>
          <w:numId w:val="1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Corporate Authority. Issuer has full corporate</w:t>
      </w:r>
    </w:p>
    <w:p>
      <w:pPr>
        <w:spacing w:after="0" w:line="5" w:lineRule="exact"/>
        <w:rPr>
          <w:rFonts w:ascii="Courier New" w:cs="Courier New" w:eastAsia="Courier New" w:hAnsi="Courier New"/>
          <w:sz w:val="16"/>
          <w:szCs w:val="16"/>
          <w:color w:val="auto"/>
        </w:rPr>
      </w:pPr>
    </w:p>
    <w:p>
      <w:pPr>
        <w:ind w:left="1" w:right="263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power and authority to execute and deliver this Agreement and to consummate the transactions contemplated hereby; the execution and delivery of this Agreement and, subject to receiving any necessary approvals or consents from Governmental Entities, the consummation of the transactions contemplated hereby have been duly and validly authorized by the Board of Directors of Issuer, and no other corporate proceedings on the part of Issuer are necessary to authorize this Agreement or to</w:t>
      </w:r>
    </w:p>
    <w:p>
      <w:pPr>
        <w:spacing w:after="0" w:line="200" w:lineRule="exact"/>
        <w:rPr>
          <w:sz w:val="20"/>
          <w:szCs w:val="20"/>
          <w:color w:val="auto"/>
        </w:rPr>
      </w:pPr>
    </w:p>
    <w:p>
      <w:pPr>
        <w:spacing w:after="0" w:line="356"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21"/>
          </w:cols>
          <w:pgMar w:left="239" w:top="300" w:right="1440" w:bottom="1440" w:gutter="0" w:footer="0" w:header="0"/>
        </w:sectPr>
      </w:pPr>
    </w:p>
    <w:bookmarkStart w:id="103" w:name="page104"/>
    <w:bookmarkEnd w:id="103"/>
    <w:p>
      <w:pPr>
        <w:ind w:left="280"/>
        <w:spacing w:after="0"/>
        <w:rPr>
          <w:sz w:val="20"/>
          <w:szCs w:val="20"/>
          <w:color w:val="auto"/>
        </w:rPr>
      </w:pPr>
      <w:r>
        <w:rPr>
          <w:rFonts w:ascii="Courier New" w:cs="Courier New" w:eastAsia="Courier New" w:hAnsi="Courier New"/>
          <w:sz w:val="16"/>
          <w:szCs w:val="16"/>
          <w:color w:val="auto"/>
        </w:rPr>
        <w:t>5</w:t>
      </w:r>
    </w:p>
    <w:p>
      <w:pPr>
        <w:spacing w:after="0" w:line="5"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consummate the transactions so contemplated; this Agreement has been duly and validly executed and delivered by Issuer and (assuming due authorization, execution and delivery by Grantee) constitutes a valid and binding obligation of Issuer, enforceable against Issuer in accordance with its terms, except that (i) such enforcement may be subject to applicable bankruptcy, insolvency, fraudulent conveyance, moratorium or other similar laws, now or hereinafter in effect, affecting creditors' rights generally, and (ii) the remedy of specific performance and injunctive and other forms of equitable relief may be subject to equitable defenses and to the discretion of the court before which any proceeding therefor may be brought.</w:t>
      </w:r>
    </w:p>
    <w:p>
      <w:pPr>
        <w:spacing w:after="0" w:line="188" w:lineRule="exact"/>
        <w:rPr>
          <w:sz w:val="20"/>
          <w:szCs w:val="20"/>
          <w:color w:val="auto"/>
        </w:rPr>
      </w:pPr>
    </w:p>
    <w:p>
      <w:pPr>
        <w:ind w:left="2980" w:hanging="387"/>
        <w:spacing w:after="0"/>
        <w:tabs>
          <w:tab w:leader="none" w:pos="2980" w:val="left"/>
        </w:tabs>
        <w:numPr>
          <w:ilvl w:val="0"/>
          <w:numId w:val="1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Shares Reserved for Issuance; Capital Stock.</w:t>
      </w:r>
    </w:p>
    <w:p>
      <w:pPr>
        <w:spacing w:after="0" w:line="5" w:lineRule="exact"/>
        <w:rPr>
          <w:rFonts w:ascii="Courier New" w:cs="Courier New" w:eastAsia="Courier New" w:hAnsi="Courier New"/>
          <w:sz w:val="16"/>
          <w:szCs w:val="16"/>
          <w:color w:val="auto"/>
        </w:rPr>
      </w:pPr>
    </w:p>
    <w:p>
      <w:pPr>
        <w:ind w:right="271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Issuer has taken all necessary corporate action to authorize and reserve and permit it to issue, and at all times from the date hereof through the termination of this Agreement in accordance with its terms, will have reserved for issuance, upon the exercise of the Option, that number of shares of Issuer Common Stock equal to the maximum number of shares of Issuer Common Stock and other shares and securities which are at any time and from time to time purchasable upon exercise of the Option, and all such shares and other securities, upon issuance pursuant to the Option, will be duly authorized, validly issued, fully paid and non-assessable, and will be delivered free and clear of all Liens (other than those created by the express terms of this Agreement) and not subject to any preemptive or other similar rights.</w:t>
      </w:r>
    </w:p>
    <w:p>
      <w:pPr>
        <w:spacing w:after="0" w:line="188" w:lineRule="exact"/>
        <w:rPr>
          <w:rFonts w:ascii="Courier New" w:cs="Courier New" w:eastAsia="Courier New" w:hAnsi="Courier New"/>
          <w:sz w:val="16"/>
          <w:szCs w:val="16"/>
          <w:color w:val="auto"/>
        </w:rPr>
      </w:pPr>
    </w:p>
    <w:p>
      <w:pPr>
        <w:ind w:left="2980" w:hanging="387"/>
        <w:spacing w:after="0"/>
        <w:tabs>
          <w:tab w:leader="none" w:pos="2980" w:val="left"/>
        </w:tabs>
        <w:numPr>
          <w:ilvl w:val="0"/>
          <w:numId w:val="1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Violations. The execution, delivery and</w:t>
      </w:r>
    </w:p>
    <w:p>
      <w:pPr>
        <w:spacing w:after="0" w:line="5" w:lineRule="exact"/>
        <w:rPr>
          <w:rFonts w:ascii="Courier New" w:cs="Courier New" w:eastAsia="Courier New" w:hAnsi="Courier New"/>
          <w:sz w:val="16"/>
          <w:szCs w:val="16"/>
          <w:color w:val="auto"/>
        </w:rPr>
      </w:pPr>
    </w:p>
    <w:p>
      <w:pPr>
        <w:ind w:right="263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performance of this Agreement does not and will not, and the consummation by Issuer of any of the transactions contemplated hereby will not, constitute or result in (A) a breach or violation of, or a default under, its certificate of incorporation or by-laws, or the comparable governing instruments of any of its Subsidiaries, or (B) a breach or violation of, or a default under, any agreement, lease, contract, note, mortgage, indenture, arrangement or other obligation of it or any of its Subsidiaries (with or without the giving of notice, the lapse of time or both) or under any law, rule, regulation or order or governmental or non-governmental permit or license to which it or any of its Subsidiaries is subject, that would in any case give any other person the ability to prevent or enjoin Issuer's performance under this Agreement in any material respect.</w:t>
      </w:r>
    </w:p>
    <w:p>
      <w:pPr>
        <w:spacing w:after="0" w:line="188" w:lineRule="exact"/>
        <w:rPr>
          <w:rFonts w:ascii="Courier New" w:cs="Courier New" w:eastAsia="Courier New" w:hAnsi="Courier New"/>
          <w:sz w:val="16"/>
          <w:szCs w:val="16"/>
          <w:color w:val="auto"/>
        </w:rPr>
      </w:pPr>
    </w:p>
    <w:p>
      <w:pPr>
        <w:ind w:left="2980" w:hanging="387"/>
        <w:spacing w:after="0"/>
        <w:tabs>
          <w:tab w:leader="none" w:pos="2980" w:val="left"/>
        </w:tabs>
        <w:numPr>
          <w:ilvl w:val="0"/>
          <w:numId w:val="1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Board Action. The Board of Directors of Issuer</w:t>
      </w:r>
    </w:p>
    <w:p>
      <w:pPr>
        <w:spacing w:after="0" w:line="5" w:lineRule="exact"/>
        <w:rPr>
          <w:rFonts w:ascii="Courier New" w:cs="Courier New" w:eastAsia="Courier New" w:hAnsi="Courier New"/>
          <w:sz w:val="16"/>
          <w:szCs w:val="16"/>
          <w:color w:val="auto"/>
        </w:rPr>
      </w:pPr>
    </w:p>
    <w:p>
      <w:pPr>
        <w:ind w:right="291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has approved this Agreement and the consummation of the transactions contemplated hereby as required under Section 203 of the DGCL and, to its knowledge, any other applicable state takeover laws so that any such state takeover laws do not and will not apply to this Agreement or any of the transactions contemplated hereby (including the purchase of shares of Issuer Common Stock pursuant to the Option).</w:t>
      </w:r>
    </w:p>
    <w:p>
      <w:pPr>
        <w:spacing w:after="0" w:line="187" w:lineRule="exact"/>
        <w:rPr>
          <w:rFonts w:ascii="Courier New" w:cs="Courier New" w:eastAsia="Courier New" w:hAnsi="Courier New"/>
          <w:sz w:val="16"/>
          <w:szCs w:val="16"/>
          <w:color w:val="auto"/>
        </w:rPr>
      </w:pPr>
    </w:p>
    <w:p>
      <w:pPr>
        <w:ind w:right="2639" w:firstLine="2593"/>
        <w:spacing w:after="0" w:line="244" w:lineRule="auto"/>
        <w:tabs>
          <w:tab w:leader="none" w:pos="2978" w:val="left"/>
        </w:tabs>
        <w:numPr>
          <w:ilvl w:val="0"/>
          <w:numId w:val="1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Restrictions. No Delaware law applicable generally to corporations or, to Issuer's knowledge, other takeover statute applicable generally to corporations or similar corporate law and no provision of the certificate of incorporation or by-laws of Issuer or any agreement to which Issuer is a party (i) would or would purport to impose restrictions which might adversely affect or delay the consummation of the transactions contemplated by this Agreement, or (ii) as a result of the consummation of the transactions contemplated by this Agreement, (A) would or would purport to restrict or impair the ability of Grantee to vote or otherwise exercise the rights of a shareholder with respect to securities of</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300" w:right="1440" w:bottom="1440" w:gutter="0" w:footer="0" w:header="0"/>
        </w:sectPr>
      </w:pPr>
    </w:p>
    <w:bookmarkStart w:id="104" w:name="page105"/>
    <w:bookmarkEnd w:id="104"/>
    <w:p>
      <w:pPr>
        <w:ind w:left="280"/>
        <w:spacing w:after="0"/>
        <w:rPr>
          <w:sz w:val="20"/>
          <w:szCs w:val="20"/>
          <w:color w:val="auto"/>
        </w:rPr>
      </w:pPr>
      <w:r>
        <w:rPr>
          <w:rFonts w:ascii="Courier New" w:cs="Courier New" w:eastAsia="Courier New" w:hAnsi="Courier New"/>
          <w:sz w:val="16"/>
          <w:szCs w:val="16"/>
          <w:color w:val="auto"/>
        </w:rPr>
        <w:t>6</w:t>
      </w:r>
    </w:p>
    <w:p>
      <w:pPr>
        <w:spacing w:after="0" w:line="5" w:lineRule="exact"/>
        <w:rPr>
          <w:sz w:val="20"/>
          <w:szCs w:val="20"/>
          <w:color w:val="auto"/>
        </w:rPr>
      </w:pPr>
    </w:p>
    <w:p>
      <w:pPr>
        <w:ind w:right="2639"/>
        <w:spacing w:after="0" w:line="243" w:lineRule="auto"/>
        <w:rPr>
          <w:sz w:val="20"/>
          <w:szCs w:val="20"/>
          <w:color w:val="auto"/>
        </w:rPr>
      </w:pPr>
      <w:r>
        <w:rPr>
          <w:rFonts w:ascii="Courier New" w:cs="Courier New" w:eastAsia="Courier New" w:hAnsi="Courier New"/>
          <w:sz w:val="16"/>
          <w:szCs w:val="16"/>
          <w:color w:val="auto"/>
        </w:rPr>
        <w:t>Issuer or any of its Subsidiaries that may be acquired or controlled by Grantee or (B) would or would purport to entitle any person to acquire securities of Issuer.</w:t>
      </w:r>
    </w:p>
    <w:p>
      <w:pPr>
        <w:spacing w:after="0" w:line="189" w:lineRule="exact"/>
        <w:rPr>
          <w:sz w:val="20"/>
          <w:szCs w:val="20"/>
          <w:color w:val="auto"/>
        </w:rPr>
      </w:pPr>
    </w:p>
    <w:p>
      <w:pPr>
        <w:ind w:right="2719" w:firstLine="1728"/>
        <w:spacing w:after="0" w:line="242" w:lineRule="auto"/>
        <w:tabs>
          <w:tab w:leader="none" w:pos="2018" w:val="left"/>
        </w:tabs>
        <w:numPr>
          <w:ilvl w:val="0"/>
          <w:numId w:val="1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Representations and Warranties of Grantee. Grantee hereby represents and warrants to Issuer as follows:</w:t>
      </w:r>
    </w:p>
    <w:p>
      <w:pPr>
        <w:spacing w:after="0" w:line="186" w:lineRule="exact"/>
        <w:rPr>
          <w:rFonts w:ascii="Courier New" w:cs="Courier New" w:eastAsia="Courier New" w:hAnsi="Courier New"/>
          <w:sz w:val="16"/>
          <w:szCs w:val="16"/>
          <w:color w:val="auto"/>
        </w:rPr>
      </w:pPr>
    </w:p>
    <w:p>
      <w:pPr>
        <w:ind w:left="2980" w:hanging="387"/>
        <w:spacing w:after="0"/>
        <w:tabs>
          <w:tab w:leader="none" w:pos="2980" w:val="left"/>
        </w:tabs>
        <w:numPr>
          <w:ilvl w:val="1"/>
          <w:numId w:val="1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Corporate Authority. Grantee has full corporate</w:t>
      </w:r>
    </w:p>
    <w:p>
      <w:pPr>
        <w:spacing w:after="0" w:line="5" w:lineRule="exact"/>
        <w:rPr>
          <w:rFonts w:ascii="Courier New" w:cs="Courier New" w:eastAsia="Courier New" w:hAnsi="Courier New"/>
          <w:sz w:val="16"/>
          <w:szCs w:val="16"/>
          <w:color w:val="auto"/>
        </w:rPr>
      </w:pPr>
    </w:p>
    <w:p>
      <w:pPr>
        <w:ind w:right="2639"/>
        <w:spacing w:after="0" w:line="262"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power and authority to enter into this Agreement and to consummate the transactions contemplated by this Agreement; the execution and delivery of this Agreement and, subject to obtaining any necessary approvals or consents from Governmental Entities, the consummation of the transactions contemplated hereby have been duly authorized by all necessary corporate action on the part of Grantee; and this Agreement has been duly executed and delivered by Grantee and (assuming due authorization, execution and delivery by Issuer) constitutes a valid and binding obligation of Grantee, enforceable against Grantee in accordance with its terms, except that (i) such enforcement may be subject to applicable bankruptcy, insolvency, fraudulent conveyance, moratorium or other similar laws, now or hereinafter in effect, affecting creditors' rights generally, and (ii) the remedy of specific performance and injunctive and other forms of equitable relief may be subject to equitable defenses and to the discretion of the court before which any proceeding therefor may be brought.</w:t>
      </w:r>
    </w:p>
    <w:p>
      <w:pPr>
        <w:spacing w:after="0" w:line="174" w:lineRule="exact"/>
        <w:rPr>
          <w:rFonts w:ascii="Courier New" w:cs="Courier New" w:eastAsia="Courier New" w:hAnsi="Courier New"/>
          <w:sz w:val="16"/>
          <w:szCs w:val="16"/>
          <w:color w:val="auto"/>
        </w:rPr>
      </w:pPr>
    </w:p>
    <w:p>
      <w:pPr>
        <w:ind w:right="2539" w:firstLine="2593"/>
        <w:spacing w:after="0" w:line="244" w:lineRule="auto"/>
        <w:tabs>
          <w:tab w:leader="none" w:pos="2978" w:val="left"/>
        </w:tabs>
        <w:numPr>
          <w:ilvl w:val="1"/>
          <w:numId w:val="1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Purchase Not for Distribution. Any Option Shares or other securities acquired by Grantee upon exercise of the Option will not be acquired with a view to the public distribution thereof in violation of any federal or state securities laws and will not be transferred or otherwise disposed of except in a transaction registered or exempt from registration under the Securities Act and any applicable state securities laws.</w:t>
      </w:r>
    </w:p>
    <w:p>
      <w:pPr>
        <w:spacing w:after="0" w:line="185" w:lineRule="exact"/>
        <w:rPr>
          <w:rFonts w:ascii="Courier New" w:cs="Courier New" w:eastAsia="Courier New" w:hAnsi="Courier New"/>
          <w:sz w:val="16"/>
          <w:szCs w:val="16"/>
          <w:color w:val="auto"/>
        </w:rPr>
      </w:pPr>
    </w:p>
    <w:p>
      <w:pPr>
        <w:ind w:left="2020" w:hanging="292"/>
        <w:spacing w:after="0"/>
        <w:tabs>
          <w:tab w:leader="none" w:pos="2020" w:val="left"/>
        </w:tabs>
        <w:numPr>
          <w:ilvl w:val="0"/>
          <w:numId w:val="1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Adjustment upon Changes in Issuer Capitalization, Etc.</w:t>
      </w:r>
    </w:p>
    <w:p>
      <w:pPr>
        <w:spacing w:after="0" w:line="190" w:lineRule="exact"/>
        <w:rPr>
          <w:rFonts w:ascii="Courier New" w:cs="Courier New" w:eastAsia="Courier New" w:hAnsi="Courier New"/>
          <w:sz w:val="16"/>
          <w:szCs w:val="16"/>
          <w:color w:val="auto"/>
        </w:rPr>
      </w:pPr>
    </w:p>
    <w:p>
      <w:pPr>
        <w:ind w:right="2539" w:firstLine="2593"/>
        <w:spacing w:after="0" w:line="244" w:lineRule="auto"/>
        <w:tabs>
          <w:tab w:leader="none" w:pos="2978" w:val="left"/>
        </w:tabs>
        <w:numPr>
          <w:ilvl w:val="1"/>
          <w:numId w:val="1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of any change from time to time in Issuer Common Stock or any other shares or securities subject to the Option by reason of a stock dividend, subdivision, spinoff, stock split, split-up, merger, consolidation, recapitalization, combination, exchange of shares, or dividend or distribution, other than regular cash dividends, on or in respect of the Issuer Common Stock, the type and number of shares or securities subject to the Option, and the Purchase Price therefor, shall be adjusted appropriately, and proper provision shall be made in the agreements governing such transaction, so that Grantee shall receive, upon exercise of the Option, the number and class of shares or other securities or property that Grantee would have received in respect of Issuer Common Stock if the Option had been exercised immediately prior to such event, or the record date therefor, as applicable. If any additional shares of Issuer Common Stock are issued or otherwise become outstanding after the date of this Agreement (other than pursuant to an event described in the first sentence of this Section 7(a) or upon exercise of the Option), the number of shares of Issuer Common Stock subject to the Option shall be increased so that, after such issuance, it, together with any shares of Issuer Common Stock previously issued pursuant hereto, equals 19.9% of the number of shares of Issuer Common Stock then issued and outstanding, without giving effect to any shares subject to or issued pursuant to the Option. No provision of this Section 7 shall be deemed to affect or change, or constitute authorization for any violation of, any of the covenants, agreements, representations or warranties in the Merger Agreement.</w:t>
      </w:r>
    </w:p>
    <w:p>
      <w:pPr>
        <w:spacing w:after="0" w:line="200" w:lineRule="exact"/>
        <w:rPr>
          <w:sz w:val="20"/>
          <w:szCs w:val="20"/>
          <w:color w:val="auto"/>
        </w:rPr>
      </w:pPr>
    </w:p>
    <w:p>
      <w:pPr>
        <w:spacing w:after="0" w:line="364"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300" w:right="1440" w:bottom="1440" w:gutter="0" w:footer="0" w:header="0"/>
        </w:sectPr>
      </w:pPr>
    </w:p>
    <w:bookmarkStart w:id="105" w:name="page106"/>
    <w:bookmarkEnd w:id="105"/>
    <w:p>
      <w:pPr>
        <w:ind w:left="280"/>
        <w:spacing w:after="0"/>
        <w:rPr>
          <w:sz w:val="20"/>
          <w:szCs w:val="20"/>
          <w:color w:val="auto"/>
        </w:rPr>
      </w:pPr>
      <w:r>
        <w:rPr>
          <w:rFonts w:ascii="Courier New" w:cs="Courier New" w:eastAsia="Courier New" w:hAnsi="Courier New"/>
          <w:sz w:val="16"/>
          <w:szCs w:val="16"/>
          <w:color w:val="auto"/>
        </w:rPr>
        <w:t>7</w:t>
      </w:r>
    </w:p>
    <w:p>
      <w:pPr>
        <w:spacing w:after="0" w:line="4" w:lineRule="exact"/>
        <w:rPr>
          <w:sz w:val="20"/>
          <w:szCs w:val="20"/>
          <w:color w:val="auto"/>
        </w:rPr>
      </w:pPr>
    </w:p>
    <w:p>
      <w:pPr>
        <w:ind w:left="2980" w:hanging="387"/>
        <w:spacing w:after="0"/>
        <w:tabs>
          <w:tab w:leader="none" w:pos="2980" w:val="left"/>
        </w:tabs>
        <w:numPr>
          <w:ilvl w:val="0"/>
          <w:numId w:val="1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Without limiting the parties' relative rights,</w:t>
      </w:r>
    </w:p>
    <w:p>
      <w:pPr>
        <w:spacing w:after="0" w:line="5" w:lineRule="exact"/>
        <w:rPr>
          <w:rFonts w:ascii="Courier New" w:cs="Courier New" w:eastAsia="Courier New" w:hAnsi="Courier New"/>
          <w:sz w:val="16"/>
          <w:szCs w:val="16"/>
          <w:color w:val="auto"/>
        </w:rPr>
      </w:pPr>
    </w:p>
    <w:p>
      <w:pPr>
        <w:ind w:right="253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remedies, liabilities and obligations under the Merger Agreement or this Agreement, in the event that, prior to the termination of the Option, Issuer shall enter into an agreement (other than the Merger Agreement) (i) to consolidate with or merge into any person, other than Grantee or one of its Subsidiaries, and shall not be the continuing or surviving corporation of such consolidation or merger, (ii) to permit any person, other than Grantee or one of its Subsidiaries, to merge into Issuer and Issuer shall be the continuing or surviving corporation, but, in connection with such merger, the then outstanding shares of Issuer Common Stock shall be changed into or exchanged for another class or series of stock or other securities of Issuer or any other person or cash or any other property or the outstanding shares of Issuer Common Stock immediately prior to such merger shall, after such merger, represent less than 50% of the outstanding shares and share equivalents having general voting power of the merged company, or (iii) to sell or otherwise transfer all or substantially all of its assets (or those of its Subsidiaries taken as a whole) in one transaction or a series of related transactions, to any person, other than Grantee or one of its Subsidiaries, then, and in each such case, the agreement governing such transaction shall make proper provisions so that the Option shall, upon the consummation of any such transaction and upon the terms and conditions set forth herein, be converted into, or exchanged for, an option (the "Substitute Option"), at the election of Grantee, of either (x) the Acquiring Corporation (as hereinafter defined), (y) any person that controls the Acquiring Corporation, or (z) in the case of a merger described in clause (ii), Issuer (such person being referred to as the "Substitute Option Issuer").</w:t>
      </w:r>
    </w:p>
    <w:p>
      <w:pPr>
        <w:spacing w:after="0" w:line="196" w:lineRule="exact"/>
        <w:rPr>
          <w:rFonts w:ascii="Courier New" w:cs="Courier New" w:eastAsia="Courier New" w:hAnsi="Courier New"/>
          <w:sz w:val="16"/>
          <w:szCs w:val="16"/>
          <w:color w:val="auto"/>
        </w:rPr>
      </w:pPr>
    </w:p>
    <w:p>
      <w:pPr>
        <w:ind w:right="2639" w:firstLine="2593"/>
        <w:spacing w:after="0" w:line="262" w:lineRule="auto"/>
        <w:tabs>
          <w:tab w:leader="none" w:pos="2978" w:val="left"/>
        </w:tabs>
        <w:numPr>
          <w:ilvl w:val="0"/>
          <w:numId w:val="1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Substitute Option shall have the same terms as the Option; provided, that the exercise price therefor and number of shares subject thereto shall be as set forth in this Section 7 and the repurchase rights relating thereto shall be as set forth in Section 9; provided, further, that if a Purchase Event shall have occurred prior to or in connection with the issuance of such Substitute Option, the Substitute Option shall be exercisable immediately upon issuance without the occurrence of a further Purchase Event; and provided, further, that if the terms of the Substitute Option cannot, for legal reasons, be the same as the Option, such terms shall be as similar as possible and in no event less advantageous to Grantee. Substitute Option Issuer shall also enter into an agreement with Grantee in substantially the same form as this Agreement, which shall be applicable to the Substitute Option.</w:t>
      </w:r>
    </w:p>
    <w:p>
      <w:pPr>
        <w:spacing w:after="0" w:line="174" w:lineRule="exact"/>
        <w:rPr>
          <w:rFonts w:ascii="Courier New" w:cs="Courier New" w:eastAsia="Courier New" w:hAnsi="Courier New"/>
          <w:sz w:val="15"/>
          <w:szCs w:val="15"/>
          <w:color w:val="auto"/>
        </w:rPr>
      </w:pPr>
    </w:p>
    <w:p>
      <w:pPr>
        <w:ind w:left="2980" w:hanging="387"/>
        <w:spacing w:after="0"/>
        <w:tabs>
          <w:tab w:leader="none" w:pos="2980" w:val="left"/>
        </w:tabs>
        <w:numPr>
          <w:ilvl w:val="0"/>
          <w:numId w:val="1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Substitute Option shall be exercisable for</w:t>
      </w:r>
    </w:p>
    <w:p>
      <w:pPr>
        <w:spacing w:after="0" w:line="5" w:lineRule="exact"/>
        <w:rPr>
          <w:rFonts w:ascii="Courier New" w:cs="Courier New" w:eastAsia="Courier New" w:hAnsi="Courier New"/>
          <w:sz w:val="16"/>
          <w:szCs w:val="16"/>
          <w:color w:val="auto"/>
        </w:rPr>
      </w:pPr>
    </w:p>
    <w:p>
      <w:pPr>
        <w:ind w:right="253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such number of shares of Substitute Common Stock (as hereinafter defined) as is equal to the Market/Offer Price (as hereinafter defined) multiplied by the number of shares of Issuer Common Stock for which the Option was theretofore exercisable, divided by the Average Price (as hereinafter defined). The exercise price of the Substitute Option per share of Substitute Common Stock (the "Substitute Option Price") shall then be equal to the Purchase Price multiplied by a fraction in which the numerator is the number of shares of Issuer Common Stock for which the Option was theretofore exercisable and the denominator is the number of shares of Substitute Common Stock for which the Substitute Option is exercisable.</w:t>
      </w:r>
    </w:p>
    <w:p>
      <w:pPr>
        <w:spacing w:after="0" w:line="187" w:lineRule="exact"/>
        <w:rPr>
          <w:rFonts w:ascii="Courier New" w:cs="Courier New" w:eastAsia="Courier New" w:hAnsi="Courier New"/>
          <w:sz w:val="16"/>
          <w:szCs w:val="16"/>
          <w:color w:val="auto"/>
        </w:rPr>
      </w:pPr>
    </w:p>
    <w:p>
      <w:pPr>
        <w:ind w:left="2980" w:hanging="387"/>
        <w:spacing w:after="0"/>
        <w:tabs>
          <w:tab w:leader="none" w:pos="2980" w:val="left"/>
        </w:tabs>
        <w:numPr>
          <w:ilvl w:val="0"/>
          <w:numId w:val="1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following terms have the meanings indicated:</w:t>
      </w:r>
    </w:p>
    <w:p>
      <w:pPr>
        <w:spacing w:after="0" w:line="188" w:lineRule="exact"/>
        <w:rPr>
          <w:rFonts w:ascii="Courier New" w:cs="Courier New" w:eastAsia="Courier New" w:hAnsi="Courier New"/>
          <w:sz w:val="16"/>
          <w:szCs w:val="16"/>
          <w:color w:val="auto"/>
        </w:rPr>
      </w:pPr>
    </w:p>
    <w:p>
      <w:pPr>
        <w:ind w:left="3840" w:hanging="383"/>
        <w:spacing w:after="0"/>
        <w:tabs>
          <w:tab w:leader="none" w:pos="3840" w:val="left"/>
        </w:tabs>
        <w:numPr>
          <w:ilvl w:val="1"/>
          <w:numId w:val="1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"Acquiring Corporation" shall mean (x)</w:t>
      </w:r>
    </w:p>
    <w:p>
      <w:pPr>
        <w:spacing w:after="0" w:line="5" w:lineRule="exact"/>
        <w:rPr>
          <w:rFonts w:ascii="Courier New" w:cs="Courier New" w:eastAsia="Courier New" w:hAnsi="Courier New"/>
          <w:sz w:val="16"/>
          <w:szCs w:val="16"/>
          <w:color w:val="auto"/>
        </w:rPr>
      </w:pPr>
    </w:p>
    <w:p>
      <w:pPr>
        <w:ind w:right="2539"/>
        <w:spacing w:after="0" w:line="24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continuing or surviving corporation of a consolidation or merger with Issuer (if other than Issuer), or at</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300" w:right="1440" w:bottom="1440" w:gutter="0" w:footer="0" w:header="0"/>
        </w:sectPr>
      </w:pPr>
    </w:p>
    <w:bookmarkStart w:id="106" w:name="page107"/>
    <w:bookmarkEnd w:id="106"/>
    <w:p>
      <w:pPr>
        <w:ind w:left="281"/>
        <w:spacing w:after="0"/>
        <w:rPr>
          <w:sz w:val="20"/>
          <w:szCs w:val="20"/>
          <w:color w:val="auto"/>
        </w:rPr>
      </w:pPr>
      <w:r>
        <w:rPr>
          <w:rFonts w:ascii="Courier New" w:cs="Courier New" w:eastAsia="Courier New" w:hAnsi="Courier New"/>
          <w:sz w:val="16"/>
          <w:szCs w:val="16"/>
          <w:color w:val="auto"/>
        </w:rPr>
        <w:t>8</w:t>
      </w:r>
    </w:p>
    <w:p>
      <w:pPr>
        <w:spacing w:after="0" w:line="5" w:lineRule="exact"/>
        <w:rPr>
          <w:sz w:val="20"/>
          <w:szCs w:val="20"/>
          <w:color w:val="auto"/>
        </w:rPr>
      </w:pPr>
    </w:p>
    <w:p>
      <w:pPr>
        <w:ind w:left="1" w:right="2539"/>
        <w:spacing w:after="0" w:line="243" w:lineRule="auto"/>
        <w:rPr>
          <w:sz w:val="20"/>
          <w:szCs w:val="20"/>
          <w:color w:val="auto"/>
        </w:rPr>
      </w:pPr>
      <w:r>
        <w:rPr>
          <w:rFonts w:ascii="Courier New" w:cs="Courier New" w:eastAsia="Courier New" w:hAnsi="Courier New"/>
          <w:sz w:val="16"/>
          <w:szCs w:val="16"/>
          <w:color w:val="auto"/>
        </w:rPr>
        <w:t>Grantee's election, any person that controls such surviving corporation, (y) Issuer in a merger in which Issuer is the continuing or surviving person, or (z) the transferee of all or substantially all of Issuer's assets (or of the assets of its Subsidiaries taken as a whole).</w:t>
      </w:r>
    </w:p>
    <w:p>
      <w:pPr>
        <w:spacing w:after="0" w:line="190" w:lineRule="exact"/>
        <w:rPr>
          <w:sz w:val="20"/>
          <w:szCs w:val="20"/>
          <w:color w:val="auto"/>
        </w:rPr>
      </w:pPr>
    </w:p>
    <w:p>
      <w:pPr>
        <w:ind w:left="1" w:right="2639" w:firstLine="3457"/>
        <w:spacing w:after="0" w:line="244" w:lineRule="auto"/>
        <w:tabs>
          <w:tab w:leader="none" w:pos="3941" w:val="left"/>
        </w:tabs>
        <w:numPr>
          <w:ilvl w:val="1"/>
          <w:numId w:val="1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"Market/Offer Price" shall mean the highest of (v) the highest price per share of Issuer Common Stock at which a Tender Offer or an Exchange Offer therefor has been made, (w) the highest price per share of Issuer Common Stock to be paid by any third party pursuant to an agreement with Issuer, (x) the price per share of Issuer Common Stock received by holders of Issuer Common Stock in connection with any merger or other business combination transaction described in Section 7(b)(i), 7(b)(ii) or 7(b)(iii), (y) the highest closing price for shares of Issuer Common Stock within the 12-month period immediately preceding the date on which the merger, consolidation, asset sale or other transaction in question is consummated, and</w:t>
      </w:r>
    </w:p>
    <w:p>
      <w:pPr>
        <w:spacing w:after="0" w:line="4" w:lineRule="exact"/>
        <w:rPr>
          <w:rFonts w:ascii="Courier New" w:cs="Courier New" w:eastAsia="Courier New" w:hAnsi="Courier New"/>
          <w:sz w:val="16"/>
          <w:szCs w:val="16"/>
          <w:color w:val="auto"/>
        </w:rPr>
      </w:pPr>
    </w:p>
    <w:p>
      <w:pPr>
        <w:ind w:left="1" w:right="2539" w:hanging="1"/>
        <w:spacing w:after="0" w:line="244" w:lineRule="auto"/>
        <w:tabs>
          <w:tab w:leader="none" w:pos="386" w:val="left"/>
        </w:tabs>
        <w:numPr>
          <w:ilvl w:val="0"/>
          <w:numId w:val="1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of a sale of all or substantially all of Issuer's assets (or those of its Subsidiaries taken as a whole) an amount equal to (I) the sum of the price paid in such sale for such assets and the current market value of the remaining assets of Issuer, as determined by a nationally-recognized independent investment banking firm selected by Grantee, divided by (II) the number of shares of Issuer Common Stock outstanding at such time. In calculating the Market/Offer Price, in the event that a Tender Offer or an Exchange Offer is made for Issuer Common Stock or an agreement is entered into involving consideration other than cash, the value of the securities or other property issuable or deliverable in exchange for Issuer Common Stock shall be determined by a nationally-recognized independent investment banking firm selected by Grantee.</w:t>
      </w:r>
    </w:p>
    <w:p>
      <w:pPr>
        <w:spacing w:after="0" w:line="190" w:lineRule="exact"/>
        <w:rPr>
          <w:rFonts w:ascii="Courier New" w:cs="Courier New" w:eastAsia="Courier New" w:hAnsi="Courier New"/>
          <w:sz w:val="16"/>
          <w:szCs w:val="16"/>
          <w:color w:val="auto"/>
        </w:rPr>
      </w:pPr>
    </w:p>
    <w:p>
      <w:pPr>
        <w:ind w:left="4041" w:hanging="583"/>
        <w:spacing w:after="0"/>
        <w:tabs>
          <w:tab w:leader="none" w:pos="4041" w:val="left"/>
        </w:tabs>
        <w:numPr>
          <w:ilvl w:val="1"/>
          <w:numId w:val="1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"Average Price" shall mean the average</w:t>
      </w:r>
    </w:p>
    <w:p>
      <w:pPr>
        <w:spacing w:after="0" w:line="14" w:lineRule="exact"/>
        <w:rPr>
          <w:rFonts w:ascii="Courier New" w:cs="Courier New" w:eastAsia="Courier New" w:hAnsi="Courier New"/>
          <w:sz w:val="15"/>
          <w:szCs w:val="15"/>
          <w:color w:val="auto"/>
        </w:rPr>
      </w:pPr>
    </w:p>
    <w:p>
      <w:pPr>
        <w:ind w:left="1" w:right="2539"/>
        <w:spacing w:after="0" w:line="244" w:lineRule="auto"/>
        <w:rPr>
          <w:rFonts w:ascii="Courier New" w:cs="Courier New" w:eastAsia="Courier New" w:hAnsi="Courier New"/>
          <w:sz w:val="15"/>
          <w:szCs w:val="15"/>
          <w:color w:val="auto"/>
        </w:rPr>
      </w:pPr>
      <w:r>
        <w:rPr>
          <w:rFonts w:ascii="Courier New" w:cs="Courier New" w:eastAsia="Courier New" w:hAnsi="Courier New"/>
          <w:sz w:val="16"/>
          <w:szCs w:val="16"/>
          <w:color w:val="auto"/>
        </w:rPr>
        <w:t>closing sales price per share of a share of Substitute Common Stock quoted on the NYSE (or if Substitute Common Stock is not quoted on the NYSE, the average closing sales price per share as quoted on the Nasdaq National Market System or, if the shares of Substitute Common Stock are not quoted thereon, the highest bid price per share as quoted on the principal trading market on which such shares are traded as reported by a recognized source) for the 12-month period immediately preceding the date of consummation of the consolidation, merger or sale in question; provided, that if Issuer is the issuer of the Substitute Option, the Average Price shall be computed with respect to a share of common stock issued by Issuer, by the person merging into Issuer or by any company which controls such person, as Grantee may elect.</w:t>
      </w:r>
    </w:p>
    <w:p>
      <w:pPr>
        <w:spacing w:after="0" w:line="188" w:lineRule="exact"/>
        <w:rPr>
          <w:sz w:val="20"/>
          <w:szCs w:val="20"/>
          <w:color w:val="auto"/>
        </w:rPr>
      </w:pPr>
    </w:p>
    <w:p>
      <w:pPr>
        <w:ind w:left="3941" w:hanging="483"/>
        <w:spacing w:after="0"/>
        <w:tabs>
          <w:tab w:leader="none" w:pos="3941" w:val="left"/>
        </w:tabs>
        <w:numPr>
          <w:ilvl w:val="1"/>
          <w:numId w:val="1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"Substitute Common Stock" shall mean</w:t>
      </w:r>
    </w:p>
    <w:p>
      <w:pPr>
        <w:spacing w:after="0" w:line="5" w:lineRule="exact"/>
        <w:rPr>
          <w:rFonts w:ascii="Courier New" w:cs="Courier New" w:eastAsia="Courier New" w:hAnsi="Courier New"/>
          <w:sz w:val="16"/>
          <w:szCs w:val="16"/>
          <w:color w:val="auto"/>
        </w:rPr>
      </w:pPr>
    </w:p>
    <w:p>
      <w:pPr>
        <w:ind w:left="1" w:right="2919"/>
        <w:spacing w:after="0" w:line="243"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shares of capital stock (or similar equity interest) with the greatest voting power in respect of the election of directors (or persons similarly responsible for the direction of the business and affairs) of the Substitute Option Issuer.</w:t>
      </w:r>
    </w:p>
    <w:p>
      <w:pPr>
        <w:spacing w:after="0" w:line="189" w:lineRule="exact"/>
        <w:rPr>
          <w:rFonts w:ascii="Courier New" w:cs="Courier New" w:eastAsia="Courier New" w:hAnsi="Courier New"/>
          <w:sz w:val="16"/>
          <w:szCs w:val="16"/>
          <w:color w:val="auto"/>
        </w:rPr>
      </w:pPr>
    </w:p>
    <w:p>
      <w:pPr>
        <w:ind w:left="1" w:right="2539" w:firstLine="2593"/>
        <w:spacing w:after="0" w:line="262" w:lineRule="auto"/>
        <w:tabs>
          <w:tab w:leader="none" w:pos="2980" w:val="left"/>
        </w:tabs>
        <w:numPr>
          <w:ilvl w:val="0"/>
          <w:numId w:val="1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no event, pursuant to any of the foregoing paragraphs, shall the Substitute Option be exercisable for more than 19.9% of the shares of Substitute Common Stock outstanding prior to exercise of the Substitute Option. In the event that the Substitute Option would be exercisable for more than 19.9% of the shares of Substitute Common Stock but for the limitation in the first sentence of this Section 7(f), Substitute Option Issuer shall make a cash payment to Grantee equal to the excess of (i) the value of the Substitute Option without giving effect to the limitation in the first sentence of this Section 7(f) over (ii) the value of the Substitute Option after giving effect to the limitation in the first sentence of this Section 7(f). This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21"/>
          </w:cols>
          <w:pgMar w:left="239" w:top="300" w:right="1440" w:bottom="1440" w:gutter="0" w:footer="0" w:header="0"/>
        </w:sectPr>
      </w:pPr>
    </w:p>
    <w:bookmarkStart w:id="107" w:name="page108"/>
    <w:bookmarkEnd w:id="107"/>
    <w:p>
      <w:pPr>
        <w:ind w:left="280"/>
        <w:spacing w:after="0"/>
        <w:rPr>
          <w:sz w:val="20"/>
          <w:szCs w:val="20"/>
          <w:color w:val="auto"/>
        </w:rPr>
      </w:pPr>
      <w:r>
        <w:rPr>
          <w:rFonts w:ascii="Courier New" w:cs="Courier New" w:eastAsia="Courier New" w:hAnsi="Courier New"/>
          <w:sz w:val="16"/>
          <w:szCs w:val="16"/>
          <w:color w:val="auto"/>
        </w:rPr>
        <w:t>9</w:t>
      </w:r>
    </w:p>
    <w:p>
      <w:pPr>
        <w:spacing w:after="0" w:line="5" w:lineRule="exact"/>
        <w:rPr>
          <w:sz w:val="20"/>
          <w:szCs w:val="20"/>
          <w:color w:val="auto"/>
        </w:rPr>
      </w:pPr>
    </w:p>
    <w:p>
      <w:pPr>
        <w:ind w:right="2719"/>
        <w:spacing w:after="0" w:line="242" w:lineRule="auto"/>
        <w:rPr>
          <w:sz w:val="20"/>
          <w:szCs w:val="20"/>
          <w:color w:val="auto"/>
        </w:rPr>
      </w:pPr>
      <w:r>
        <w:rPr>
          <w:rFonts w:ascii="Courier New" w:cs="Courier New" w:eastAsia="Courier New" w:hAnsi="Courier New"/>
          <w:sz w:val="16"/>
          <w:szCs w:val="16"/>
          <w:color w:val="auto"/>
        </w:rPr>
        <w:t>difference in value shall be determined by a nationally-recognized independent investment banking firm selected by Grantee.</w:t>
      </w:r>
    </w:p>
    <w:p>
      <w:pPr>
        <w:spacing w:after="0" w:line="187" w:lineRule="exact"/>
        <w:rPr>
          <w:sz w:val="20"/>
          <w:szCs w:val="20"/>
          <w:color w:val="auto"/>
        </w:rPr>
      </w:pPr>
    </w:p>
    <w:p>
      <w:pPr>
        <w:ind w:left="2980" w:hanging="387"/>
        <w:spacing w:after="0"/>
        <w:tabs>
          <w:tab w:leader="none" w:pos="2980" w:val="left"/>
        </w:tabs>
        <w:numPr>
          <w:ilvl w:val="1"/>
          <w:numId w:val="1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Issuer shall not enter into any transaction</w:t>
      </w:r>
    </w:p>
    <w:p>
      <w:pPr>
        <w:spacing w:after="0" w:line="5" w:lineRule="exact"/>
        <w:rPr>
          <w:rFonts w:ascii="Courier New" w:cs="Courier New" w:eastAsia="Courier New" w:hAnsi="Courier New"/>
          <w:sz w:val="16"/>
          <w:szCs w:val="16"/>
          <w:color w:val="auto"/>
        </w:rPr>
      </w:pPr>
    </w:p>
    <w:p>
      <w:pPr>
        <w:ind w:right="253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described in Section 7(b) unless the Acquiring Corporation and any person that controls the Acquiring Corporation assume in writing all the obligations of Issuer hereunder and take all other actions that may be necessary so that the provisions of this Section 7 are given full force and effect (including, without limitation, any action that may be necessary so that the holders of the other shares of common stock issued by Substitute Option Issuer are not entitled to exercise any rights by reason of the issuance or exercise of the Substitute Option and the shares of Substitute Common Stock are otherwise in no way distinguishable from or have lesser economic value (other than any diminution in value resulting from the fact that the shares of Substitute Common Stock are restricted securities, as defined in Rule 144 under the Securities Act or any successor provision) than other shares of common stock issued by Substitute Option Issuer).</w:t>
      </w:r>
    </w:p>
    <w:p>
      <w:pPr>
        <w:spacing w:after="0" w:line="189" w:lineRule="exact"/>
        <w:rPr>
          <w:rFonts w:ascii="Courier New" w:cs="Courier New" w:eastAsia="Courier New" w:hAnsi="Courier New"/>
          <w:sz w:val="16"/>
          <w:szCs w:val="16"/>
          <w:color w:val="auto"/>
        </w:rPr>
      </w:pPr>
    </w:p>
    <w:p>
      <w:pPr>
        <w:ind w:left="2600" w:hanging="872"/>
        <w:spacing w:after="0"/>
        <w:tabs>
          <w:tab w:leader="none" w:pos="2600" w:val="left"/>
        </w:tabs>
        <w:numPr>
          <w:ilvl w:val="0"/>
          <w:numId w:val="1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Repurchase at the Option of Grantee.</w:t>
      </w:r>
    </w:p>
    <w:p>
      <w:pPr>
        <w:spacing w:after="0" w:line="190" w:lineRule="exact"/>
        <w:rPr>
          <w:rFonts w:ascii="Courier New" w:cs="Courier New" w:eastAsia="Courier New" w:hAnsi="Courier New"/>
          <w:sz w:val="16"/>
          <w:szCs w:val="16"/>
          <w:color w:val="auto"/>
        </w:rPr>
      </w:pPr>
    </w:p>
    <w:p>
      <w:pPr>
        <w:ind w:right="2539" w:firstLine="2593"/>
        <w:spacing w:after="0" w:line="244" w:lineRule="auto"/>
        <w:tabs>
          <w:tab w:leader="none" w:pos="2978" w:val="left"/>
        </w:tabs>
        <w:numPr>
          <w:ilvl w:val="1"/>
          <w:numId w:val="1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the request of Grantee at any time commencing upon the first occurrence of a Repurchase Event (as defined in Section 8(c)) and prior to the termination of the Option pursuant to Section 3(a), Issuer (or any successor) shall repurchase from Grantee (x) the Option and (y) all shares of Issuer Common Stock purchased by Grantee pursuant hereto with respect to which Grantee then has beneficial ownership. The date on which Grantee exercises its rights under this Section 8 is referred to as the "Request Date". Such repurchase shall be at an aggregate price (the "Section 8 Repurchase Consideration") equal to the sum of:</w:t>
      </w:r>
    </w:p>
    <w:p>
      <w:pPr>
        <w:spacing w:after="0" w:line="189" w:lineRule="exact"/>
        <w:rPr>
          <w:rFonts w:ascii="Courier New" w:cs="Courier New" w:eastAsia="Courier New" w:hAnsi="Courier New"/>
          <w:sz w:val="16"/>
          <w:szCs w:val="16"/>
          <w:color w:val="auto"/>
        </w:rPr>
      </w:pPr>
    </w:p>
    <w:p>
      <w:pPr>
        <w:ind w:right="2819" w:firstLine="3457"/>
        <w:spacing w:after="0" w:line="243" w:lineRule="auto"/>
        <w:tabs>
          <w:tab w:leader="none" w:pos="3843" w:val="left"/>
        </w:tabs>
        <w:numPr>
          <w:ilvl w:val="2"/>
          <w:numId w:val="1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aggregate Purchase Price paid by Grantee for any shares of Issuer Common Stock acquired pursuant to the Option with respect to which Grantee then has beneficial ownership;</w:t>
      </w:r>
    </w:p>
    <w:p>
      <w:pPr>
        <w:spacing w:after="0" w:line="186" w:lineRule="exact"/>
        <w:rPr>
          <w:rFonts w:ascii="Courier New" w:cs="Courier New" w:eastAsia="Courier New" w:hAnsi="Courier New"/>
          <w:sz w:val="16"/>
          <w:szCs w:val="16"/>
          <w:color w:val="auto"/>
        </w:rPr>
      </w:pPr>
    </w:p>
    <w:p>
      <w:pPr>
        <w:ind w:left="3940" w:hanging="483"/>
        <w:spacing w:after="0"/>
        <w:tabs>
          <w:tab w:leader="none" w:pos="3940" w:val="left"/>
        </w:tabs>
        <w:numPr>
          <w:ilvl w:val="2"/>
          <w:numId w:val="1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excess, if any, of (x) the</w:t>
      </w:r>
    </w:p>
    <w:p>
      <w:pPr>
        <w:spacing w:after="0" w:line="5" w:lineRule="exact"/>
        <w:rPr>
          <w:rFonts w:ascii="Courier New" w:cs="Courier New" w:eastAsia="Courier New" w:hAnsi="Courier New"/>
          <w:sz w:val="16"/>
          <w:szCs w:val="16"/>
          <w:color w:val="auto"/>
        </w:rPr>
      </w:pPr>
    </w:p>
    <w:p>
      <w:pPr>
        <w:ind w:right="2539"/>
        <w:spacing w:after="0" w:line="267"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Market/Offer Price for each share of Issuer Common Stock over (y) the Purchase Price (as adjusted pursuant to Section 7), multiplied by the number of shares of Issuer Common Stock with respect to which the Option has not been exercised; and</w:t>
      </w:r>
    </w:p>
    <w:p>
      <w:pPr>
        <w:spacing w:after="0" w:line="170" w:lineRule="exact"/>
        <w:rPr>
          <w:rFonts w:ascii="Courier New" w:cs="Courier New" w:eastAsia="Courier New" w:hAnsi="Courier New"/>
          <w:sz w:val="16"/>
          <w:szCs w:val="16"/>
          <w:color w:val="auto"/>
        </w:rPr>
      </w:pPr>
    </w:p>
    <w:p>
      <w:pPr>
        <w:ind w:left="4040" w:hanging="583"/>
        <w:spacing w:after="0"/>
        <w:tabs>
          <w:tab w:leader="none" w:pos="4040" w:val="left"/>
        </w:tabs>
        <w:numPr>
          <w:ilvl w:val="2"/>
          <w:numId w:val="1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excess, if any, of the</w:t>
      </w:r>
    </w:p>
    <w:p>
      <w:pPr>
        <w:spacing w:after="0" w:line="5" w:lineRule="exact"/>
        <w:rPr>
          <w:rFonts w:ascii="Courier New" w:cs="Courier New" w:eastAsia="Courier New" w:hAnsi="Courier New"/>
          <w:sz w:val="16"/>
          <w:szCs w:val="16"/>
          <w:color w:val="auto"/>
        </w:rPr>
      </w:pPr>
    </w:p>
    <w:p>
      <w:pPr>
        <w:ind w:right="263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Market/Offer Price over the Purchase Price paid (or, in the case of Option Shares with respect to which the option has been exercised but the Closing Date has not occurred, payable, as adjusted pursuant to Section 7) by Grantee for each share of Issuer Common Stock with respect to which the Option has been exercised and with respect to which Grantee then has beneficial ownership, multiplied by the number of such shares.</w:t>
      </w:r>
    </w:p>
    <w:p>
      <w:pPr>
        <w:spacing w:after="0" w:line="185" w:lineRule="exact"/>
        <w:rPr>
          <w:rFonts w:ascii="Courier New" w:cs="Courier New" w:eastAsia="Courier New" w:hAnsi="Courier New"/>
          <w:sz w:val="16"/>
          <w:szCs w:val="16"/>
          <w:color w:val="auto"/>
        </w:rPr>
      </w:pPr>
    </w:p>
    <w:p>
      <w:pPr>
        <w:ind w:left="2980" w:hanging="387"/>
        <w:spacing w:after="0"/>
        <w:tabs>
          <w:tab w:leader="none" w:pos="2980" w:val="left"/>
        </w:tabs>
        <w:numPr>
          <w:ilvl w:val="1"/>
          <w:numId w:val="1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Grantee exercises its rights under this</w:t>
      </w:r>
    </w:p>
    <w:p>
      <w:pPr>
        <w:spacing w:after="0" w:line="5" w:lineRule="exact"/>
        <w:rPr>
          <w:rFonts w:ascii="Courier New" w:cs="Courier New" w:eastAsia="Courier New" w:hAnsi="Courier New"/>
          <w:sz w:val="16"/>
          <w:szCs w:val="16"/>
          <w:color w:val="auto"/>
        </w:rPr>
      </w:pPr>
    </w:p>
    <w:p>
      <w:pPr>
        <w:ind w:right="263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Section 8, Issuer shall, within 5 business days after the Request Date, pay the Section 8 Repurchase Consideration to Grantee in immediately available funds, and contemporaneously with such payment, Grantee shall surrender to Issuer the Option and the certificates evidencing the shares of Issuer Common Stock purchased thereunder with respect to which Grantee then has beneficial ownership, and Grantee shall warrant that it has sole record and beneficial ownership of such shares and that the</w:t>
      </w:r>
    </w:p>
    <w:p>
      <w:pPr>
        <w:spacing w:after="0" w:line="186"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300" w:right="1440" w:bottom="1440" w:gutter="0" w:footer="0" w:header="0"/>
        </w:sectPr>
      </w:pPr>
    </w:p>
    <w:bookmarkStart w:id="108" w:name="page109"/>
    <w:bookmarkEnd w:id="108"/>
    <w:p>
      <w:pPr>
        <w:ind w:left="281"/>
        <w:spacing w:after="0"/>
        <w:rPr>
          <w:sz w:val="20"/>
          <w:szCs w:val="20"/>
          <w:color w:val="auto"/>
        </w:rPr>
      </w:pPr>
      <w:r>
        <w:rPr>
          <w:rFonts w:ascii="Courier New" w:cs="Courier New" w:eastAsia="Courier New" w:hAnsi="Courier New"/>
          <w:sz w:val="16"/>
          <w:szCs w:val="16"/>
          <w:color w:val="auto"/>
        </w:rPr>
        <w:t>10</w:t>
      </w:r>
    </w:p>
    <w:p>
      <w:pPr>
        <w:spacing w:after="0" w:line="5" w:lineRule="exact"/>
        <w:rPr>
          <w:sz w:val="20"/>
          <w:szCs w:val="20"/>
          <w:color w:val="auto"/>
        </w:rPr>
      </w:pPr>
    </w:p>
    <w:p>
      <w:pPr>
        <w:ind w:left="1" w:right="2539"/>
        <w:spacing w:after="0" w:line="261" w:lineRule="auto"/>
        <w:rPr>
          <w:sz w:val="20"/>
          <w:szCs w:val="20"/>
          <w:color w:val="auto"/>
        </w:rPr>
      </w:pPr>
      <w:r>
        <w:rPr>
          <w:rFonts w:ascii="Courier New" w:cs="Courier New" w:eastAsia="Courier New" w:hAnsi="Courier New"/>
          <w:sz w:val="15"/>
          <w:szCs w:val="15"/>
          <w:color w:val="auto"/>
        </w:rPr>
        <w:t>same are then free and clear of all Liens. Notwithstanding the foregoing, to the extent that prior notification to or approval of any Governmental Entity is required in connection with the payment of all or any portion of the Section 8 Repurchase Consideration, Grantee shall have the ongoing option to revoke its request for repurchase pursuant to Section 8, in whole or in part, or to require that Issuer deliver from time to time that portion of the Section 8 Repurchase Consideration that it is not then so prohibited from paying and promptly file the required notice or application for approval and expeditiously process the same (and each party shall cooperate with the other in the filing of any such notice or application and the obtaining of any such approval) and the period of time that would otherwise run pursuant to the preceding sentence for the payment of the portion of the Section 8 Repurchase Consideration shall run instead from the date on which, as the case may be, (i) any required notification period has expired or been terminated or (ii) such approval has been obtained and, in either event, any requisite waiting period shall have passed. If any Governmental Entity disapproves of any part of Issuer's proposed repurchase pursuant to this Section 8, Issuer shall promptly give notice of such fact to Grantee. If any Governmental Entity prohibits the repurchase (and Issuer hereby undertakes to use its reasonable best efforts to obtain all required approvals from Governmental Entities to accomplish such repurchase) in part but not in whole, then Grantee shall have the right (i) to revoke the repurchase request or</w:t>
      </w:r>
    </w:p>
    <w:p>
      <w:pPr>
        <w:spacing w:after="0" w:line="184" w:lineRule="exact"/>
        <w:rPr>
          <w:sz w:val="20"/>
          <w:szCs w:val="20"/>
          <w:color w:val="auto"/>
        </w:rPr>
      </w:pPr>
    </w:p>
    <w:p>
      <w:pPr>
        <w:ind w:left="1" w:right="2539" w:hanging="1"/>
        <w:spacing w:after="0" w:line="261" w:lineRule="auto"/>
        <w:tabs>
          <w:tab w:leader="none" w:pos="482" w:val="left"/>
        </w:tabs>
        <w:numPr>
          <w:ilvl w:val="0"/>
          <w:numId w:val="1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extent permitted by such Governmental Entity, determine whether the repurchase should apply to the Option and/or Option Shares and to what extent to each, and Grantee shall thereupon have the right to exercise the Option as to the number of Option Shares for which the Option was exercisable at the Request Date less the sum of the number of shares covered by the Option in respect of which payment has been made pursuant to Section 8(a)(ii) and the number of shares covered by the portion of the Option (if any) that has been repurchased; whereupon, in the case of clause (ii), Issuer shall promptly (x) deliver to Grantee that portion of the Section 8 Repurchase Consideration that Issuer is not prohibited from delivering and (y) deliver to Grantee, as appropriate, either (A) a new Stock Option Agreement evidencing the right of Grantee to purchase that number of shares of Issuer Common Stock obtained by multiplying the number of shares of Issuer Common Stock for which the surrendered Stock Option Agreement was exercisable at the time of delivery of the notice of repurchase by a fraction, the numerator of which is the Section 8 Repurchase Consideration less the portion thereof theretofore delivered to Grantee and the denominator of which is the Section 8 Repurchase Consideration, or (B) a certificate for the Option Shares it is then so prohibited from repurchasing; provided, that if the Option shall have terminated prior to the date of such notice or shall be scheduled to terminate at any time before the expiration of a period ending on the thirtieth business day after such date, Grantee shall nonetheless have the right so to exercise the Option or exercise its rights under this Section 8 until the expiration of such period of 30 business days. Grantee shall notify Issuer of its determination under the preceding sentence within 10 business days of receipt of notice of disapproval of the repurchase.</w:t>
      </w:r>
    </w:p>
    <w:p>
      <w:pPr>
        <w:spacing w:after="0" w:line="367" w:lineRule="exact"/>
        <w:rPr>
          <w:rFonts w:ascii="Courier New" w:cs="Courier New" w:eastAsia="Courier New" w:hAnsi="Courier New"/>
          <w:sz w:val="15"/>
          <w:szCs w:val="15"/>
          <w:color w:val="auto"/>
        </w:rPr>
      </w:pPr>
    </w:p>
    <w:p>
      <w:pPr>
        <w:ind w:left="2981" w:hanging="387"/>
        <w:spacing w:after="0"/>
        <w:tabs>
          <w:tab w:leader="none" w:pos="2981" w:val="left"/>
        </w:tabs>
        <w:numPr>
          <w:ilvl w:val="1"/>
          <w:numId w:val="1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used herein, a "Repurchase Event" shall occur</w:t>
      </w:r>
    </w:p>
    <w:p>
      <w:pPr>
        <w:spacing w:after="0" w:line="5" w:lineRule="exact"/>
        <w:rPr>
          <w:rFonts w:ascii="Courier New" w:cs="Courier New" w:eastAsia="Courier New" w:hAnsi="Courier New"/>
          <w:sz w:val="16"/>
          <w:szCs w:val="16"/>
          <w:color w:val="auto"/>
        </w:rPr>
      </w:pPr>
    </w:p>
    <w:p>
      <w:pPr>
        <w:ind w:left="1" w:right="2539"/>
        <w:spacing w:after="0" w:line="262"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if (A) (i) any person (other than Grantee or any Subsidiary of Grantee) shall have acquired beneficial ownership of (as such term is defined in Rule 13d-3 promulgated under the Exchange Act), or the right to acquire beneficial ownership of, or any group shall have been formed which beneficially owns or has the right to acquire beneficial ownership of, 50% or more of the then outstanding shares of Issuer Common Stock or (ii) any of the transactions described in Section 7(b)(i), 7(b)(ii) or 7(b)(iii) has been consummated and (B) a Purchase Event shall have occurred prior to the termination of the Option.</w:t>
      </w:r>
    </w:p>
    <w:p>
      <w:pPr>
        <w:spacing w:after="0" w:line="200" w:lineRule="exact"/>
        <w:rPr>
          <w:sz w:val="20"/>
          <w:szCs w:val="20"/>
          <w:color w:val="auto"/>
        </w:rPr>
      </w:pPr>
    </w:p>
    <w:p>
      <w:pPr>
        <w:spacing w:after="0" w:line="347"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21"/>
          </w:cols>
          <w:pgMar w:left="239" w:top="300" w:right="1440" w:bottom="1440" w:gutter="0" w:footer="0" w:header="0"/>
        </w:sectPr>
      </w:pPr>
    </w:p>
    <w:bookmarkStart w:id="109" w:name="page110"/>
    <w:bookmarkEnd w:id="109"/>
    <w:p>
      <w:pPr>
        <w:ind w:left="280"/>
        <w:spacing w:after="0"/>
        <w:rPr>
          <w:sz w:val="20"/>
          <w:szCs w:val="20"/>
          <w:color w:val="auto"/>
        </w:rPr>
      </w:pPr>
      <w:r>
        <w:rPr>
          <w:rFonts w:ascii="Courier New" w:cs="Courier New" w:eastAsia="Courier New" w:hAnsi="Courier New"/>
          <w:sz w:val="16"/>
          <w:szCs w:val="16"/>
          <w:color w:val="auto"/>
        </w:rPr>
        <w:t>11</w:t>
      </w:r>
    </w:p>
    <w:p>
      <w:pPr>
        <w:spacing w:after="0" w:line="4" w:lineRule="exact"/>
        <w:rPr>
          <w:sz w:val="20"/>
          <w:szCs w:val="20"/>
          <w:color w:val="auto"/>
        </w:rPr>
      </w:pPr>
    </w:p>
    <w:p>
      <w:pPr>
        <w:ind w:left="2600" w:hanging="872"/>
        <w:spacing w:after="0"/>
        <w:tabs>
          <w:tab w:leader="none" w:pos="2600" w:val="left"/>
        </w:tabs>
        <w:numPr>
          <w:ilvl w:val="0"/>
          <w:numId w:val="1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Repurchase of Substitute Option.</w:t>
      </w:r>
    </w:p>
    <w:p>
      <w:pPr>
        <w:spacing w:after="0" w:line="190" w:lineRule="exact"/>
        <w:rPr>
          <w:rFonts w:ascii="Courier New" w:cs="Courier New" w:eastAsia="Courier New" w:hAnsi="Courier New"/>
          <w:sz w:val="16"/>
          <w:szCs w:val="16"/>
          <w:color w:val="auto"/>
        </w:rPr>
      </w:pPr>
    </w:p>
    <w:p>
      <w:pPr>
        <w:ind w:left="2980" w:hanging="387"/>
        <w:spacing w:after="0"/>
        <w:tabs>
          <w:tab w:leader="none" w:pos="2980" w:val="left"/>
        </w:tabs>
        <w:numPr>
          <w:ilvl w:val="1"/>
          <w:numId w:val="1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the request of Grantee at any time, Substitute</w:t>
      </w:r>
    </w:p>
    <w:p>
      <w:pPr>
        <w:spacing w:after="0" w:line="14" w:lineRule="exact"/>
        <w:rPr>
          <w:rFonts w:ascii="Courier New" w:cs="Courier New" w:eastAsia="Courier New" w:hAnsi="Courier New"/>
          <w:sz w:val="15"/>
          <w:szCs w:val="15"/>
          <w:color w:val="auto"/>
        </w:rPr>
      </w:pPr>
    </w:p>
    <w:p>
      <w:pPr>
        <w:ind w:right="2639"/>
        <w:spacing w:after="0" w:line="263"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Option Issuer (or any successor) shall repurchase from Grantee (x) the Substitute Option and (y) all shares of Substitute Common Stock purchased by Grantee pursuant hereto with respect to which Grantee then has beneficial ownership. The date on which Grantee exercises its rights under this Section 9 is referred to as the "Section 9 Request Date". Such repurchase shall be at an aggregate price (the "Section 9 Repurchase Consideration") equal to the sum of:</w:t>
      </w:r>
    </w:p>
    <w:p>
      <w:pPr>
        <w:spacing w:after="0" w:line="174" w:lineRule="exact"/>
        <w:rPr>
          <w:rFonts w:ascii="Courier New" w:cs="Courier New" w:eastAsia="Courier New" w:hAnsi="Courier New"/>
          <w:sz w:val="15"/>
          <w:szCs w:val="15"/>
          <w:color w:val="auto"/>
        </w:rPr>
      </w:pPr>
    </w:p>
    <w:p>
      <w:pPr>
        <w:ind w:left="3840" w:hanging="383"/>
        <w:spacing w:after="0"/>
        <w:tabs>
          <w:tab w:leader="none" w:pos="3840" w:val="left"/>
        </w:tabs>
        <w:numPr>
          <w:ilvl w:val="2"/>
          <w:numId w:val="1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aggregate purchase price paid by</w:t>
      </w:r>
    </w:p>
    <w:p>
      <w:pPr>
        <w:spacing w:after="0" w:line="5" w:lineRule="exact"/>
        <w:rPr>
          <w:rFonts w:ascii="Courier New" w:cs="Courier New" w:eastAsia="Courier New" w:hAnsi="Courier New"/>
          <w:sz w:val="16"/>
          <w:szCs w:val="16"/>
          <w:color w:val="auto"/>
        </w:rPr>
      </w:pPr>
    </w:p>
    <w:p>
      <w:pPr>
        <w:ind w:right="2819"/>
        <w:spacing w:after="0" w:line="243"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Grantee for any shares of Substitute Common Stock acquired pursuant to the Option or Substitute Option with respect to which Grantee then has beneficial ownership;</w:t>
      </w:r>
    </w:p>
    <w:p>
      <w:pPr>
        <w:spacing w:after="0" w:line="186" w:lineRule="exact"/>
        <w:rPr>
          <w:rFonts w:ascii="Courier New" w:cs="Courier New" w:eastAsia="Courier New" w:hAnsi="Courier New"/>
          <w:sz w:val="16"/>
          <w:szCs w:val="16"/>
          <w:color w:val="auto"/>
        </w:rPr>
      </w:pPr>
    </w:p>
    <w:p>
      <w:pPr>
        <w:ind w:left="3940" w:hanging="483"/>
        <w:spacing w:after="0"/>
        <w:tabs>
          <w:tab w:leader="none" w:pos="3940" w:val="left"/>
        </w:tabs>
        <w:numPr>
          <w:ilvl w:val="2"/>
          <w:numId w:val="1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excess, if any, of (x) the</w:t>
      </w:r>
    </w:p>
    <w:p>
      <w:pPr>
        <w:spacing w:after="0" w:line="5" w:lineRule="exact"/>
        <w:rPr>
          <w:rFonts w:ascii="Courier New" w:cs="Courier New" w:eastAsia="Courier New" w:hAnsi="Courier New"/>
          <w:sz w:val="16"/>
          <w:szCs w:val="16"/>
          <w:color w:val="auto"/>
        </w:rPr>
      </w:pPr>
    </w:p>
    <w:p>
      <w:pPr>
        <w:ind w:right="2719"/>
        <w:spacing w:after="0" w:line="243"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Substitute Applicable Price (as hereinafter defined) for each share of Substitute Common Stock over (y) the Substitute Option Price (as adjusted pursuant to Section 7) multiplied by the number of shares of Substitute Common Stock with respect to which the Substitute Option has not been exercised; and</w:t>
      </w:r>
    </w:p>
    <w:p>
      <w:pPr>
        <w:spacing w:after="0" w:line="187" w:lineRule="exact"/>
        <w:rPr>
          <w:rFonts w:ascii="Courier New" w:cs="Courier New" w:eastAsia="Courier New" w:hAnsi="Courier New"/>
          <w:sz w:val="16"/>
          <w:szCs w:val="16"/>
          <w:color w:val="auto"/>
        </w:rPr>
      </w:pPr>
    </w:p>
    <w:p>
      <w:pPr>
        <w:ind w:left="4040" w:hanging="583"/>
        <w:spacing w:after="0"/>
        <w:tabs>
          <w:tab w:leader="none" w:pos="4040" w:val="left"/>
        </w:tabs>
        <w:numPr>
          <w:ilvl w:val="2"/>
          <w:numId w:val="1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excess, if any, of the Substitute</w:t>
      </w:r>
    </w:p>
    <w:p>
      <w:pPr>
        <w:spacing w:after="0" w:line="5" w:lineRule="exact"/>
        <w:rPr>
          <w:rFonts w:ascii="Courier New" w:cs="Courier New" w:eastAsia="Courier New" w:hAnsi="Courier New"/>
          <w:sz w:val="16"/>
          <w:szCs w:val="16"/>
          <w:color w:val="auto"/>
        </w:rPr>
      </w:pPr>
    </w:p>
    <w:p>
      <w:pPr>
        <w:ind w:right="263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Applicable Price over the purchase price paid (or in the case of shares with respect to which the Option or Substitute Option has been exercised but the Closing Date has not occurred, payable) by Grantee for each share of Substitute Common Stock with respect to which the Option or Substitute Option has been exercised and with respect to which Grantee then has beneficial ownership, multiplied by the number of such shares.</w:t>
      </w:r>
    </w:p>
    <w:p>
      <w:pPr>
        <w:spacing w:after="0" w:line="185" w:lineRule="exact"/>
        <w:rPr>
          <w:rFonts w:ascii="Courier New" w:cs="Courier New" w:eastAsia="Courier New" w:hAnsi="Courier New"/>
          <w:sz w:val="16"/>
          <w:szCs w:val="16"/>
          <w:color w:val="auto"/>
        </w:rPr>
      </w:pPr>
    </w:p>
    <w:p>
      <w:pPr>
        <w:ind w:left="2980" w:hanging="387"/>
        <w:spacing w:after="0"/>
        <w:tabs>
          <w:tab w:leader="none" w:pos="2980" w:val="left"/>
        </w:tabs>
        <w:numPr>
          <w:ilvl w:val="1"/>
          <w:numId w:val="1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Grantee exercises its rights under this</w:t>
      </w:r>
    </w:p>
    <w:p>
      <w:pPr>
        <w:spacing w:after="0" w:line="5" w:lineRule="exact"/>
        <w:rPr>
          <w:rFonts w:ascii="Courier New" w:cs="Courier New" w:eastAsia="Courier New" w:hAnsi="Courier New"/>
          <w:sz w:val="16"/>
          <w:szCs w:val="16"/>
          <w:color w:val="auto"/>
        </w:rPr>
      </w:pPr>
    </w:p>
    <w:p>
      <w:pPr>
        <w:ind w:right="253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Section 9, Substitute Option Issuer shall, within 5 business days after the Section 9 Request Date, pay the Section 9 Repurchase Consideration to Grantee in immediately available funds, and contemporaneously with such payment, Grantee shall surrender to Substitute Option Issuer the Substitute Option and the certificates evidencing the shares of Substitute Common Stock purchased thereunder with respect to which Grantee then has beneficial ownership, and Grantee shall warrant that it has sole record and beneficial ownership of such shares and that the same are then free and clear of all Liens. Notwithstanding the foregoing, to the extent that prior notification to or approval of any Governmental Entity is required in connection with the payment of all or any portion of the Section 9 Repurchase Consideration, Grantee shall have the ongoing option to revoke its request for repurchase pursuant to Section 9, in whole or in part, or to require that Substitute Option Issuer deliver from time to time that portion of the Section 9 Repurchase Consideration that it is not then so prohibited from paying and promptly file the required notice or application for approval and expeditiously process the same (and each party shall cooperate with the other in the filing of any such notice or application and the obtaining of any such approval) and the period of time that would otherwise run pursuant to the preceding sentence for the payment of the portion of the Section 9 Repurchase Consideration shall run instead from the date on which, as the case may be, (i) any required notification period has expired or been terminated or (ii) such approval has been obtained and, in either event, any requisite waiting period shall have passed. If any Governmental Entity disapproves of any part of Substitute Option Issuer's proposed repurchase pursuant to this Section 9, Substitute Option Issuer shall promptly give notice of such fact to Grantee. If any Governmental Entity prohibits the repurchase (and Substitute Option Issuer</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300" w:right="1440" w:bottom="1440" w:gutter="0" w:footer="0" w:header="0"/>
        </w:sectPr>
      </w:pPr>
    </w:p>
    <w:bookmarkStart w:id="110" w:name="page111"/>
    <w:bookmarkEnd w:id="110"/>
    <w:p>
      <w:pPr>
        <w:ind w:left="280"/>
        <w:spacing w:after="0"/>
        <w:rPr>
          <w:sz w:val="20"/>
          <w:szCs w:val="20"/>
          <w:color w:val="auto"/>
        </w:rPr>
      </w:pPr>
      <w:r>
        <w:rPr>
          <w:rFonts w:ascii="Courier New" w:cs="Courier New" w:eastAsia="Courier New" w:hAnsi="Courier New"/>
          <w:sz w:val="16"/>
          <w:szCs w:val="16"/>
          <w:color w:val="auto"/>
        </w:rPr>
        <w:t>12</w:t>
      </w:r>
    </w:p>
    <w:p>
      <w:pPr>
        <w:spacing w:after="0" w:line="5"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hereby undertakes to use its reasonable best efforts to obtain all required approvals from Governmental Entities to accomplish such repurchase) in part but not in whole, then Grantee shall have the right (i) to revoke the repurchase request or (ii) to the extent permitted by such Governmental Entity, determine whether the repurchase should apply to the Substitute Option and/or Option Shares and to what extent to each, and Grantee shall thereupon have the right to exercise the Substitute Option as to the number of Option Shares for which the Substitute Option was exercisable at the Section 9 Request Date less the sum of the number of shares covered by the Substitute Option in respect of which payment has been made pursuant to Section 9(a)(ii) and the number of shares covered by the portion of the Substitute Option (if any) that has been repurchased; whereupon, in the case of clause (ii), Substitute Option Issuer shall promptly (x) deliver to Grantee that portion of the Section 9 Repurchase Consideration that Substitute Option Issuer is not prohibited from delivering and (y) deliver to Grantee, as appropriate, either (A) a new Stock Option Agreement evidencing the right of Grantee to purchase that number of shares of Substitute Common Stock obtained by multiplying the number of shares of Substitute Common Stock for which the surrendered Stock Option Agreement was exercisable at the time of delivery of the notice of repurchase by a fraction, the numerator of which is the Section 9 Repurchase Consideration less the portion thereof theretofore delivered to Grantee and the denominator of which is the Section 9 Repurchase Consideration or (B) a certificate for the Option Shares it is then so prohibited from repurchasing; provided, that if the Substitute Option shall have terminated prior to the date of such notice or shall be scheduled to terminate at any time before the expiration of a period ending on the thirtieth business day after such date, Grantee shall nonetheless have the right so to exercise the Substitute Option or exercise its rights under Section 9 until the expiration of such period of 30 business days. Grantee shall notify Substitute Option Issuer of its determination under the preceding sentence within ten (10) business days of receipt of notice of disapproval of the repurchase.</w:t>
      </w:r>
    </w:p>
    <w:p>
      <w:pPr>
        <w:spacing w:after="0" w:line="198" w:lineRule="exact"/>
        <w:rPr>
          <w:sz w:val="20"/>
          <w:szCs w:val="20"/>
          <w:color w:val="auto"/>
        </w:rPr>
      </w:pPr>
    </w:p>
    <w:p>
      <w:pPr>
        <w:ind w:left="2980" w:hanging="387"/>
        <w:spacing w:after="0"/>
        <w:tabs>
          <w:tab w:leader="none" w:pos="2980" w:val="left"/>
        </w:tabs>
        <w:numPr>
          <w:ilvl w:val="1"/>
          <w:numId w:val="1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purposes of this Agreement, the "Substitute</w:t>
      </w:r>
    </w:p>
    <w:p>
      <w:pPr>
        <w:spacing w:after="0" w:line="5" w:lineRule="exact"/>
        <w:rPr>
          <w:rFonts w:ascii="Courier New" w:cs="Courier New" w:eastAsia="Courier New" w:hAnsi="Courier New"/>
          <w:sz w:val="16"/>
          <w:szCs w:val="16"/>
          <w:color w:val="auto"/>
        </w:rPr>
      </w:pPr>
    </w:p>
    <w:p>
      <w:pPr>
        <w:ind w:right="2639"/>
        <w:spacing w:after="0" w:line="274"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Applicable Price" means the highest closing sales price per share of Substitute Common Stock during the six months preceding the Section 9 Request Date.</w:t>
      </w:r>
    </w:p>
    <w:p>
      <w:pPr>
        <w:spacing w:after="0" w:line="164" w:lineRule="exact"/>
        <w:rPr>
          <w:rFonts w:ascii="Courier New" w:cs="Courier New" w:eastAsia="Courier New" w:hAnsi="Courier New"/>
          <w:sz w:val="16"/>
          <w:szCs w:val="16"/>
          <w:color w:val="auto"/>
        </w:rPr>
      </w:pPr>
    </w:p>
    <w:p>
      <w:pPr>
        <w:ind w:left="2980" w:hanging="387"/>
        <w:spacing w:after="0"/>
        <w:tabs>
          <w:tab w:leader="none" w:pos="2980" w:val="left"/>
        </w:tabs>
        <w:numPr>
          <w:ilvl w:val="1"/>
          <w:numId w:val="1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Following the conversion of the Option into a</w:t>
      </w:r>
    </w:p>
    <w:p>
      <w:pPr>
        <w:spacing w:after="0" w:line="5" w:lineRule="exact"/>
        <w:rPr>
          <w:rFonts w:ascii="Courier New" w:cs="Courier New" w:eastAsia="Courier New" w:hAnsi="Courier New"/>
          <w:sz w:val="16"/>
          <w:szCs w:val="16"/>
          <w:color w:val="auto"/>
        </w:rPr>
      </w:pPr>
    </w:p>
    <w:p>
      <w:pPr>
        <w:ind w:right="3299"/>
        <w:spacing w:after="0" w:line="243"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Substitute Option, all references to "Issuer", "Issuer Common Stock" and "Section 8" contained herein shall also be deemed to be references to "Substitute Option Issuer", "Substitute Common Stock" and "Section 9", respectively.</w:t>
      </w:r>
    </w:p>
    <w:p>
      <w:pPr>
        <w:spacing w:after="0" w:line="187" w:lineRule="exact"/>
        <w:rPr>
          <w:rFonts w:ascii="Courier New" w:cs="Courier New" w:eastAsia="Courier New" w:hAnsi="Courier New"/>
          <w:sz w:val="16"/>
          <w:szCs w:val="16"/>
          <w:color w:val="auto"/>
        </w:rPr>
      </w:pPr>
    </w:p>
    <w:p>
      <w:pPr>
        <w:ind w:left="2600" w:hanging="872"/>
        <w:spacing w:after="0"/>
        <w:tabs>
          <w:tab w:leader="none" w:pos="2600" w:val="left"/>
        </w:tabs>
        <w:numPr>
          <w:ilvl w:val="0"/>
          <w:numId w:val="1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Registration Rights.</w:t>
      </w:r>
    </w:p>
    <w:p>
      <w:pPr>
        <w:spacing w:after="0" w:line="190" w:lineRule="exact"/>
        <w:rPr>
          <w:rFonts w:ascii="Courier New" w:cs="Courier New" w:eastAsia="Courier New" w:hAnsi="Courier New"/>
          <w:sz w:val="16"/>
          <w:szCs w:val="16"/>
          <w:color w:val="auto"/>
        </w:rPr>
      </w:pPr>
    </w:p>
    <w:p>
      <w:pPr>
        <w:ind w:right="2539" w:firstLine="2593"/>
        <w:spacing w:after="0" w:line="262" w:lineRule="auto"/>
        <w:tabs>
          <w:tab w:leader="none" w:pos="2978" w:val="left"/>
        </w:tabs>
        <w:numPr>
          <w:ilvl w:val="1"/>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Demand Registration Rights. Issuer shall, subject to the conditions of Section 10(c) below, if requested by any Grantee following a Purchase Event that occurs prior to the termination of the Option, including Grantee and any permitted transferee ("Selling Stockholder"), as expeditiously as possible prepare, file and keep current a registration statement under the Securities Act if such registration is necessary in order to permit the sale or other disposition of any or all shares of Issuer Common Stock or other securities that have been acquired by or are issuable to the Selling Stockholder upon exercise of the Option in accordance with the intended method of sale or other disposition stated by the Selling Stockholder in such request, including, without limitation, a "shelf" registration statement under Rule 415 under the</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300" w:right="1440" w:bottom="1440" w:gutter="0" w:footer="0" w:header="0"/>
        </w:sectPr>
      </w:pPr>
    </w:p>
    <w:bookmarkStart w:id="111" w:name="page112"/>
    <w:bookmarkEnd w:id="111"/>
    <w:p>
      <w:pPr>
        <w:ind w:left="280"/>
        <w:spacing w:after="0"/>
        <w:rPr>
          <w:sz w:val="20"/>
          <w:szCs w:val="20"/>
          <w:color w:val="auto"/>
        </w:rPr>
      </w:pPr>
      <w:r>
        <w:rPr>
          <w:rFonts w:ascii="Courier New" w:cs="Courier New" w:eastAsia="Courier New" w:hAnsi="Courier New"/>
          <w:sz w:val="16"/>
          <w:szCs w:val="16"/>
          <w:color w:val="auto"/>
        </w:rPr>
        <w:t>13</w:t>
      </w:r>
    </w:p>
    <w:p>
      <w:pPr>
        <w:spacing w:after="0" w:line="5" w:lineRule="exact"/>
        <w:rPr>
          <w:sz w:val="20"/>
          <w:szCs w:val="20"/>
          <w:color w:val="auto"/>
        </w:rPr>
      </w:pPr>
    </w:p>
    <w:p>
      <w:pPr>
        <w:ind w:right="2539"/>
        <w:spacing w:after="0" w:line="243" w:lineRule="auto"/>
        <w:rPr>
          <w:sz w:val="20"/>
          <w:szCs w:val="20"/>
          <w:color w:val="auto"/>
        </w:rPr>
      </w:pPr>
      <w:r>
        <w:rPr>
          <w:rFonts w:ascii="Courier New" w:cs="Courier New" w:eastAsia="Courier New" w:hAnsi="Courier New"/>
          <w:sz w:val="16"/>
          <w:szCs w:val="16"/>
          <w:color w:val="auto"/>
        </w:rPr>
        <w:t>Securities Act or any successor provision, and Issuer shall use its best efforts to qualify such shares or other securities for sale under any applicable state securities laws.</w:t>
      </w:r>
    </w:p>
    <w:p>
      <w:pPr>
        <w:spacing w:after="0" w:line="189" w:lineRule="exact"/>
        <w:rPr>
          <w:sz w:val="20"/>
          <w:szCs w:val="20"/>
          <w:color w:val="auto"/>
        </w:rPr>
      </w:pPr>
    </w:p>
    <w:p>
      <w:pPr>
        <w:ind w:right="2539" w:firstLine="2593"/>
        <w:spacing w:after="0" w:line="261" w:lineRule="auto"/>
        <w:tabs>
          <w:tab w:leader="none" w:pos="2978" w:val="left"/>
        </w:tabs>
        <w:numPr>
          <w:ilvl w:val="0"/>
          <w:numId w:val="1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Additional Registration Rights. If Issuer at any time after the exercise of the Option proposes to register any shares of Issuer Common Stock under the Securities Act in connection with an underwritten public offering of such Issuer Common Stock, Issuer will promptly give written notice to Grantee of its intention to do so and, upon the written request of any Selling Stockholder given within 30 days after receipt of any such notice (which request shall specify the number of shares of Issuer Common Stock intended to be included in such underwritten public offering by the Selling Stockholder), Issuer will cause all such shares for which a Selling Stockholder requests participation in such registration to be so registered and included in such underwritten public offering; provided, however, that Issuer may elect to not cause any such shares to be so registered (i) if in the reasonable good faith opinion of the underwriters for such offering, the inclusion of all such shares by the Selling Stockholder would materially interfere with the marketing of such offering (in which case Issuer shall register as many shares as possible without materially interfering with the marketing of the offering), or (ii) in the case of a registration solely to implement an employee benefit plan or a registration filed on Form S-4 of the Securities Act or any successor Form. If some but not all the shares of Issuer Common Stock with respect to which Issuer shall have received requests for registration pursuant to this Section 10(b) shall be excluded from such registration, Issuer shall make appropriate allocation of shares to be registered among the Selling Stockholders desiring to register their shares pro rata in the proportion that the number of shares requested to be registered by each such Selling Stockholder bears to the total number of shares requested to be registered by all such Selling Stockholders then desiring to have Issuer Common Stock registered for sale.</w:t>
      </w:r>
    </w:p>
    <w:p>
      <w:pPr>
        <w:spacing w:after="0" w:line="369" w:lineRule="exact"/>
        <w:rPr>
          <w:rFonts w:ascii="Courier New" w:cs="Courier New" w:eastAsia="Courier New" w:hAnsi="Courier New"/>
          <w:sz w:val="15"/>
          <w:szCs w:val="15"/>
          <w:color w:val="auto"/>
        </w:rPr>
      </w:pPr>
    </w:p>
    <w:p>
      <w:pPr>
        <w:ind w:right="2539" w:firstLine="2593"/>
        <w:spacing w:after="0" w:line="262" w:lineRule="auto"/>
        <w:tabs>
          <w:tab w:leader="none" w:pos="2978" w:val="left"/>
        </w:tabs>
        <w:numPr>
          <w:ilvl w:val="0"/>
          <w:numId w:val="1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Conditions to Required Registration. Issuer shall use its reasonable best efforts to cause each registration statement referred to in Section 10(a) above to become effective and to obtain all consents or waivers of other parties which are required therefor and to keep such registration statement effective as may be reasonably necessary to effect such sale or other disposition; provided, however, that Issuer may delay any registration of Option Shares required pursuant to Section 10(a) above for a period not exceeding 90 days provided Issuer shall in good faith determine that any such registration would adversely affect an offering or contemplated offering of other securities by Issuer or would require disclosure of nonpublic information that would materially and adversely affect Issuer, and Issuer shall not be required to register Option Shares under the Securities Act pursuant to Section 10(a) above:</w:t>
      </w:r>
    </w:p>
    <w:p>
      <w:pPr>
        <w:spacing w:after="0" w:line="174" w:lineRule="exact"/>
        <w:rPr>
          <w:rFonts w:ascii="Courier New" w:cs="Courier New" w:eastAsia="Courier New" w:hAnsi="Courier New"/>
          <w:sz w:val="15"/>
          <w:szCs w:val="15"/>
          <w:color w:val="auto"/>
        </w:rPr>
      </w:pPr>
    </w:p>
    <w:p>
      <w:pPr>
        <w:ind w:left="3840" w:hanging="383"/>
        <w:spacing w:after="0"/>
        <w:tabs>
          <w:tab w:leader="none" w:pos="3840" w:val="left"/>
        </w:tabs>
        <w:numPr>
          <w:ilvl w:val="1"/>
          <w:numId w:val="1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prior to the earlier of (a) termination</w:t>
      </w:r>
    </w:p>
    <w:p>
      <w:pPr>
        <w:spacing w:after="0" w:line="5" w:lineRule="exact"/>
        <w:rPr>
          <w:rFonts w:ascii="Courier New" w:cs="Courier New" w:eastAsia="Courier New" w:hAnsi="Courier New"/>
          <w:sz w:val="16"/>
          <w:szCs w:val="16"/>
          <w:color w:val="auto"/>
        </w:rPr>
      </w:pPr>
    </w:p>
    <w:p>
      <w:pPr>
        <w:ind w:right="3119"/>
        <w:spacing w:after="0" w:line="24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of the Merger Agreement pursuant to Article VII thereof and (b) a Purchase Event;</w:t>
      </w:r>
    </w:p>
    <w:p>
      <w:pPr>
        <w:spacing w:after="0" w:line="186" w:lineRule="exact"/>
        <w:rPr>
          <w:rFonts w:ascii="Courier New" w:cs="Courier New" w:eastAsia="Courier New" w:hAnsi="Courier New"/>
          <w:sz w:val="16"/>
          <w:szCs w:val="16"/>
          <w:color w:val="auto"/>
        </w:rPr>
      </w:pPr>
    </w:p>
    <w:p>
      <w:pPr>
        <w:ind w:left="3940" w:hanging="483"/>
        <w:spacing w:after="0"/>
        <w:tabs>
          <w:tab w:leader="none" w:pos="3940" w:val="left"/>
        </w:tabs>
        <w:numPr>
          <w:ilvl w:val="1"/>
          <w:numId w:val="1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more than three occasions;</w:t>
      </w:r>
    </w:p>
    <w:p>
      <w:pPr>
        <w:spacing w:after="0" w:line="188" w:lineRule="exact"/>
        <w:rPr>
          <w:rFonts w:ascii="Courier New" w:cs="Courier New" w:eastAsia="Courier New" w:hAnsi="Courier New"/>
          <w:sz w:val="16"/>
          <w:szCs w:val="16"/>
          <w:color w:val="auto"/>
        </w:rPr>
      </w:pPr>
    </w:p>
    <w:p>
      <w:pPr>
        <w:ind w:left="4040" w:hanging="583"/>
        <w:spacing w:after="0"/>
        <w:tabs>
          <w:tab w:leader="none" w:pos="4040" w:val="left"/>
        </w:tabs>
        <w:numPr>
          <w:ilvl w:val="1"/>
          <w:numId w:val="1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within 90 days after the effective</w:t>
      </w:r>
    </w:p>
    <w:p>
      <w:pPr>
        <w:spacing w:after="0" w:line="5" w:lineRule="exact"/>
        <w:rPr>
          <w:rFonts w:ascii="Courier New" w:cs="Courier New" w:eastAsia="Courier New" w:hAnsi="Courier New"/>
          <w:sz w:val="16"/>
          <w:szCs w:val="16"/>
          <w:color w:val="auto"/>
        </w:rPr>
      </w:pPr>
    </w:p>
    <w:p>
      <w:pPr>
        <w:ind w:right="2539"/>
        <w:spacing w:after="0" w:line="243"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date of a registration referred to in Section 10(b) above pursuant to which the Selling Stockholder or Selling Stockholders concerned were afforded the opportunity to register all such shares under the Securities Act and shares were registered to the extent requested; and</w:t>
      </w:r>
    </w:p>
    <w:p>
      <w:pPr>
        <w:spacing w:after="0" w:line="200" w:lineRule="exact"/>
        <w:rPr>
          <w:sz w:val="20"/>
          <w:szCs w:val="20"/>
          <w:color w:val="auto"/>
        </w:rPr>
      </w:pPr>
    </w:p>
    <w:p>
      <w:pPr>
        <w:spacing w:after="0" w:line="357"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19"/>
          </w:cols>
          <w:pgMar w:left="240" w:top="300" w:right="1440" w:bottom="1440" w:gutter="0" w:footer="0" w:header="0"/>
        </w:sectPr>
      </w:pPr>
    </w:p>
    <w:bookmarkStart w:id="112" w:name="page113"/>
    <w:bookmarkEnd w:id="112"/>
    <w:p>
      <w:pPr>
        <w:ind w:left="280"/>
        <w:spacing w:after="0"/>
        <w:rPr>
          <w:sz w:val="20"/>
          <w:szCs w:val="20"/>
          <w:color w:val="auto"/>
        </w:rPr>
      </w:pPr>
      <w:r>
        <w:rPr>
          <w:rFonts w:ascii="Courier New" w:cs="Courier New" w:eastAsia="Courier New" w:hAnsi="Courier New"/>
          <w:sz w:val="16"/>
          <w:szCs w:val="16"/>
          <w:color w:val="auto"/>
        </w:rPr>
        <w:t>14</w:t>
      </w:r>
    </w:p>
    <w:p>
      <w:pPr>
        <w:spacing w:after="0" w:line="4" w:lineRule="exact"/>
        <w:rPr>
          <w:sz w:val="20"/>
          <w:szCs w:val="20"/>
          <w:color w:val="auto"/>
        </w:rPr>
      </w:pPr>
    </w:p>
    <w:p>
      <w:pPr>
        <w:ind w:left="3940" w:hanging="483"/>
        <w:spacing w:after="0"/>
        <w:tabs>
          <w:tab w:leader="none" w:pos="3940" w:val="left"/>
        </w:tabs>
        <w:numPr>
          <w:ilvl w:val="0"/>
          <w:numId w:val="1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unless a request therefor is made to</w:t>
      </w:r>
    </w:p>
    <w:p>
      <w:pPr>
        <w:spacing w:after="0" w:line="5" w:lineRule="exact"/>
        <w:rPr>
          <w:rFonts w:ascii="Courier New" w:cs="Courier New" w:eastAsia="Courier New" w:hAnsi="Courier New"/>
          <w:sz w:val="16"/>
          <w:szCs w:val="16"/>
          <w:color w:val="auto"/>
        </w:rPr>
      </w:pPr>
    </w:p>
    <w:p>
      <w:pPr>
        <w:ind w:right="3019"/>
        <w:spacing w:after="0" w:line="243"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register at least 25% or more of the aggregate number of Option Shares (including shares of Issuer Common Stock and other securities issuable upon exercise of the Option) then outstanding.</w:t>
      </w:r>
    </w:p>
    <w:p>
      <w:pPr>
        <w:spacing w:after="0" w:line="189" w:lineRule="exact"/>
        <w:rPr>
          <w:sz w:val="20"/>
          <w:szCs w:val="20"/>
          <w:color w:val="auto"/>
        </w:rPr>
      </w:pPr>
    </w:p>
    <w:p>
      <w:pPr>
        <w:ind w:right="2539" w:firstLine="1729"/>
        <w:spacing w:after="0" w:line="244" w:lineRule="auto"/>
        <w:rPr>
          <w:sz w:val="20"/>
          <w:szCs w:val="20"/>
          <w:color w:val="auto"/>
        </w:rPr>
      </w:pPr>
      <w:r>
        <w:rPr>
          <w:rFonts w:ascii="Courier New" w:cs="Courier New" w:eastAsia="Courier New" w:hAnsi="Courier New"/>
          <w:sz w:val="16"/>
          <w:szCs w:val="16"/>
          <w:color w:val="auto"/>
        </w:rPr>
        <w:t>In addition to the foregoing, Issuer shall not be required to maintain the effectiveness of any registration statement after the expiration of three months from the effective date of such registration statement. Issuer shall use its reasonable best efforts to make any filings, and take all steps, under all applicable state securities laws to the extent necessary to permit the sale or other disposition of the Option Shares so registered in accordance with the intended method of distribution for such shares; provided, however, that Issuer shall not be required to consent to general jurisdiction or qualify to do business in any state where it is not otherwise required to so consent to such jurisdiction or to so qualify to do business. If requested by any such Grantee in connection with such registration, Issuer shall become a party to any underwriting agreement relating to the sale of such shares, but only to the extent of obligating itself in respect of representations, warranties, indemnities and other agreements customarily included in secondary offering underwriting agreements. Upon receiving any request under this Section 10 from any Grantee, Issuer agrees to send a copy thereof to any other person known to Issuer to be entitled to registration rights under this Section 10, in each case by promptly mailing the same, postage prepaid, to the address of record of the persons entitled to receive such copies.</w:t>
      </w:r>
    </w:p>
    <w:p>
      <w:pPr>
        <w:spacing w:after="0" w:line="194" w:lineRule="exact"/>
        <w:rPr>
          <w:sz w:val="20"/>
          <w:szCs w:val="20"/>
          <w:color w:val="auto"/>
        </w:rPr>
      </w:pPr>
    </w:p>
    <w:p>
      <w:pPr>
        <w:ind w:right="2539" w:firstLine="1729"/>
        <w:spacing w:after="0" w:line="244" w:lineRule="auto"/>
        <w:rPr>
          <w:sz w:val="20"/>
          <w:szCs w:val="20"/>
          <w:color w:val="auto"/>
        </w:rPr>
      </w:pPr>
      <w:r>
        <w:rPr>
          <w:rFonts w:ascii="Courier New" w:cs="Courier New" w:eastAsia="Courier New" w:hAnsi="Courier New"/>
          <w:sz w:val="16"/>
          <w:szCs w:val="16"/>
          <w:color w:val="auto"/>
        </w:rPr>
        <w:t>Notwithstanding anything else in this Section 10, in lieu of complying with its obligations pursuant to a request made by any Grantee under this Section 10, Issuer may, at its election, repurchase the Option Shares requested to be registered by such Grantee at a purchase price per share equal to the average closing price of such Option Shares during the ten business days preceding the date on which Issuer gives notice to Grantee of its intention to repurchase such Option Shares (which notice shall be given no later than fifteen days after Grantee has given notice to Issuer of its election to exercise its registration rights under Section 10(a) or 10(b)).</w:t>
      </w:r>
    </w:p>
    <w:p>
      <w:pPr>
        <w:spacing w:after="0" w:line="187" w:lineRule="exact"/>
        <w:rPr>
          <w:sz w:val="20"/>
          <w:szCs w:val="20"/>
          <w:color w:val="auto"/>
        </w:rPr>
      </w:pPr>
    </w:p>
    <w:p>
      <w:pPr>
        <w:ind w:left="2980" w:hanging="387"/>
        <w:spacing w:after="0"/>
        <w:tabs>
          <w:tab w:leader="none" w:pos="2980" w:val="left"/>
        </w:tabs>
        <w:numPr>
          <w:ilvl w:val="0"/>
          <w:numId w:val="1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Expenses. Except where applicable state law</w:t>
      </w:r>
    </w:p>
    <w:p>
      <w:pPr>
        <w:spacing w:after="0" w:line="5" w:lineRule="exact"/>
        <w:rPr>
          <w:rFonts w:ascii="Courier New" w:cs="Courier New" w:eastAsia="Courier New" w:hAnsi="Courier New"/>
          <w:sz w:val="16"/>
          <w:szCs w:val="16"/>
          <w:color w:val="auto"/>
        </w:rPr>
      </w:pPr>
    </w:p>
    <w:p>
      <w:pPr>
        <w:ind w:right="253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prohibits such payments and except for underwriting discounts or commissions and brokers' fees, Issuer will pay all expenses (including, without limitation, registration fees, qualification fees, blue sky fees and expenses (including the fees and expenses of counsel), legal fees and expenses, including the reasonable fees and expenses of one counsel to the holders whose Option Shares are being registered, printing expenses and the costs of special audits or "cold comfort" letters, expenses of underwriters, excluding discounts and commissions but including liability insurance if Issuer so desires or the underwriters so require, and the reasonable fees and expenses of any necessary special experts) in connection with each registration pursuant to Section 10(a) or 10(b) above (including the related offerings and sales by holders of Option Shares) and all other qualifications, notifications or exemptions pursuant to Section 10(a) or 10(b) above.</w:t>
      </w:r>
    </w:p>
    <w:p>
      <w:pPr>
        <w:spacing w:after="0" w:line="189" w:lineRule="exact"/>
        <w:rPr>
          <w:rFonts w:ascii="Courier New" w:cs="Courier New" w:eastAsia="Courier New" w:hAnsi="Courier New"/>
          <w:sz w:val="16"/>
          <w:szCs w:val="16"/>
          <w:color w:val="auto"/>
        </w:rPr>
      </w:pPr>
    </w:p>
    <w:p>
      <w:pPr>
        <w:ind w:left="2980" w:hanging="387"/>
        <w:spacing w:after="0"/>
        <w:tabs>
          <w:tab w:leader="none" w:pos="2980" w:val="left"/>
        </w:tabs>
        <w:numPr>
          <w:ilvl w:val="0"/>
          <w:numId w:val="1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Indemnification. In connection with any</w:t>
      </w:r>
    </w:p>
    <w:p>
      <w:pPr>
        <w:spacing w:after="0" w:line="5" w:lineRule="exact"/>
        <w:rPr>
          <w:rFonts w:ascii="Courier New" w:cs="Courier New" w:eastAsia="Courier New" w:hAnsi="Courier New"/>
          <w:sz w:val="16"/>
          <w:szCs w:val="16"/>
          <w:color w:val="auto"/>
        </w:rPr>
      </w:pPr>
    </w:p>
    <w:p>
      <w:pPr>
        <w:ind w:right="253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registration under Section 10(a) or 10(b) above, Issuer hereby indemnifies the Selling Stockholders, and each underwriter thereof, including each person, if any, who controls such Selling Stockholders or underwriter within the meaning of Section 15 of the Securities Act, and including each director, officer, stockholder, partner, member, employee, representative and agent of any thereof, against all expenses, losses, claims, damages and liabilities caused by any untrue, or alleged untrue,</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19"/>
          </w:cols>
          <w:pgMar w:left="240" w:top="300" w:right="1440" w:bottom="1440" w:gutter="0" w:footer="0" w:header="0"/>
        </w:sectPr>
      </w:pPr>
    </w:p>
    <w:bookmarkStart w:id="113" w:name="page114"/>
    <w:bookmarkEnd w:id="113"/>
    <w:p>
      <w:pPr>
        <w:ind w:left="281"/>
        <w:spacing w:after="0"/>
        <w:rPr>
          <w:sz w:val="20"/>
          <w:szCs w:val="20"/>
          <w:color w:val="auto"/>
        </w:rPr>
      </w:pPr>
      <w:r>
        <w:rPr>
          <w:rFonts w:ascii="Courier New" w:cs="Courier New" w:eastAsia="Courier New" w:hAnsi="Courier New"/>
          <w:sz w:val="16"/>
          <w:szCs w:val="16"/>
          <w:color w:val="auto"/>
        </w:rPr>
        <w:t>15</w:t>
      </w:r>
    </w:p>
    <w:p>
      <w:pPr>
        <w:spacing w:after="0" w:line="5" w:lineRule="exact"/>
        <w:rPr>
          <w:sz w:val="20"/>
          <w:szCs w:val="20"/>
          <w:color w:val="auto"/>
        </w:rPr>
      </w:pPr>
    </w:p>
    <w:p>
      <w:pPr>
        <w:ind w:left="1" w:right="2539"/>
        <w:spacing w:after="0" w:line="261" w:lineRule="auto"/>
        <w:rPr>
          <w:sz w:val="20"/>
          <w:szCs w:val="20"/>
          <w:color w:val="auto"/>
        </w:rPr>
      </w:pPr>
      <w:r>
        <w:rPr>
          <w:rFonts w:ascii="Courier New" w:cs="Courier New" w:eastAsia="Courier New" w:hAnsi="Courier New"/>
          <w:sz w:val="15"/>
          <w:szCs w:val="15"/>
          <w:color w:val="auto"/>
        </w:rPr>
        <w:t>statement of a material fact contained in any registration statement or prospectus or notification or offering circular (including any amendments or supplements thereto) or any preliminary prospectus, or caused by any omission, or alleged omission, to state therein a material fact required to be stated therein or necessary to make the statements therein not misleading, except insofar as such expenses, losses, claims, damages or liabilities of such indemnified party are caused by any untrue statement or alleged untrue statement that was included by Issuer in any such registration statement or prospectus or notification or offering circular (including any amendments or supplements thereto) in reliance upon and in conformity with, information furnished in writing to Issuer by such indemnified party expressly for use therein, and Issuer and each person, if any, who controls Issuer within the meaning of Section 15 of the Securities Act, and each director, officer, stockholder, partner, member, employee, representative and agent of Issuer shall be indemnified by such Selling Stockholders, or by such underwriter, as the case may be, for all such expenses, losses, claims, damages and liabilities caused by any untrue, or alleged untrue, statement, that was included by Issuer in any such registration statement or prospectus or notification or offering circular (including any amendments or supplements thereto) in reliance upon, and in conformity with, information furnished in writing to Issuer by such Selling Stockholders or such underwriter, as the case may be, expressly for such use.</w:t>
      </w:r>
    </w:p>
    <w:p>
      <w:pPr>
        <w:spacing w:after="0" w:line="369" w:lineRule="exact"/>
        <w:rPr>
          <w:sz w:val="20"/>
          <w:szCs w:val="20"/>
          <w:color w:val="auto"/>
        </w:rPr>
      </w:pPr>
    </w:p>
    <w:p>
      <w:pPr>
        <w:ind w:left="1" w:right="2539" w:firstLine="1729"/>
        <w:spacing w:after="0" w:line="261" w:lineRule="auto"/>
        <w:rPr>
          <w:sz w:val="20"/>
          <w:szCs w:val="20"/>
          <w:color w:val="auto"/>
        </w:rPr>
      </w:pPr>
      <w:r>
        <w:rPr>
          <w:rFonts w:ascii="Courier New" w:cs="Courier New" w:eastAsia="Courier New" w:hAnsi="Courier New"/>
          <w:sz w:val="15"/>
          <w:szCs w:val="15"/>
          <w:color w:val="auto"/>
        </w:rPr>
        <w:t>Promptly upon receipt by a party indemnified under this Section 10(e) of notice of the commencement of any action against such indemnified party in respect of which indemnity or reimbursement may be sought against any indemnifying party under this Section 10(e), such indemnified party shall notify the indemnifying party in writing of the commencement of such action, but the failure so to notify the indemnifying party shall not relieve it of any liability which it may otherwise have to any indemnified party under this Section 10(e) unless the failure so to notify the indemnified party results in substantial prejudice thereto. In case notice of commencement of any such action shall be given to the indemnifying party as above provided, the indemnifying party shall be entitled to participate in and, to the extent it may wish, jointly with any other indemnifying party similarly notified, to assume the defense of such action at its own expense, with counsel chosen by it and satisfactory to such indemnified party. The indemnified party shall have the right to employ separate counsel in any such action and participate in the defense thereof, but the fees and expenses of such counsel (other than reasonable costs of investigation) shall be paid by the indemnified party unless</w:t>
      </w:r>
    </w:p>
    <w:p>
      <w:pPr>
        <w:spacing w:after="0" w:line="184" w:lineRule="exact"/>
        <w:rPr>
          <w:sz w:val="20"/>
          <w:szCs w:val="20"/>
          <w:color w:val="auto"/>
        </w:rPr>
      </w:pPr>
    </w:p>
    <w:p>
      <w:pPr>
        <w:ind w:left="1" w:right="2639" w:hanging="1"/>
        <w:spacing w:after="0" w:line="244" w:lineRule="auto"/>
        <w:tabs>
          <w:tab w:leader="none" w:pos="386" w:val="left"/>
        </w:tabs>
        <w:numPr>
          <w:ilvl w:val="0"/>
          <w:numId w:val="1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indemnifying party agrees to pay the same, (ii) the indemnifying party fails to assume the defense of such action with counsel satisfactory to the indemnified party, or (iii) the indemnified party has been advised by counsel that one or more legal defenses may be available to the indemnifying party that may be contrary to the interest of the indemnified party, in which case the indemnifying party shall be entitled to assume the defense of such action notwithstanding its obligation to bear fees and expenses of such counsel. No indemnifying party shall be liable for any settlement entered into without its consent, which consent may not be unreasonably withheld.</w:t>
      </w:r>
    </w:p>
    <w:p>
      <w:pPr>
        <w:spacing w:after="0" w:line="189" w:lineRule="exact"/>
        <w:rPr>
          <w:sz w:val="20"/>
          <w:szCs w:val="20"/>
          <w:color w:val="auto"/>
        </w:rPr>
      </w:pPr>
    </w:p>
    <w:p>
      <w:pPr>
        <w:ind w:left="1" w:right="2539" w:firstLine="1729"/>
        <w:spacing w:after="0" w:line="244" w:lineRule="auto"/>
        <w:rPr>
          <w:sz w:val="20"/>
          <w:szCs w:val="20"/>
          <w:color w:val="auto"/>
        </w:rPr>
      </w:pPr>
      <w:r>
        <w:rPr>
          <w:rFonts w:ascii="Courier New" w:cs="Courier New" w:eastAsia="Courier New" w:hAnsi="Courier New"/>
          <w:sz w:val="16"/>
          <w:szCs w:val="16"/>
          <w:color w:val="auto"/>
        </w:rPr>
        <w:t>If the indemnification provided for in this Section 10(e) is unavailable to a party otherwise entitled to be indemnified in respect of any expenses, losses, claims, damages or liabilities referred to herein, then the indemnifying party, in lieu of indemnifying such party otherwise entitled to be indemnified, shall contribute to the amount paid or payable by such party to be indemnified as a result of such expenses, losses, claims, damages or liabilities in such proportion as is appropriate to reflect the relative benefits received by Issuer, the Selling</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221"/>
          </w:cols>
          <w:pgMar w:left="239" w:top="300" w:right="1440" w:bottom="1440" w:gutter="0" w:footer="0" w:header="0"/>
        </w:sectPr>
      </w:pPr>
    </w:p>
    <w:bookmarkStart w:id="114" w:name="page115"/>
    <w:bookmarkEnd w:id="114"/>
    <w:p>
      <w:pPr>
        <w:ind w:left="280"/>
        <w:spacing w:after="0"/>
        <w:rPr>
          <w:sz w:val="20"/>
          <w:szCs w:val="20"/>
          <w:color w:val="auto"/>
        </w:rPr>
      </w:pPr>
      <w:r>
        <w:rPr>
          <w:rFonts w:ascii="Courier New" w:cs="Courier New" w:eastAsia="Courier New" w:hAnsi="Courier New"/>
          <w:sz w:val="16"/>
          <w:szCs w:val="16"/>
          <w:color w:val="auto"/>
        </w:rPr>
        <w:t>16</w:t>
      </w:r>
    </w:p>
    <w:p>
      <w:pPr>
        <w:spacing w:after="0" w:line="5"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Stockholders and the underwriters from the offering of the securities and also the relative fault of Issuer, the Selling Stockholders and the underwriters in connection with the statements or omissions which resulted in such expenses, losses, claims, damages or liabilities, as well as any other relevant equitable considerations. The amount paid or payable by a party as a result of the expenses, losses, claims, damages and liabilities referred to above shall be deemed to include any legal or other fees or expenses reasonably incurred by such party in connection with investigating or defending any action or claim; provided, however, that in no case shall any Selling Stockholder be responsible, in the aggregate, for any amount in excess of the net offering proceeds attributable to its Option Shares included in the offering. No person guilty of fraudulent misrepresentation (within the meaning of Section 11(f) of the Securities Act) shall be entitled to contribution from any person who was not guilty of such fraudulent misrepresentation. Any obligation by any Selling Stockholder to indemnify shall be several and not joint with other Selling Stockholders.</w:t>
      </w:r>
    </w:p>
    <w:p>
      <w:pPr>
        <w:spacing w:after="0" w:line="193" w:lineRule="exact"/>
        <w:rPr>
          <w:sz w:val="20"/>
          <w:szCs w:val="20"/>
          <w:color w:val="auto"/>
        </w:rPr>
      </w:pPr>
    </w:p>
    <w:p>
      <w:pPr>
        <w:ind w:right="2639" w:firstLine="1729"/>
        <w:spacing w:after="0" w:line="243" w:lineRule="auto"/>
        <w:rPr>
          <w:sz w:val="20"/>
          <w:szCs w:val="20"/>
          <w:color w:val="auto"/>
        </w:rPr>
      </w:pPr>
      <w:r>
        <w:rPr>
          <w:rFonts w:ascii="Courier New" w:cs="Courier New" w:eastAsia="Courier New" w:hAnsi="Courier New"/>
          <w:sz w:val="16"/>
          <w:szCs w:val="16"/>
          <w:color w:val="auto"/>
        </w:rPr>
        <w:t>In connection with any registration pursuant to Section 10(a) or 10(b) above, Issuer and each Selling Stockholder (other than Grantee) shall enter into an agreement containing the indemnification provisions of this Section 10(e).</w:t>
      </w:r>
    </w:p>
    <w:p>
      <w:pPr>
        <w:spacing w:after="0" w:line="190" w:lineRule="exact"/>
        <w:rPr>
          <w:sz w:val="20"/>
          <w:szCs w:val="20"/>
          <w:color w:val="auto"/>
        </w:rPr>
      </w:pPr>
    </w:p>
    <w:p>
      <w:pPr>
        <w:ind w:right="2539" w:firstLine="2593"/>
        <w:spacing w:after="0" w:line="244" w:lineRule="auto"/>
        <w:tabs>
          <w:tab w:leader="none" w:pos="2978" w:val="left"/>
        </w:tabs>
        <w:numPr>
          <w:ilvl w:val="1"/>
          <w:numId w:val="1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Miscellaneous Reporting. Issuer shall comply with all reporting requirements and will do all such other things as may be necessary to permit the expeditious sale at any time of any Option Shares by the Selling Stockholders thereof in accordance with and to the extent permitted by any rule or regulation promulgated by the SEC from time to time, including, without limitation, Rule 144. Issuer shall at its expense provide the Selling Stockholders with any information necessary in connection with the completion and filing of any reports or forms required to be filed by them under the Securities Act or the Exchange Act, or required pursuant to any state securities laws or the rules of the NASD or any stock exchange.</w:t>
      </w:r>
    </w:p>
    <w:p>
      <w:pPr>
        <w:spacing w:after="0" w:line="187" w:lineRule="exact"/>
        <w:rPr>
          <w:rFonts w:ascii="Courier New" w:cs="Courier New" w:eastAsia="Courier New" w:hAnsi="Courier New"/>
          <w:sz w:val="16"/>
          <w:szCs w:val="16"/>
          <w:color w:val="auto"/>
        </w:rPr>
      </w:pPr>
    </w:p>
    <w:p>
      <w:pPr>
        <w:ind w:left="2980" w:hanging="387"/>
        <w:spacing w:after="0"/>
        <w:tabs>
          <w:tab w:leader="none" w:pos="2980" w:val="left"/>
        </w:tabs>
        <w:numPr>
          <w:ilvl w:val="1"/>
          <w:numId w:val="1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Issue Taxes. Issuer will pay all stamp taxes in</w:t>
      </w:r>
    </w:p>
    <w:p>
      <w:pPr>
        <w:spacing w:after="0" w:line="5" w:lineRule="exact"/>
        <w:rPr>
          <w:rFonts w:ascii="Courier New" w:cs="Courier New" w:eastAsia="Courier New" w:hAnsi="Courier New"/>
          <w:sz w:val="16"/>
          <w:szCs w:val="16"/>
          <w:color w:val="auto"/>
        </w:rPr>
      </w:pPr>
    </w:p>
    <w:p>
      <w:pPr>
        <w:ind w:right="2539"/>
        <w:spacing w:after="0" w:line="243"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connection with the issuance and the sale of the Option Shares and in connection with the exercise of the Option, and will save the Selling Stockholders harmless, without limitation as to time, against any and all liabilities with respect to all such taxes.</w:t>
      </w:r>
    </w:p>
    <w:p>
      <w:pPr>
        <w:spacing w:after="0" w:line="189" w:lineRule="exact"/>
        <w:rPr>
          <w:rFonts w:ascii="Courier New" w:cs="Courier New" w:eastAsia="Courier New" w:hAnsi="Courier New"/>
          <w:sz w:val="16"/>
          <w:szCs w:val="16"/>
          <w:color w:val="auto"/>
        </w:rPr>
      </w:pPr>
    </w:p>
    <w:p>
      <w:pPr>
        <w:ind w:right="2539" w:firstLine="1728"/>
        <w:spacing w:after="0" w:line="244" w:lineRule="auto"/>
        <w:tabs>
          <w:tab w:leader="none" w:pos="2114" w:val="left"/>
        </w:tabs>
        <w:numPr>
          <w:ilvl w:val="0"/>
          <w:numId w:val="1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Quotation or Listing. If Issuer Common Stock or any other securities to be acquired in connection with the exercise of the Option are then authorized for quotation or trading or listing on the NYSE, the Nasdaq National Market System or any other securities exchange or securities quotation system, Issuer, upon the request of Grantee, will promptly file an application, if required, to authorize for quotation or trading or listing the shares of Issuer Common Stock or any other securities to be acquired upon exercise of the Option on such securities exchange or securities quotation system and will use its reasonable best efforts to obtain approval, if required, of such quotation or listing as soon as practicable.</w:t>
      </w:r>
    </w:p>
    <w:p>
      <w:pPr>
        <w:spacing w:after="0" w:line="189" w:lineRule="exact"/>
        <w:rPr>
          <w:rFonts w:ascii="Courier New" w:cs="Courier New" w:eastAsia="Courier New" w:hAnsi="Courier New"/>
          <w:sz w:val="16"/>
          <w:szCs w:val="16"/>
          <w:color w:val="auto"/>
        </w:rPr>
      </w:pPr>
    </w:p>
    <w:p>
      <w:pPr>
        <w:ind w:right="2539" w:firstLine="1728"/>
        <w:spacing w:after="0" w:line="263" w:lineRule="auto"/>
        <w:tabs>
          <w:tab w:leader="none" w:pos="2114" w:val="left"/>
        </w:tabs>
        <w:numPr>
          <w:ilvl w:val="0"/>
          <w:numId w:val="1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Division of Option. This Agreement (and the Option granted hereby) are exchangeable, without expense, at the option of Grantee, upon presentation and surrender of this Agreement at the principal office of Issuer for other Agreements providing for Options of different denominations entitling the holder thereof to purchase in the aggregate the same number of shares of Issuer Common Stock purchasable hereunder. The terms "Agreement" and "Option" as used herein include any other Stock Option Agreement and related Options for</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10219"/>
          </w:cols>
          <w:pgMar w:left="240" w:top="300" w:right="1440" w:bottom="1440" w:gutter="0" w:footer="0" w:header="0"/>
        </w:sectPr>
      </w:pPr>
    </w:p>
    <w:bookmarkStart w:id="115" w:name="page116"/>
    <w:bookmarkEnd w:id="115"/>
    <w:p>
      <w:pPr>
        <w:ind w:left="280"/>
        <w:spacing w:after="0"/>
        <w:rPr>
          <w:sz w:val="20"/>
          <w:szCs w:val="20"/>
          <w:color w:val="auto"/>
        </w:rPr>
      </w:pPr>
      <w:r>
        <w:rPr>
          <w:rFonts w:ascii="Courier New" w:cs="Courier New" w:eastAsia="Courier New" w:hAnsi="Courier New"/>
          <w:sz w:val="16"/>
          <w:szCs w:val="16"/>
          <w:color w:val="auto"/>
        </w:rPr>
        <w:t>17</w:t>
      </w:r>
    </w:p>
    <w:p>
      <w:pPr>
        <w:spacing w:after="0" w:line="5" w:lineRule="exact"/>
        <w:rPr>
          <w:sz w:val="20"/>
          <w:szCs w:val="20"/>
          <w:color w:val="auto"/>
        </w:rPr>
      </w:pPr>
    </w:p>
    <w:p>
      <w:pPr>
        <w:ind w:right="2639"/>
        <w:spacing w:after="0" w:line="244" w:lineRule="auto"/>
        <w:rPr>
          <w:sz w:val="20"/>
          <w:szCs w:val="20"/>
          <w:color w:val="auto"/>
        </w:rPr>
      </w:pPr>
      <w:r>
        <w:rPr>
          <w:rFonts w:ascii="Courier New" w:cs="Courier New" w:eastAsia="Courier New" w:hAnsi="Courier New"/>
          <w:sz w:val="16"/>
          <w:szCs w:val="16"/>
          <w:color w:val="auto"/>
        </w:rPr>
        <w:t>which this Agreement (and the Option granted hereby) may be exchanged. Upon receipt by Issuer of evidence reasonably satisfactory to it of the loss, theft, destruction or mutilation of this Agreement, and (in the case of loss, theft or destruction) of reasonably satisfactory indemnification to protect Issuer from any loss which it may suffer if this Agreement is replaced, and upon surrender and cancellation of this Agreement, if mutilated, Issuer will execute and deliver a new Agreement of like tenor and date.</w:t>
      </w:r>
    </w:p>
    <w:p>
      <w:pPr>
        <w:spacing w:after="0" w:line="188" w:lineRule="exact"/>
        <w:rPr>
          <w:sz w:val="20"/>
          <w:szCs w:val="20"/>
          <w:color w:val="auto"/>
        </w:rPr>
      </w:pPr>
    </w:p>
    <w:p>
      <w:pPr>
        <w:ind w:right="2539" w:firstLine="1728"/>
        <w:spacing w:after="0" w:line="244" w:lineRule="auto"/>
        <w:tabs>
          <w:tab w:leader="none" w:pos="2114" w:val="left"/>
        </w:tabs>
        <w:numPr>
          <w:ilvl w:val="0"/>
          <w:numId w:val="1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Limitation of Grantee Profit. (a) Notwithstanding any other provision herein or in the Merger Agreement, in no event shall Grantee's Total Profit (as defined below) exceed $1.25 billion (the "Maximum Profit"), and, if it otherwise would exceed such amount, Grantee, at its sole discretion, shall either (i) reduce the number of shares subject to the Option (and any Substitute Option), (ii) deliver to Issuer, or the Substitute Issuer, as the case may be, for cancellation shares of Issuer Common Stock or Substitute Common Stock, as the case may be (or other securities into which such Option Shares are converted or exchanged), (iii) pay cash to Issuer, or the Substitute Issuer, as the case may be, (iv) reduce the amount of the Section 8 Repurchase Consideration or Section 9 Repurchase Consideration or (v) any combination of the foregoing, so that Grantee's actually realized Total Profit shall not exceed the Maximum Profit after taking into account the foregoing actions. Notwithstanding any other provision of this Agreement, the Option may not be exercised for a number of shares as would, as of the date of exercise, result in a Notional Total Profit (as defined below) of more than the Maximum Profit and, if exercise of the Option would otherwise result in the Notional Total Profit exceeding such amount, Grantee, in its discretion, may take any of the actions specified in this Section 13(a) so that the Notional Total Profit shall not exceed the Maximum Profit; provided, that nothing in this sentence shall restrict any subsequent exercise of the Option which at such time complies with this sentence.</w:t>
      </w:r>
    </w:p>
    <w:p>
      <w:pPr>
        <w:spacing w:after="0" w:line="193" w:lineRule="exact"/>
        <w:rPr>
          <w:rFonts w:ascii="Courier New" w:cs="Courier New" w:eastAsia="Courier New" w:hAnsi="Courier New"/>
          <w:sz w:val="16"/>
          <w:szCs w:val="16"/>
          <w:color w:val="auto"/>
        </w:rPr>
      </w:pPr>
    </w:p>
    <w:p>
      <w:pPr>
        <w:ind w:left="2980" w:hanging="387"/>
        <w:spacing w:after="0"/>
        <w:tabs>
          <w:tab w:leader="none" w:pos="2980" w:val="left"/>
        </w:tabs>
        <w:numPr>
          <w:ilvl w:val="1"/>
          <w:numId w:val="1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purposes of this Agreement, "Total Profit"</w:t>
      </w:r>
    </w:p>
    <w:p>
      <w:pPr>
        <w:spacing w:after="0" w:line="5" w:lineRule="exact"/>
        <w:rPr>
          <w:rFonts w:ascii="Courier New" w:cs="Courier New" w:eastAsia="Courier New" w:hAnsi="Courier New"/>
          <w:sz w:val="16"/>
          <w:szCs w:val="16"/>
          <w:color w:val="auto"/>
        </w:rPr>
      </w:pPr>
    </w:p>
    <w:p>
      <w:pPr>
        <w:ind w:right="253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shall mean: (i) the aggregate amount (before taxes) of (A) the excess of (x) the net cash amounts or fair market value of any property received by Grantee pursuant to a sale of Option Shares (or securities into which such shares are converted or exchanged), other than to a wholly-owned subsidiary of Grantee, or a repurchase of Option Shares by Issuer pursuant to Section 8 hereof, after payment of applicable brokerage or sales commissions and discounts, over (y) Grantee's aggregate purchase price for such Option Shares (or other securities), plus (B) all amounts received by Grantee upon the repurchase of the Option by Issuer pursuant to Section 8 hereof, plus (C) all equivalent net amounts with respect to the Substitute Option and any amounts paid pursuant to Section 7(f) hereof, plus (D) all amounts theretofore received by Grantee pursuant to Section 7.2(c) of the Merger Agreement, minus (ii) all amounts of cash previously paid to Issuer pursuant to Section 13(a) plus the value of the Option Shares (or other securities) previously delivered to Issuer for cancellation pursuant to Section 13(a), which value shall be deemed to be the aggregate Purchase Price paid for such Option Shares (or other securities). For purposes of this Agreement, "Notional Total Profit" with respect to any number of shares as to which Grantee may propose to exercise the Option shall be the Total Profit, determined as of the date of such proposed exercise assuming that the Option were exercised on such date for such number of shares, and assuming that such shares, together with all other Option Shares held by Grantee and its affiliates as of such date, were sold for cash at the closing market price for the Issuer Common Stock as of the close of business on the preceding trading day (less customary brokerage commissions). For purposes of this Section 13, transactions by a wholly-owned</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10219"/>
          </w:cols>
          <w:pgMar w:left="240" w:top="300" w:right="1440" w:bottom="1440" w:gutter="0" w:footer="0" w:header="0"/>
        </w:sectPr>
      </w:pPr>
    </w:p>
    <w:bookmarkStart w:id="116" w:name="page117"/>
    <w:bookmarkEnd w:id="116"/>
    <w:p>
      <w:pPr>
        <w:ind w:left="280"/>
        <w:spacing w:after="0"/>
        <w:rPr>
          <w:sz w:val="20"/>
          <w:szCs w:val="20"/>
          <w:color w:val="auto"/>
        </w:rPr>
      </w:pPr>
      <w:r>
        <w:rPr>
          <w:rFonts w:ascii="Courier New" w:cs="Courier New" w:eastAsia="Courier New" w:hAnsi="Courier New"/>
          <w:sz w:val="16"/>
          <w:szCs w:val="16"/>
          <w:color w:val="auto"/>
        </w:rPr>
        <w:t>18</w:t>
      </w:r>
    </w:p>
    <w:p>
      <w:pPr>
        <w:spacing w:after="0" w:line="5" w:lineRule="exact"/>
        <w:rPr>
          <w:sz w:val="20"/>
          <w:szCs w:val="20"/>
          <w:color w:val="auto"/>
        </w:rPr>
      </w:pPr>
    </w:p>
    <w:p>
      <w:pPr>
        <w:ind w:right="3119"/>
        <w:spacing w:after="0" w:line="242" w:lineRule="auto"/>
        <w:rPr>
          <w:sz w:val="20"/>
          <w:szCs w:val="20"/>
          <w:color w:val="auto"/>
        </w:rPr>
      </w:pPr>
      <w:r>
        <w:rPr>
          <w:rFonts w:ascii="Courier New" w:cs="Courier New" w:eastAsia="Courier New" w:hAnsi="Courier New"/>
          <w:sz w:val="16"/>
          <w:szCs w:val="16"/>
          <w:color w:val="auto"/>
        </w:rPr>
        <w:t>subsidiary transferee of Grantee in respect of the Option or Option Shares transferred to it shall be treated as if made by Grantee.</w:t>
      </w:r>
    </w:p>
    <w:p>
      <w:pPr>
        <w:spacing w:after="0" w:line="189" w:lineRule="exact"/>
        <w:rPr>
          <w:sz w:val="20"/>
          <w:szCs w:val="20"/>
          <w:color w:val="auto"/>
        </w:rPr>
      </w:pPr>
    </w:p>
    <w:p>
      <w:pPr>
        <w:ind w:right="2719" w:firstLine="1728"/>
        <w:spacing w:after="0" w:line="244" w:lineRule="auto"/>
        <w:tabs>
          <w:tab w:leader="none" w:pos="2114" w:val="left"/>
        </w:tabs>
        <w:numPr>
          <w:ilvl w:val="0"/>
          <w:numId w:val="1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any other provision of this Agreement, nothing in this Agreement shall affect the ability of Grantee to receive, nor relieve Issuer's obligation to pay, any payment provided for in Section 7.2(c) of the Merger Agreement; provided, that if and to the extent the Total Profit received by Grantee would exceed the Maximum Profit following receipt of such payment, Grantee shall be obligated to comply with the terms of Section 13(a) within 15 days of the date on which Grantee has realized cash and/or property representing Total Profit in excess of Maximum Profit.</w:t>
      </w:r>
    </w:p>
    <w:p>
      <w:pPr>
        <w:spacing w:after="0" w:line="187" w:lineRule="exact"/>
        <w:rPr>
          <w:sz w:val="20"/>
          <w:szCs w:val="20"/>
          <w:color w:val="auto"/>
        </w:rPr>
      </w:pPr>
    </w:p>
    <w:p>
      <w:pPr>
        <w:ind w:left="2600" w:hanging="872"/>
        <w:spacing w:after="0"/>
        <w:tabs>
          <w:tab w:leader="none" w:pos="2600" w:val="left"/>
        </w:tabs>
        <w:numPr>
          <w:ilvl w:val="0"/>
          <w:numId w:val="1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Miscellaneous.</w:t>
      </w:r>
    </w:p>
    <w:p>
      <w:pPr>
        <w:spacing w:after="0" w:line="190" w:lineRule="exact"/>
        <w:rPr>
          <w:rFonts w:ascii="Courier New" w:cs="Courier New" w:eastAsia="Courier New" w:hAnsi="Courier New"/>
          <w:sz w:val="16"/>
          <w:szCs w:val="16"/>
          <w:color w:val="auto"/>
        </w:rPr>
      </w:pPr>
    </w:p>
    <w:p>
      <w:pPr>
        <w:ind w:right="2539" w:firstLine="2593"/>
        <w:spacing w:after="0" w:line="264" w:lineRule="auto"/>
        <w:tabs>
          <w:tab w:leader="none" w:pos="2978" w:val="left"/>
        </w:tabs>
        <w:numPr>
          <w:ilvl w:val="1"/>
          <w:numId w:val="1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Expenses. Except as otherwise provided herein or in the Merger Agreement, each of the parties hereto shall bear and pay all costs and expenses incurred by it or on its behalf in connection with the transactions contemplated hereunder, including, without limitation, fees and expenses of its own financial consultants, investment bankers, accountants and counsel.</w:t>
      </w:r>
    </w:p>
    <w:p>
      <w:pPr>
        <w:spacing w:after="0" w:line="172" w:lineRule="exact"/>
        <w:rPr>
          <w:rFonts w:ascii="Courier New" w:cs="Courier New" w:eastAsia="Courier New" w:hAnsi="Courier New"/>
          <w:sz w:val="15"/>
          <w:szCs w:val="15"/>
          <w:color w:val="auto"/>
        </w:rPr>
      </w:pPr>
    </w:p>
    <w:p>
      <w:pPr>
        <w:ind w:left="2980" w:hanging="387"/>
        <w:spacing w:after="0"/>
        <w:tabs>
          <w:tab w:leader="none" w:pos="2980" w:val="left"/>
        </w:tabs>
        <w:numPr>
          <w:ilvl w:val="1"/>
          <w:numId w:val="1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Waiver and Amendment. Any provision of this</w:t>
      </w:r>
    </w:p>
    <w:p>
      <w:pPr>
        <w:spacing w:after="0" w:line="5" w:lineRule="exact"/>
        <w:rPr>
          <w:rFonts w:ascii="Courier New" w:cs="Courier New" w:eastAsia="Courier New" w:hAnsi="Courier New"/>
          <w:sz w:val="16"/>
          <w:szCs w:val="16"/>
          <w:color w:val="auto"/>
        </w:rPr>
      </w:pPr>
    </w:p>
    <w:p>
      <w:pPr>
        <w:ind w:right="2539"/>
        <w:spacing w:after="0" w:line="262"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Agreement may be waived at any time by the party that is entitled to the benefits of such provision. This Agreement may not be modified, amended, altered or supplemented except upon the execution and delivery of a written agreement executed by the parties hereto. The failure of any party to this Agreement to assert any of its rights under this Agreement or otherwise shall not constitute a waiver of such rights. No single or partial exercise of any right, remedy, power or privilege hereunder shall preclude any other or further exercise thereof or the exercise of any other right, remedy, power or privilege. Any waiver shall be effective only in the specific instance and for the specific purpose for which given and shall not constitute a waiver to any subsequent or other exercise of any right, remedy, power or privilege hereunder.</w:t>
      </w:r>
    </w:p>
    <w:p>
      <w:pPr>
        <w:spacing w:after="0" w:line="362" w:lineRule="exact"/>
        <w:rPr>
          <w:rFonts w:ascii="Courier New" w:cs="Courier New" w:eastAsia="Courier New" w:hAnsi="Courier New"/>
          <w:sz w:val="16"/>
          <w:szCs w:val="16"/>
          <w:color w:val="auto"/>
        </w:rPr>
      </w:pPr>
    </w:p>
    <w:p>
      <w:pPr>
        <w:ind w:right="2539" w:firstLine="2593"/>
        <w:spacing w:after="0" w:line="244" w:lineRule="auto"/>
        <w:tabs>
          <w:tab w:leader="none" w:pos="2978" w:val="left"/>
        </w:tabs>
        <w:numPr>
          <w:ilvl w:val="1"/>
          <w:numId w:val="1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Entire Agreement; No Third-Party Beneficiaries; Severability. This Agreement, together with the Merger Agreement and the other documents and instruments referred to herein and therein, between Grantee and Issuer constitutes the entire agreement and supersedes all prior agreements and understandings, both written and oral, between the parties with respect to the subject matter hereof. This Agreement is not intended to confer upon any person other than the parties hereto (or their respective successors and assigns) (other than any transferees of the Option Shares or any permitted transferee of this Agreement pursuant to Section 14(h)) any rights, remedies, obligations or liabilities hereunder. If any term, provision, covenant or restriction of this Agreement is held by a court of competent jurisdiction or Governmental Entity to be invalid, void or unenforceable, the remainder of the terms, provisions, covenants and restrictions of this Agreement shall remain in full force and effect and shall in no way be affected impaired or invalidated. If for any reason such court or Governmental Entity determines that the Option does not permit Grantee to acquire, or does not require Issuer to repurchase, the full number of shares of Issuer Common Stock as provided in Section 2 (as may be adjusted herein), it is the express intention of Issuer to allow Grantee to acquire or to require Issuer to repurchase such lesser number of shares as may be permissible without any amendment or modification hereof.</w:t>
      </w:r>
    </w:p>
    <w:p>
      <w:pPr>
        <w:spacing w:after="0" w:line="37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18</w:t>
      </w:r>
    </w:p>
    <w:p>
      <w:pPr>
        <w:sectPr>
          <w:pgSz w:w="11900" w:h="16838" w:orient="portrait"/>
          <w:cols w:equalWidth="0" w:num="1">
            <w:col w:w="10219"/>
          </w:cols>
          <w:pgMar w:left="240" w:top="300" w:right="1440" w:bottom="1440" w:gutter="0" w:footer="0" w:header="0"/>
        </w:sectPr>
      </w:pPr>
    </w:p>
    <w:bookmarkStart w:id="117" w:name="page118"/>
    <w:bookmarkEnd w:id="117"/>
    <w:p>
      <w:pPr>
        <w:ind w:left="280"/>
        <w:spacing w:after="0"/>
        <w:rPr>
          <w:sz w:val="20"/>
          <w:szCs w:val="20"/>
          <w:color w:val="auto"/>
        </w:rPr>
      </w:pPr>
      <w:r>
        <w:rPr>
          <w:rFonts w:ascii="Courier New" w:cs="Courier New" w:eastAsia="Courier New" w:hAnsi="Courier New"/>
          <w:sz w:val="16"/>
          <w:szCs w:val="16"/>
          <w:color w:val="auto"/>
        </w:rPr>
        <w:t>19</w:t>
      </w:r>
    </w:p>
    <w:p>
      <w:pPr>
        <w:spacing w:after="0" w:line="4" w:lineRule="exact"/>
        <w:rPr>
          <w:sz w:val="20"/>
          <w:szCs w:val="20"/>
          <w:color w:val="auto"/>
        </w:rPr>
      </w:pPr>
    </w:p>
    <w:p>
      <w:pPr>
        <w:ind w:left="2980" w:hanging="387"/>
        <w:spacing w:after="0"/>
        <w:tabs>
          <w:tab w:leader="none" w:pos="2980" w:val="left"/>
        </w:tabs>
        <w:numPr>
          <w:ilvl w:val="0"/>
          <w:numId w:val="1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Governing Law. This Agreement shall be governed</w:t>
      </w:r>
    </w:p>
    <w:p>
      <w:pPr>
        <w:spacing w:after="0" w:line="5" w:lineRule="exact"/>
        <w:rPr>
          <w:rFonts w:ascii="Courier New" w:cs="Courier New" w:eastAsia="Courier New" w:hAnsi="Courier New"/>
          <w:sz w:val="16"/>
          <w:szCs w:val="16"/>
          <w:color w:val="auto"/>
        </w:rPr>
      </w:pPr>
    </w:p>
    <w:p>
      <w:pPr>
        <w:ind w:right="3019"/>
        <w:spacing w:after="0" w:line="24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and construed in accordance with the laws of the State of Delaware (without giving effect to choice of law principles thereof).</w:t>
      </w:r>
    </w:p>
    <w:p>
      <w:pPr>
        <w:spacing w:after="0" w:line="188" w:lineRule="exact"/>
        <w:rPr>
          <w:rFonts w:ascii="Courier New" w:cs="Courier New" w:eastAsia="Courier New" w:hAnsi="Courier New"/>
          <w:sz w:val="16"/>
          <w:szCs w:val="16"/>
          <w:color w:val="auto"/>
        </w:rPr>
      </w:pPr>
    </w:p>
    <w:p>
      <w:pPr>
        <w:ind w:right="2719" w:firstLine="2593"/>
        <w:spacing w:after="0" w:line="243" w:lineRule="auto"/>
        <w:tabs>
          <w:tab w:leader="none" w:pos="2978" w:val="left"/>
        </w:tabs>
        <w:numPr>
          <w:ilvl w:val="0"/>
          <w:numId w:val="1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Descriptive Headings. The descriptive headings contained herein are for convenience of reference only and shall not affect in any way the meaning or interpretation of this Agreement.</w:t>
      </w:r>
    </w:p>
    <w:p>
      <w:pPr>
        <w:spacing w:after="0" w:line="186" w:lineRule="exact"/>
        <w:rPr>
          <w:rFonts w:ascii="Courier New" w:cs="Courier New" w:eastAsia="Courier New" w:hAnsi="Courier New"/>
          <w:sz w:val="16"/>
          <w:szCs w:val="16"/>
          <w:color w:val="auto"/>
        </w:rPr>
      </w:pPr>
    </w:p>
    <w:p>
      <w:pPr>
        <w:ind w:left="2980" w:hanging="387"/>
        <w:spacing w:after="0"/>
        <w:tabs>
          <w:tab w:leader="none" w:pos="2980" w:val="left"/>
        </w:tabs>
        <w:numPr>
          <w:ilvl w:val="0"/>
          <w:numId w:val="1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Notices. All notices and other communications</w:t>
      </w:r>
    </w:p>
    <w:p>
      <w:pPr>
        <w:spacing w:after="0" w:line="5" w:lineRule="exact"/>
        <w:rPr>
          <w:rFonts w:ascii="Courier New" w:cs="Courier New" w:eastAsia="Courier New" w:hAnsi="Courier New"/>
          <w:sz w:val="16"/>
          <w:szCs w:val="16"/>
          <w:color w:val="auto"/>
        </w:rPr>
      </w:pPr>
    </w:p>
    <w:p>
      <w:pPr>
        <w:ind w:right="253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hereunder shall be in writing and shall be deemed given if delivered personally, telecopied (with confirmation) or mailed by registered or certified mail (return receipt requested) to the parties at the addresses set forth in the Merger Agreement (or at such other address for a party as shall be specified by like notice).</w:t>
      </w:r>
    </w:p>
    <w:p>
      <w:pPr>
        <w:spacing w:after="0" w:line="187" w:lineRule="exact"/>
        <w:rPr>
          <w:rFonts w:ascii="Courier New" w:cs="Courier New" w:eastAsia="Courier New" w:hAnsi="Courier New"/>
          <w:sz w:val="16"/>
          <w:szCs w:val="16"/>
          <w:color w:val="auto"/>
        </w:rPr>
      </w:pPr>
    </w:p>
    <w:p>
      <w:pPr>
        <w:ind w:right="2719" w:firstLine="2593"/>
        <w:spacing w:after="0" w:line="244" w:lineRule="auto"/>
        <w:tabs>
          <w:tab w:leader="none" w:pos="2978" w:val="left"/>
        </w:tabs>
        <w:numPr>
          <w:ilvl w:val="0"/>
          <w:numId w:val="1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Counterparts. This Agreement and any amendments hereto may be executed in two counterparts, each of which shall be considered one and the same agreement and shall become effective when both counterparts have been signed, it being understood that both parties need not sign the same counterpart.</w:t>
      </w:r>
    </w:p>
    <w:p>
      <w:pPr>
        <w:spacing w:after="0" w:line="187" w:lineRule="exact"/>
        <w:rPr>
          <w:rFonts w:ascii="Courier New" w:cs="Courier New" w:eastAsia="Courier New" w:hAnsi="Courier New"/>
          <w:sz w:val="16"/>
          <w:szCs w:val="16"/>
          <w:color w:val="auto"/>
        </w:rPr>
      </w:pPr>
    </w:p>
    <w:p>
      <w:pPr>
        <w:ind w:right="2539" w:firstLine="2593"/>
        <w:spacing w:after="0" w:line="244" w:lineRule="auto"/>
        <w:tabs>
          <w:tab w:leader="none" w:pos="2978" w:val="left"/>
        </w:tabs>
        <w:numPr>
          <w:ilvl w:val="0"/>
          <w:numId w:val="1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Assignment. Neither this Agreement nor any of the rights, interests or obligations hereunder or under the Option shall be assigned by any of the parties hereto (whether by operation of law or otherwise) without the prior written consent of the other party, except that Grantee may assign this Agreement to a wholly-owned Subsidiary of Grantee (in which event the term "Grantee" as used herein shall be deemed to refer to such Subsidiary). Subject to the preceding sentence, this Agreement shall be binding upon, inure to the benefit of and be enforceable by the parties and their respective successors and permitted assigns. For the avoidance of doubt, nothing in this paragraph (h) shall prohibit Issuer from engaging in a transaction contemplated by Section 7(b) in accordance with the provisions of Section 7(b), provided that the terms of this Agreement and the Merger Agreement shall remain applicable with respect to any such transaction.</w:t>
      </w:r>
    </w:p>
    <w:p>
      <w:pPr>
        <w:spacing w:after="0" w:line="191" w:lineRule="exact"/>
        <w:rPr>
          <w:rFonts w:ascii="Courier New" w:cs="Courier New" w:eastAsia="Courier New" w:hAnsi="Courier New"/>
          <w:sz w:val="16"/>
          <w:szCs w:val="16"/>
          <w:color w:val="auto"/>
        </w:rPr>
      </w:pPr>
    </w:p>
    <w:p>
      <w:pPr>
        <w:ind w:right="2539" w:firstLine="2593"/>
        <w:spacing w:after="0" w:line="265" w:lineRule="auto"/>
        <w:tabs>
          <w:tab w:leader="none" w:pos="2978" w:val="left"/>
        </w:tabs>
        <w:numPr>
          <w:ilvl w:val="0"/>
          <w:numId w:val="1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Further Assurances. In the event of any exercise of the Option by Grantee, Issuer and Grantee shall execute and deliver all other documents and instruments and take all other action that may be reasonably necessary in order to consummate the transactions provided for by such exercise.</w:t>
      </w:r>
    </w:p>
    <w:p>
      <w:pPr>
        <w:spacing w:after="0" w:line="171" w:lineRule="exact"/>
        <w:rPr>
          <w:rFonts w:ascii="Courier New" w:cs="Courier New" w:eastAsia="Courier New" w:hAnsi="Courier New"/>
          <w:sz w:val="15"/>
          <w:szCs w:val="15"/>
          <w:color w:val="auto"/>
        </w:rPr>
      </w:pPr>
    </w:p>
    <w:p>
      <w:pPr>
        <w:ind w:left="2980" w:hanging="387"/>
        <w:spacing w:after="0"/>
        <w:tabs>
          <w:tab w:leader="none" w:pos="2980" w:val="left"/>
        </w:tabs>
        <w:numPr>
          <w:ilvl w:val="0"/>
          <w:numId w:val="1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Enforcement. The parties agree that irreparable</w:t>
      </w:r>
    </w:p>
    <w:p>
      <w:pPr>
        <w:spacing w:after="0" w:line="5" w:lineRule="exact"/>
        <w:rPr>
          <w:rFonts w:ascii="Courier New" w:cs="Courier New" w:eastAsia="Courier New" w:hAnsi="Courier New"/>
          <w:sz w:val="16"/>
          <w:szCs w:val="16"/>
          <w:color w:val="auto"/>
        </w:rPr>
      </w:pPr>
    </w:p>
    <w:p>
      <w:pPr>
        <w:ind w:right="253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damage would occur in the event that any of the provisions of this Agreement were not performed in accordance with their specific terms or were otherwise breached. It is accordingly agreed that the parties shall be entitled to an injunction or injunctions to prevent breaches of this Agreement and to enforce specifically the terms and provisions of this Agreement in any Federal court or New York State court sitting in the Borough of Manhattan, City of New York, this being in addition to any other remedy to which they are entitled at law or in equity.</w:t>
      </w:r>
    </w:p>
    <w:p>
      <w:pPr>
        <w:spacing w:after="0" w:line="200" w:lineRule="exact"/>
        <w:rPr>
          <w:sz w:val="20"/>
          <w:szCs w:val="20"/>
          <w:color w:val="auto"/>
        </w:rPr>
      </w:pPr>
    </w:p>
    <w:p>
      <w:pPr>
        <w:spacing w:after="0" w:line="356"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19</w:t>
      </w:r>
    </w:p>
    <w:p>
      <w:pPr>
        <w:sectPr>
          <w:pgSz w:w="11900" w:h="16838" w:orient="portrait"/>
          <w:cols w:equalWidth="0" w:num="1">
            <w:col w:w="10219"/>
          </w:cols>
          <w:pgMar w:left="240" w:top="300" w:right="1440" w:bottom="1440" w:gutter="0" w:footer="0" w:header="0"/>
        </w:sectPr>
      </w:pPr>
    </w:p>
    <w:bookmarkStart w:id="118" w:name="page119"/>
    <w:bookmarkEnd w:id="118"/>
    <w:p>
      <w:pPr>
        <w:ind w:left="280"/>
        <w:spacing w:after="0"/>
        <w:rPr>
          <w:sz w:val="20"/>
          <w:szCs w:val="20"/>
          <w:color w:val="auto"/>
        </w:rPr>
      </w:pPr>
      <w:r>
        <w:rPr>
          <w:rFonts w:ascii="Courier New" w:cs="Courier New" w:eastAsia="Courier New" w:hAnsi="Courier New"/>
          <w:sz w:val="16"/>
          <w:szCs w:val="16"/>
          <w:color w:val="auto"/>
        </w:rPr>
        <w:t>20</w:t>
      </w:r>
    </w:p>
    <w:p>
      <w:pPr>
        <w:spacing w:after="0" w:line="5" w:lineRule="exact"/>
        <w:rPr>
          <w:sz w:val="20"/>
          <w:szCs w:val="20"/>
          <w:color w:val="auto"/>
        </w:rPr>
      </w:pPr>
    </w:p>
    <w:p>
      <w:pPr>
        <w:ind w:right="2639" w:firstLine="1729"/>
        <w:spacing w:after="0" w:line="243" w:lineRule="auto"/>
        <w:rPr>
          <w:sz w:val="20"/>
          <w:szCs w:val="20"/>
          <w:color w:val="auto"/>
        </w:rPr>
      </w:pPr>
      <w:r>
        <w:rPr>
          <w:rFonts w:ascii="Courier New" w:cs="Courier New" w:eastAsia="Courier New" w:hAnsi="Courier New"/>
          <w:sz w:val="16"/>
          <w:szCs w:val="16"/>
          <w:color w:val="auto"/>
        </w:rPr>
        <w:t>IN WITNESS WHEREOF, Issuer and Grantee have caused this Stock Option Agreement to be signed by their respective officers thereunto duly authorized, all as of the day and year first written above.</w:t>
      </w:r>
    </w:p>
    <w:p>
      <w:pPr>
        <w:spacing w:after="0" w:line="187" w:lineRule="exact"/>
        <w:rPr>
          <w:sz w:val="20"/>
          <w:szCs w:val="20"/>
          <w:color w:val="auto"/>
        </w:rPr>
      </w:pPr>
    </w:p>
    <w:p>
      <w:pPr>
        <w:ind w:left="4700"/>
        <w:spacing w:after="0"/>
        <w:rPr>
          <w:sz w:val="20"/>
          <w:szCs w:val="20"/>
          <w:color w:val="auto"/>
        </w:rPr>
      </w:pPr>
      <w:r>
        <w:rPr>
          <w:rFonts w:ascii="Courier New" w:cs="Courier New" w:eastAsia="Courier New" w:hAnsi="Courier New"/>
          <w:sz w:val="16"/>
          <w:szCs w:val="16"/>
          <w:color w:val="auto"/>
        </w:rPr>
        <w:t>J.P. MORGAN &amp; CO. INCORPORATED</w:t>
      </w:r>
    </w:p>
    <w:p>
      <w:pPr>
        <w:spacing w:after="0" w:line="200" w:lineRule="exact"/>
        <w:rPr>
          <w:sz w:val="20"/>
          <w:szCs w:val="20"/>
          <w:color w:val="auto"/>
        </w:rPr>
      </w:pPr>
    </w:p>
    <w:p>
      <w:pPr>
        <w:spacing w:after="0" w:line="358" w:lineRule="exact"/>
        <w:rPr>
          <w:sz w:val="20"/>
          <w:szCs w:val="20"/>
          <w:color w:val="auto"/>
        </w:rPr>
      </w:pPr>
    </w:p>
    <w:p>
      <w:pPr>
        <w:ind w:left="4700"/>
        <w:spacing w:after="0"/>
        <w:rPr>
          <w:sz w:val="20"/>
          <w:szCs w:val="20"/>
          <w:color w:val="auto"/>
        </w:rPr>
      </w:pPr>
      <w:r>
        <w:rPr>
          <w:rFonts w:ascii="Courier New" w:cs="Courier New" w:eastAsia="Courier New" w:hAnsi="Courier New"/>
          <w:sz w:val="16"/>
          <w:szCs w:val="16"/>
          <w:color w:val="auto"/>
        </w:rPr>
        <w:t>By: /s/ Douglas A. Warner III</w:t>
      </w:r>
    </w:p>
    <w:p>
      <w:pPr>
        <w:spacing w:after="0" w:line="4" w:lineRule="exact"/>
        <w:rPr>
          <w:sz w:val="20"/>
          <w:szCs w:val="20"/>
          <w:color w:val="auto"/>
        </w:rPr>
      </w:pPr>
    </w:p>
    <w:p>
      <w:pPr>
        <w:ind w:left="510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4700"/>
        <w:spacing w:after="0"/>
        <w:rPr>
          <w:sz w:val="20"/>
          <w:szCs w:val="20"/>
          <w:color w:val="auto"/>
        </w:rPr>
      </w:pPr>
      <w:r>
        <w:rPr>
          <w:rFonts w:ascii="Courier New" w:cs="Courier New" w:eastAsia="Courier New" w:hAnsi="Courier New"/>
          <w:sz w:val="16"/>
          <w:szCs w:val="16"/>
          <w:color w:val="auto"/>
        </w:rPr>
        <w:t>Name: Douglas A. Warner III</w:t>
      </w:r>
    </w:p>
    <w:p>
      <w:pPr>
        <w:spacing w:after="0" w:line="4" w:lineRule="exact"/>
        <w:rPr>
          <w:sz w:val="20"/>
          <w:szCs w:val="20"/>
          <w:color w:val="auto"/>
        </w:rPr>
      </w:pPr>
    </w:p>
    <w:p>
      <w:pPr>
        <w:ind w:left="4700"/>
        <w:spacing w:after="0"/>
        <w:rPr>
          <w:sz w:val="20"/>
          <w:szCs w:val="20"/>
          <w:color w:val="auto"/>
        </w:rPr>
      </w:pPr>
      <w:r>
        <w:rPr>
          <w:rFonts w:ascii="Courier New" w:cs="Courier New" w:eastAsia="Courier New" w:hAnsi="Courier New"/>
          <w:sz w:val="16"/>
          <w:szCs w:val="16"/>
          <w:color w:val="auto"/>
        </w:rPr>
        <w:t>Title: Chairman and CEO</w:t>
      </w:r>
    </w:p>
    <w:p>
      <w:pPr>
        <w:spacing w:after="0" w:line="200" w:lineRule="exact"/>
        <w:rPr>
          <w:sz w:val="20"/>
          <w:szCs w:val="20"/>
          <w:color w:val="auto"/>
        </w:rPr>
      </w:pPr>
    </w:p>
    <w:p>
      <w:pPr>
        <w:spacing w:after="0" w:line="358" w:lineRule="exact"/>
        <w:rPr>
          <w:sz w:val="20"/>
          <w:szCs w:val="20"/>
          <w:color w:val="auto"/>
        </w:rPr>
      </w:pPr>
    </w:p>
    <w:p>
      <w:pPr>
        <w:jc w:val="right"/>
        <w:ind w:right="2539"/>
        <w:spacing w:after="0"/>
        <w:rPr>
          <w:sz w:val="20"/>
          <w:szCs w:val="20"/>
          <w:color w:val="auto"/>
        </w:rPr>
      </w:pPr>
      <w:r>
        <w:rPr>
          <w:rFonts w:ascii="Courier New" w:cs="Courier New" w:eastAsia="Courier New" w:hAnsi="Courier New"/>
          <w:sz w:val="16"/>
          <w:szCs w:val="16"/>
          <w:color w:val="auto"/>
        </w:rPr>
        <w:t>THE CHASE MANHATTAN CORPORATION</w:t>
      </w:r>
    </w:p>
    <w:p>
      <w:pPr>
        <w:spacing w:after="0" w:line="373" w:lineRule="exact"/>
        <w:rPr>
          <w:sz w:val="20"/>
          <w:szCs w:val="20"/>
          <w:color w:val="auto"/>
        </w:rPr>
      </w:pPr>
    </w:p>
    <w:p>
      <w:pPr>
        <w:ind w:left="4700"/>
        <w:spacing w:after="0"/>
        <w:tabs>
          <w:tab w:leader="none" w:pos="5160" w:val="left"/>
        </w:tabs>
        <w:rPr>
          <w:sz w:val="20"/>
          <w:szCs w:val="20"/>
          <w:color w:val="auto"/>
        </w:rPr>
      </w:pPr>
      <w:r>
        <w:rPr>
          <w:rFonts w:ascii="Courier New" w:cs="Courier New" w:eastAsia="Courier New" w:hAnsi="Courier New"/>
          <w:sz w:val="16"/>
          <w:szCs w:val="16"/>
          <w:color w:val="auto"/>
        </w:rPr>
        <w:t>By:</w:t>
        <w:tab/>
        <w:t>/s/ William B. Harrison</w:t>
      </w:r>
    </w:p>
    <w:p>
      <w:pPr>
        <w:spacing w:after="0" w:line="4" w:lineRule="exact"/>
        <w:rPr>
          <w:sz w:val="20"/>
          <w:szCs w:val="20"/>
          <w:color w:val="auto"/>
        </w:rPr>
      </w:pPr>
    </w:p>
    <w:p>
      <w:pPr>
        <w:ind w:left="518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5180"/>
        <w:spacing w:after="0"/>
        <w:rPr>
          <w:sz w:val="20"/>
          <w:szCs w:val="20"/>
          <w:color w:val="auto"/>
        </w:rPr>
      </w:pPr>
      <w:r>
        <w:rPr>
          <w:rFonts w:ascii="Courier New" w:cs="Courier New" w:eastAsia="Courier New" w:hAnsi="Courier New"/>
          <w:sz w:val="16"/>
          <w:szCs w:val="16"/>
          <w:color w:val="auto"/>
        </w:rPr>
        <w:t>Name: William B. Harrison</w:t>
      </w:r>
    </w:p>
    <w:p>
      <w:pPr>
        <w:spacing w:after="0" w:line="4" w:lineRule="exact"/>
        <w:rPr>
          <w:sz w:val="20"/>
          <w:szCs w:val="20"/>
          <w:color w:val="auto"/>
        </w:rPr>
      </w:pPr>
    </w:p>
    <w:p>
      <w:pPr>
        <w:ind w:left="5180"/>
        <w:spacing w:after="0"/>
        <w:rPr>
          <w:sz w:val="20"/>
          <w:szCs w:val="20"/>
          <w:color w:val="auto"/>
        </w:rPr>
      </w:pPr>
      <w:r>
        <w:rPr>
          <w:rFonts w:ascii="Courier New" w:cs="Courier New" w:eastAsia="Courier New" w:hAnsi="Courier New"/>
          <w:sz w:val="16"/>
          <w:szCs w:val="16"/>
          <w:color w:val="auto"/>
        </w:rPr>
        <w:t>Title: Chairman and CEO</w:t>
      </w:r>
    </w:p>
    <w:p>
      <w:pPr>
        <w:sectPr>
          <w:pgSz w:w="11900" w:h="16838" w:orient="portrait"/>
          <w:cols w:equalWidth="0" w:num="1">
            <w:col w:w="10219"/>
          </w:cols>
          <w:pgMar w:left="240" w:top="300" w:right="1440" w:bottom="1440" w:gutter="0" w:footer="0" w:header="0"/>
        </w:sectPr>
      </w:pPr>
    </w:p>
    <w:bookmarkStart w:id="119" w:name="page120"/>
    <w:bookmarkEnd w:id="119"/>
    <w:p>
      <w:pPr>
        <w:ind w:left="280"/>
        <w:spacing w:after="0"/>
        <w:rPr>
          <w:sz w:val="20"/>
          <w:szCs w:val="20"/>
          <w:color w:val="auto"/>
        </w:rPr>
      </w:pPr>
      <w:r>
        <w:rPr>
          <w:rFonts w:ascii="Courier New" w:cs="Courier New" w:eastAsia="Courier New" w:hAnsi="Courier New"/>
          <w:sz w:val="16"/>
          <w:szCs w:val="16"/>
          <w:color w:val="auto"/>
        </w:rPr>
        <w:t>1</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50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2200" w:type="dxa"/>
            <w:vAlign w:val="bottom"/>
          </w:tcPr>
          <w:p>
            <w:pPr>
              <w:ind w:left="1060"/>
              <w:spacing w:after="0"/>
              <w:rPr>
                <w:sz w:val="20"/>
                <w:szCs w:val="20"/>
                <w:color w:val="auto"/>
              </w:rPr>
            </w:pPr>
            <w:r>
              <w:rPr>
                <w:rFonts w:ascii="Courier New" w:cs="Courier New" w:eastAsia="Courier New" w:hAnsi="Courier New"/>
                <w:sz w:val="16"/>
                <w:szCs w:val="16"/>
                <w:color w:val="auto"/>
                <w:w w:val="97"/>
              </w:rPr>
              <w:t>EXHIBIT 99.1</w:t>
            </w:r>
          </w:p>
        </w:tc>
      </w:tr>
      <w:tr>
        <w:trPr>
          <w:trHeight w:val="1109"/>
        </w:trPr>
        <w:tc>
          <w:tcPr>
            <w:tcW w:w="2500" w:type="dxa"/>
            <w:vAlign w:val="bottom"/>
          </w:tcPr>
          <w:p>
            <w:pPr>
              <w:spacing w:after="0"/>
              <w:rPr>
                <w:sz w:val="20"/>
                <w:szCs w:val="20"/>
                <w:color w:val="auto"/>
              </w:rPr>
            </w:pPr>
            <w:r>
              <w:rPr>
                <w:rFonts w:ascii="Courier New" w:cs="Courier New" w:eastAsia="Courier New" w:hAnsi="Courier New"/>
                <w:sz w:val="16"/>
                <w:szCs w:val="16"/>
                <w:color w:val="auto"/>
              </w:rPr>
              <w:t>FOR IMMEDIATE RELEASE</w:t>
            </w:r>
          </w:p>
        </w:tc>
        <w:tc>
          <w:tcPr>
            <w:tcW w:w="2980" w:type="dxa"/>
            <w:vAlign w:val="bottom"/>
          </w:tcPr>
          <w:p>
            <w:pPr>
              <w:spacing w:after="0"/>
              <w:rPr>
                <w:sz w:val="24"/>
                <w:szCs w:val="24"/>
                <w:color w:val="auto"/>
              </w:rPr>
            </w:pPr>
          </w:p>
        </w:tc>
        <w:tc>
          <w:tcPr>
            <w:tcW w:w="2200" w:type="dxa"/>
            <w:vAlign w:val="bottom"/>
          </w:tcPr>
          <w:p>
            <w:pPr>
              <w:spacing w:after="0"/>
              <w:rPr>
                <w:sz w:val="24"/>
                <w:szCs w:val="24"/>
                <w:color w:val="auto"/>
              </w:rPr>
            </w:pPr>
          </w:p>
        </w:tc>
      </w:tr>
      <w:tr>
        <w:trPr>
          <w:trHeight w:val="739"/>
        </w:trPr>
        <w:tc>
          <w:tcPr>
            <w:tcW w:w="2500" w:type="dxa"/>
            <w:vAlign w:val="bottom"/>
          </w:tcPr>
          <w:p>
            <w:pPr>
              <w:spacing w:after="0"/>
              <w:rPr>
                <w:sz w:val="20"/>
                <w:szCs w:val="20"/>
                <w:color w:val="auto"/>
              </w:rPr>
            </w:pPr>
            <w:r>
              <w:rPr>
                <w:rFonts w:ascii="Courier New" w:cs="Courier New" w:eastAsia="Courier New" w:hAnsi="Courier New"/>
                <w:sz w:val="16"/>
                <w:szCs w:val="16"/>
                <w:color w:val="auto"/>
              </w:rPr>
              <w:t>CONTACTS:</w:t>
            </w:r>
          </w:p>
        </w:tc>
        <w:tc>
          <w:tcPr>
            <w:tcW w:w="2980" w:type="dxa"/>
            <w:vAlign w:val="bottom"/>
          </w:tcPr>
          <w:p>
            <w:pPr>
              <w:spacing w:after="0"/>
              <w:rPr>
                <w:sz w:val="24"/>
                <w:szCs w:val="24"/>
                <w:color w:val="auto"/>
              </w:rPr>
            </w:pPr>
          </w:p>
        </w:tc>
        <w:tc>
          <w:tcPr>
            <w:tcW w:w="2200" w:type="dxa"/>
            <w:vAlign w:val="bottom"/>
          </w:tcPr>
          <w:p>
            <w:pPr>
              <w:spacing w:after="0"/>
              <w:rPr>
                <w:sz w:val="24"/>
                <w:szCs w:val="24"/>
                <w:color w:val="auto"/>
              </w:rPr>
            </w:pPr>
          </w:p>
        </w:tc>
      </w:tr>
      <w:tr>
        <w:trPr>
          <w:trHeight w:val="924"/>
        </w:trPr>
        <w:tc>
          <w:tcPr>
            <w:tcW w:w="2500" w:type="dxa"/>
            <w:vAlign w:val="bottom"/>
          </w:tcPr>
          <w:p>
            <w:pPr>
              <w:spacing w:after="0"/>
              <w:rPr>
                <w:sz w:val="20"/>
                <w:szCs w:val="20"/>
                <w:color w:val="auto"/>
              </w:rPr>
            </w:pPr>
            <w:r>
              <w:rPr>
                <w:rFonts w:ascii="Courier New" w:cs="Courier New" w:eastAsia="Courier New" w:hAnsi="Courier New"/>
                <w:sz w:val="16"/>
                <w:szCs w:val="16"/>
                <w:color w:val="auto"/>
              </w:rPr>
              <w:t>MEDIA:</w:t>
            </w:r>
          </w:p>
        </w:tc>
        <w:tc>
          <w:tcPr>
            <w:tcW w:w="2980" w:type="dxa"/>
            <w:vAlign w:val="bottom"/>
          </w:tcPr>
          <w:p>
            <w:pPr>
              <w:ind w:left="480"/>
              <w:spacing w:after="0"/>
              <w:rPr>
                <w:sz w:val="20"/>
                <w:szCs w:val="20"/>
                <w:color w:val="auto"/>
              </w:rPr>
            </w:pPr>
            <w:r>
              <w:rPr>
                <w:rFonts w:ascii="Courier New" w:cs="Courier New" w:eastAsia="Courier New" w:hAnsi="Courier New"/>
                <w:sz w:val="16"/>
                <w:szCs w:val="16"/>
                <w:color w:val="auto"/>
              </w:rPr>
              <w:t>Joseph M. Evangelisti</w:t>
            </w:r>
          </w:p>
        </w:tc>
        <w:tc>
          <w:tcPr>
            <w:tcW w:w="2200" w:type="dxa"/>
            <w:vAlign w:val="bottom"/>
          </w:tcPr>
          <w:p>
            <w:pPr>
              <w:ind w:left="480"/>
              <w:spacing w:after="0"/>
              <w:rPr>
                <w:sz w:val="20"/>
                <w:szCs w:val="20"/>
                <w:color w:val="auto"/>
              </w:rPr>
            </w:pPr>
            <w:r>
              <w:rPr>
                <w:rFonts w:ascii="Courier New" w:cs="Courier New" w:eastAsia="Courier New" w:hAnsi="Courier New"/>
                <w:sz w:val="16"/>
                <w:szCs w:val="16"/>
                <w:color w:val="auto"/>
              </w:rPr>
              <w:t>Jim Finn</w:t>
            </w:r>
          </w:p>
        </w:tc>
      </w:tr>
      <w:tr>
        <w:trPr>
          <w:trHeight w:val="185"/>
        </w:trPr>
        <w:tc>
          <w:tcPr>
            <w:tcW w:w="2500" w:type="dxa"/>
            <w:vAlign w:val="bottom"/>
          </w:tcPr>
          <w:p>
            <w:pPr>
              <w:spacing w:after="0"/>
              <w:rPr>
                <w:sz w:val="16"/>
                <w:szCs w:val="16"/>
                <w:color w:val="auto"/>
              </w:rPr>
            </w:pPr>
          </w:p>
        </w:tc>
        <w:tc>
          <w:tcPr>
            <w:tcW w:w="2980" w:type="dxa"/>
            <w:vAlign w:val="bottom"/>
          </w:tcPr>
          <w:p>
            <w:pPr>
              <w:ind w:left="480"/>
              <w:spacing w:after="0"/>
              <w:rPr>
                <w:sz w:val="20"/>
                <w:szCs w:val="20"/>
                <w:color w:val="auto"/>
              </w:rPr>
            </w:pPr>
            <w:r>
              <w:rPr>
                <w:rFonts w:ascii="Courier New" w:cs="Courier New" w:eastAsia="Courier New" w:hAnsi="Courier New"/>
                <w:sz w:val="16"/>
                <w:szCs w:val="16"/>
                <w:color w:val="auto"/>
              </w:rPr>
              <w:t>JP Morgan</w:t>
            </w:r>
          </w:p>
        </w:tc>
        <w:tc>
          <w:tcPr>
            <w:tcW w:w="2200" w:type="dxa"/>
            <w:vAlign w:val="bottom"/>
          </w:tcPr>
          <w:p>
            <w:pPr>
              <w:ind w:left="480"/>
              <w:spacing w:after="0"/>
              <w:rPr>
                <w:sz w:val="20"/>
                <w:szCs w:val="20"/>
                <w:color w:val="auto"/>
              </w:rPr>
            </w:pPr>
            <w:r>
              <w:rPr>
                <w:rFonts w:ascii="Courier New" w:cs="Courier New" w:eastAsia="Courier New" w:hAnsi="Courier New"/>
                <w:sz w:val="16"/>
                <w:szCs w:val="16"/>
                <w:color w:val="auto"/>
              </w:rPr>
              <w:t>Chase</w:t>
            </w:r>
          </w:p>
        </w:tc>
      </w:tr>
      <w:tr>
        <w:trPr>
          <w:trHeight w:val="185"/>
        </w:trPr>
        <w:tc>
          <w:tcPr>
            <w:tcW w:w="2500" w:type="dxa"/>
            <w:vAlign w:val="bottom"/>
          </w:tcPr>
          <w:p>
            <w:pPr>
              <w:spacing w:after="0"/>
              <w:rPr>
                <w:sz w:val="16"/>
                <w:szCs w:val="16"/>
                <w:color w:val="auto"/>
              </w:rPr>
            </w:pPr>
          </w:p>
        </w:tc>
        <w:tc>
          <w:tcPr>
            <w:tcW w:w="2980" w:type="dxa"/>
            <w:vAlign w:val="bottom"/>
          </w:tcPr>
          <w:p>
            <w:pPr>
              <w:ind w:left="480"/>
              <w:spacing w:after="0"/>
              <w:rPr>
                <w:sz w:val="20"/>
                <w:szCs w:val="20"/>
                <w:color w:val="auto"/>
              </w:rPr>
            </w:pPr>
            <w:r>
              <w:rPr>
                <w:rFonts w:ascii="Courier New" w:cs="Courier New" w:eastAsia="Courier New" w:hAnsi="Courier New"/>
                <w:sz w:val="16"/>
                <w:szCs w:val="16"/>
                <w:color w:val="auto"/>
              </w:rPr>
              <w:t>212-648-9589</w:t>
            </w:r>
          </w:p>
        </w:tc>
        <w:tc>
          <w:tcPr>
            <w:tcW w:w="2200" w:type="dxa"/>
            <w:vAlign w:val="bottom"/>
          </w:tcPr>
          <w:p>
            <w:pPr>
              <w:ind w:left="480"/>
              <w:spacing w:after="0"/>
              <w:rPr>
                <w:sz w:val="20"/>
                <w:szCs w:val="20"/>
                <w:color w:val="auto"/>
              </w:rPr>
            </w:pPr>
            <w:r>
              <w:rPr>
                <w:rFonts w:ascii="Courier New" w:cs="Courier New" w:eastAsia="Courier New" w:hAnsi="Courier New"/>
                <w:sz w:val="16"/>
                <w:szCs w:val="16"/>
                <w:color w:val="auto"/>
              </w:rPr>
              <w:t>212-270-7438</w:t>
            </w:r>
          </w:p>
        </w:tc>
      </w:tr>
      <w:tr>
        <w:trPr>
          <w:trHeight w:val="924"/>
        </w:trPr>
        <w:tc>
          <w:tcPr>
            <w:tcW w:w="2500" w:type="dxa"/>
            <w:vAlign w:val="bottom"/>
          </w:tcPr>
          <w:p>
            <w:pPr>
              <w:spacing w:after="0"/>
              <w:rPr>
                <w:sz w:val="20"/>
                <w:szCs w:val="20"/>
                <w:color w:val="auto"/>
              </w:rPr>
            </w:pPr>
            <w:r>
              <w:rPr>
                <w:rFonts w:ascii="Courier New" w:cs="Courier New" w:eastAsia="Courier New" w:hAnsi="Courier New"/>
                <w:sz w:val="16"/>
                <w:szCs w:val="16"/>
                <w:color w:val="auto"/>
              </w:rPr>
              <w:t>INVESTOR RELATIONS:</w:t>
            </w:r>
          </w:p>
        </w:tc>
        <w:tc>
          <w:tcPr>
            <w:tcW w:w="2980" w:type="dxa"/>
            <w:vAlign w:val="bottom"/>
          </w:tcPr>
          <w:p>
            <w:pPr>
              <w:ind w:left="480"/>
              <w:spacing w:after="0"/>
              <w:rPr>
                <w:sz w:val="20"/>
                <w:szCs w:val="20"/>
                <w:color w:val="auto"/>
              </w:rPr>
            </w:pPr>
            <w:r>
              <w:rPr>
                <w:rFonts w:ascii="Courier New" w:cs="Courier New" w:eastAsia="Courier New" w:hAnsi="Courier New"/>
                <w:sz w:val="16"/>
                <w:szCs w:val="16"/>
                <w:color w:val="auto"/>
              </w:rPr>
              <w:t>Ann Patton</w:t>
            </w:r>
          </w:p>
        </w:tc>
        <w:tc>
          <w:tcPr>
            <w:tcW w:w="2200" w:type="dxa"/>
            <w:vAlign w:val="bottom"/>
          </w:tcPr>
          <w:p>
            <w:pPr>
              <w:ind w:left="480"/>
              <w:spacing w:after="0"/>
              <w:rPr>
                <w:sz w:val="20"/>
                <w:szCs w:val="20"/>
                <w:color w:val="auto"/>
              </w:rPr>
            </w:pPr>
            <w:r>
              <w:rPr>
                <w:rFonts w:ascii="Courier New" w:cs="Courier New" w:eastAsia="Courier New" w:hAnsi="Courier New"/>
                <w:sz w:val="16"/>
                <w:szCs w:val="16"/>
                <w:color w:val="auto"/>
              </w:rPr>
              <w:t>John Borden</w:t>
            </w:r>
          </w:p>
        </w:tc>
      </w:tr>
      <w:tr>
        <w:trPr>
          <w:trHeight w:val="185"/>
        </w:trPr>
        <w:tc>
          <w:tcPr>
            <w:tcW w:w="2500" w:type="dxa"/>
            <w:vAlign w:val="bottom"/>
          </w:tcPr>
          <w:p>
            <w:pPr>
              <w:spacing w:after="0"/>
              <w:rPr>
                <w:sz w:val="16"/>
                <w:szCs w:val="16"/>
                <w:color w:val="auto"/>
              </w:rPr>
            </w:pPr>
          </w:p>
        </w:tc>
        <w:tc>
          <w:tcPr>
            <w:tcW w:w="2980" w:type="dxa"/>
            <w:vAlign w:val="bottom"/>
          </w:tcPr>
          <w:p>
            <w:pPr>
              <w:ind w:left="480"/>
              <w:spacing w:after="0"/>
              <w:rPr>
                <w:sz w:val="20"/>
                <w:szCs w:val="20"/>
                <w:color w:val="auto"/>
              </w:rPr>
            </w:pPr>
            <w:r>
              <w:rPr>
                <w:rFonts w:ascii="Courier New" w:cs="Courier New" w:eastAsia="Courier New" w:hAnsi="Courier New"/>
                <w:sz w:val="16"/>
                <w:szCs w:val="16"/>
                <w:color w:val="auto"/>
              </w:rPr>
              <w:t>JP Morgan</w:t>
            </w:r>
          </w:p>
        </w:tc>
        <w:tc>
          <w:tcPr>
            <w:tcW w:w="2200" w:type="dxa"/>
            <w:vAlign w:val="bottom"/>
          </w:tcPr>
          <w:p>
            <w:pPr>
              <w:ind w:left="480"/>
              <w:spacing w:after="0"/>
              <w:rPr>
                <w:sz w:val="20"/>
                <w:szCs w:val="20"/>
                <w:color w:val="auto"/>
              </w:rPr>
            </w:pPr>
            <w:r>
              <w:rPr>
                <w:rFonts w:ascii="Courier New" w:cs="Courier New" w:eastAsia="Courier New" w:hAnsi="Courier New"/>
                <w:sz w:val="16"/>
                <w:szCs w:val="16"/>
                <w:color w:val="auto"/>
              </w:rPr>
              <w:t>Chase</w:t>
            </w:r>
          </w:p>
        </w:tc>
      </w:tr>
      <w:tr>
        <w:trPr>
          <w:trHeight w:val="185"/>
        </w:trPr>
        <w:tc>
          <w:tcPr>
            <w:tcW w:w="2500" w:type="dxa"/>
            <w:vAlign w:val="bottom"/>
          </w:tcPr>
          <w:p>
            <w:pPr>
              <w:spacing w:after="0"/>
              <w:rPr>
                <w:sz w:val="16"/>
                <w:szCs w:val="16"/>
                <w:color w:val="auto"/>
              </w:rPr>
            </w:pPr>
          </w:p>
        </w:tc>
        <w:tc>
          <w:tcPr>
            <w:tcW w:w="2980" w:type="dxa"/>
            <w:vAlign w:val="bottom"/>
          </w:tcPr>
          <w:p>
            <w:pPr>
              <w:ind w:left="480"/>
              <w:spacing w:after="0"/>
              <w:rPr>
                <w:sz w:val="20"/>
                <w:szCs w:val="20"/>
                <w:color w:val="auto"/>
              </w:rPr>
            </w:pPr>
            <w:r>
              <w:rPr>
                <w:rFonts w:ascii="Courier New" w:cs="Courier New" w:eastAsia="Courier New" w:hAnsi="Courier New"/>
                <w:sz w:val="16"/>
                <w:szCs w:val="16"/>
                <w:color w:val="auto"/>
              </w:rPr>
              <w:t>212-648-9446</w:t>
            </w:r>
          </w:p>
        </w:tc>
        <w:tc>
          <w:tcPr>
            <w:tcW w:w="2200" w:type="dxa"/>
            <w:vAlign w:val="bottom"/>
          </w:tcPr>
          <w:p>
            <w:pPr>
              <w:ind w:left="480"/>
              <w:spacing w:after="0"/>
              <w:rPr>
                <w:sz w:val="20"/>
                <w:szCs w:val="20"/>
                <w:color w:val="auto"/>
              </w:rPr>
            </w:pPr>
            <w:r>
              <w:rPr>
                <w:rFonts w:ascii="Courier New" w:cs="Courier New" w:eastAsia="Courier New" w:hAnsi="Courier New"/>
                <w:sz w:val="16"/>
                <w:szCs w:val="16"/>
                <w:color w:val="auto"/>
              </w:rPr>
              <w:t>212-270-7318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2120"/>
        <w:spacing w:after="0"/>
        <w:rPr>
          <w:sz w:val="20"/>
          <w:szCs w:val="20"/>
          <w:color w:val="auto"/>
        </w:rPr>
      </w:pPr>
      <w:r>
        <w:rPr>
          <w:rFonts w:ascii="Courier New" w:cs="Courier New" w:eastAsia="Courier New" w:hAnsi="Courier New"/>
          <w:sz w:val="16"/>
          <w:szCs w:val="16"/>
          <w:color w:val="auto"/>
        </w:rPr>
        <w:t>CHASE AND J.P. MORGAN AGREE TO MERGE</w:t>
      </w:r>
    </w:p>
    <w:p>
      <w:pPr>
        <w:spacing w:after="0" w:line="375" w:lineRule="exact"/>
        <w:rPr>
          <w:sz w:val="20"/>
          <w:szCs w:val="20"/>
          <w:color w:val="auto"/>
        </w:rPr>
      </w:pPr>
    </w:p>
    <w:p>
      <w:pPr>
        <w:ind w:right="2539"/>
        <w:spacing w:after="0" w:line="263" w:lineRule="auto"/>
        <w:rPr>
          <w:sz w:val="20"/>
          <w:szCs w:val="20"/>
          <w:color w:val="auto"/>
        </w:rPr>
      </w:pPr>
      <w:r>
        <w:rPr>
          <w:rFonts w:ascii="Courier New" w:cs="Courier New" w:eastAsia="Courier New" w:hAnsi="Courier New"/>
          <w:sz w:val="15"/>
          <w:szCs w:val="15"/>
          <w:color w:val="auto"/>
        </w:rPr>
        <w:t>NEW YORK, SEPTEMBER 13, 2000 -- The Chase Manhattan Corporation (NYSE: CMB) and J.P. Morgan &amp; Co. Incorporated (NYSE: JPM) today announced that they have agreed to merge. The merged firm will be named J.P. Morgan Chase &amp; Co. Leveraging premier brands and comprehensive capabilities across an unparalleled client franchise, J.P. Morgan Chase &amp; Co. will be a formidable global competitor in financial services, positioned for superior growth and profitability.</w:t>
      </w:r>
    </w:p>
    <w:p>
      <w:pPr>
        <w:spacing w:after="0" w:line="176" w:lineRule="exact"/>
        <w:rPr>
          <w:sz w:val="20"/>
          <w:szCs w:val="20"/>
          <w:color w:val="auto"/>
        </w:rPr>
      </w:pPr>
    </w:p>
    <w:p>
      <w:pPr>
        <w:ind w:right="2539"/>
        <w:spacing w:after="0" w:line="243" w:lineRule="auto"/>
        <w:rPr>
          <w:sz w:val="20"/>
          <w:szCs w:val="20"/>
          <w:color w:val="auto"/>
        </w:rPr>
      </w:pPr>
      <w:r>
        <w:rPr>
          <w:rFonts w:ascii="Courier New" w:cs="Courier New" w:eastAsia="Courier New" w:hAnsi="Courier New"/>
          <w:sz w:val="16"/>
          <w:szCs w:val="16"/>
          <w:color w:val="auto"/>
        </w:rPr>
        <w:t>The merged company will have assets of approximately $660 billion and stockholders' equity of more than $36 billion. On a pro-forma basis, J.P. Morgan Chase &amp; Co. in 1999 would have had net income of approximately $7.5 billion and revenues of approximately $31 billion.</w:t>
      </w:r>
    </w:p>
    <w:p>
      <w:pPr>
        <w:spacing w:after="0" w:line="190" w:lineRule="exact"/>
        <w:rPr>
          <w:sz w:val="20"/>
          <w:szCs w:val="20"/>
          <w:color w:val="auto"/>
        </w:rPr>
      </w:pPr>
    </w:p>
    <w:p>
      <w:pPr>
        <w:jc w:val="both"/>
        <w:ind w:right="2539"/>
        <w:spacing w:after="0" w:line="260" w:lineRule="auto"/>
        <w:rPr>
          <w:sz w:val="20"/>
          <w:szCs w:val="20"/>
          <w:color w:val="auto"/>
        </w:rPr>
      </w:pPr>
      <w:r>
        <w:rPr>
          <w:rFonts w:ascii="Courier New" w:cs="Courier New" w:eastAsia="Courier New" w:hAnsi="Courier New"/>
          <w:sz w:val="15"/>
          <w:szCs w:val="15"/>
          <w:color w:val="auto"/>
        </w:rPr>
        <w:t>The merger agreement, which has been approved by the boards of directors of both companies, provides that 3.7 shares of Chase common stock will be exchanged for each share of J.P. Morgan common stock. Each series of preferred stock of J.P.</w:t>
      </w:r>
    </w:p>
    <w:p>
      <w:pPr>
        <w:spacing w:after="0" w:line="2" w:lineRule="exact"/>
        <w:rPr>
          <w:sz w:val="20"/>
          <w:szCs w:val="20"/>
          <w:color w:val="auto"/>
        </w:rPr>
      </w:pPr>
    </w:p>
    <w:p>
      <w:pPr>
        <w:ind w:right="2539"/>
        <w:spacing w:after="0" w:line="264" w:lineRule="auto"/>
        <w:rPr>
          <w:sz w:val="20"/>
          <w:szCs w:val="20"/>
          <w:color w:val="auto"/>
        </w:rPr>
      </w:pPr>
      <w:r>
        <w:rPr>
          <w:rFonts w:ascii="Courier New" w:cs="Courier New" w:eastAsia="Courier New" w:hAnsi="Courier New"/>
          <w:sz w:val="15"/>
          <w:szCs w:val="15"/>
          <w:color w:val="auto"/>
        </w:rPr>
        <w:t>Morgan will be exchanged for a similar series of preferred stock of Chase, the surviving corporation of the merger. The transaction is expected to be accounted for as a pooling of interests and to be tax-free to J.P. Morgan and Chase stockholders. Based upon Chase's closing price yesterday, the transaction would have a value of approximately $207 for each share of J.P. Morgan common stock.</w:t>
      </w:r>
    </w:p>
    <w:p>
      <w:pPr>
        <w:spacing w:after="0" w:line="172"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-more-</w:t>
      </w:r>
    </w:p>
    <w:p>
      <w:pPr>
        <w:sectPr>
          <w:pgSz w:w="11900" w:h="16838" w:orient="portrait"/>
          <w:cols w:equalWidth="0" w:num="1">
            <w:col w:w="10219"/>
          </w:cols>
          <w:pgMar w:left="240" w:top="140" w:right="1440" w:bottom="1440" w:gutter="0" w:footer="0" w:header="0"/>
        </w:sectPr>
      </w:pPr>
    </w:p>
    <w:bookmarkStart w:id="120" w:name="page121"/>
    <w:bookmarkEnd w:id="120"/>
    <w:p>
      <w:pPr>
        <w:ind w:left="280"/>
        <w:spacing w:after="0"/>
        <w:rPr>
          <w:sz w:val="20"/>
          <w:szCs w:val="20"/>
          <w:color w:val="auto"/>
        </w:rPr>
      </w:pPr>
      <w:r>
        <w:rPr>
          <w:rFonts w:ascii="Courier New" w:cs="Courier New" w:eastAsia="Courier New" w:hAnsi="Courier New"/>
          <w:sz w:val="16"/>
          <w:szCs w:val="16"/>
          <w:color w:val="auto"/>
        </w:rPr>
        <w:t>2</w:t>
      </w:r>
    </w:p>
    <w:p>
      <w:pPr>
        <w:spacing w:after="0" w:line="5"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The wholesale business will be known globally as J.P. Morgan and will encompass investment banking (including strategic advisory, equity and debt capital raising, credit, and global trading and market-making activities), operating services, wealth management, institutional asset management and private equity. The retail business will be known as Chase, consisting of credit cards, regional consumer banking in the New York tri-state area and Texas, mortgage banking, diversified consumer lending, insurance and middle-market banking.</w:t>
      </w:r>
    </w:p>
    <w:p>
      <w:pPr>
        <w:spacing w:after="0" w:line="188"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Douglas A. Warner III, Chairman and CEO of J.P. Morgan, will become Chairman of J.P. Morgan Chase &amp; Co. and co-Chair of the firm's Executive Committee, its senior policy making management group, comprised of senior executives from both Chase and J.P. Morgan. William B. Harrison, Jr., Chairman and CEO of Chase, will become President and CEO of J.P. Morgan Chase &amp; Co. and co-Chair of the Executive Committee. In addition to Messrs. Warner and Harrison, the Board of Directors of J.P. Morgan Chase &amp; Co. will consist of eight members from the current Chase board and five members from the current J.P. Morgan board.</w:t>
      </w:r>
    </w:p>
    <w:p>
      <w:pPr>
        <w:spacing w:after="0" w:line="189"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"This merger is a breakthrough for J.P. Morgan and Chase that will position the new firm as a global powerhouse," said Mr. Warner. "With a formidable client franchise and a potent array of capabilities to address the full spectrum of clients' needs, we see exceptional prospects for sustained growth and profitability. A diversified revenue stream enhances those prospects. And our clients will find a common commitment to high standards of integrity, excellence and service."</w:t>
      </w:r>
    </w:p>
    <w:p>
      <w:pPr>
        <w:spacing w:after="0" w:line="188" w:lineRule="exact"/>
        <w:rPr>
          <w:sz w:val="20"/>
          <w:szCs w:val="20"/>
          <w:color w:val="auto"/>
        </w:rPr>
      </w:pPr>
    </w:p>
    <w:p>
      <w:pPr>
        <w:ind w:right="2639"/>
        <w:spacing w:after="0" w:line="244" w:lineRule="auto"/>
        <w:rPr>
          <w:sz w:val="20"/>
          <w:szCs w:val="20"/>
          <w:color w:val="auto"/>
        </w:rPr>
      </w:pPr>
      <w:r>
        <w:rPr>
          <w:rFonts w:ascii="Courier New" w:cs="Courier New" w:eastAsia="Courier New" w:hAnsi="Courier New"/>
          <w:sz w:val="16"/>
          <w:szCs w:val="16"/>
          <w:color w:val="auto"/>
        </w:rPr>
        <w:t>Mr. Harrison said, "This transaction combines the most comprehensive group of clients with extensive financial and intellectual capital. We will have the capability to meet our clients' needs anywhere in the world with trusted advice and integrated execution. Our new firm will have leadership positions across a broad array of businesses in growth markets." (See attached table.)</w:t>
      </w:r>
    </w:p>
    <w:p>
      <w:pPr>
        <w:spacing w:after="0" w:line="187"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"Our past mergers have demonstrated that the expansion of product capabilities applied to a complementary set of clients results in incremental revenue growth. Expense savings will also result as we combine duplicate functions. As in the past, we will focus on a smooth integration and make the new organization the best of both," said Mr. Harrison.</w:t>
      </w:r>
    </w:p>
    <w:p>
      <w:pPr>
        <w:spacing w:after="0" w:line="187" w:lineRule="exact"/>
        <w:rPr>
          <w:sz w:val="20"/>
          <w:szCs w:val="20"/>
          <w:color w:val="auto"/>
        </w:rPr>
      </w:pPr>
    </w:p>
    <w:p>
      <w:pPr>
        <w:ind w:right="2539"/>
        <w:spacing w:after="0" w:line="243" w:lineRule="auto"/>
        <w:rPr>
          <w:sz w:val="20"/>
          <w:szCs w:val="20"/>
          <w:color w:val="auto"/>
        </w:rPr>
      </w:pPr>
      <w:r>
        <w:rPr>
          <w:rFonts w:ascii="Courier New" w:cs="Courier New" w:eastAsia="Courier New" w:hAnsi="Courier New"/>
          <w:sz w:val="16"/>
          <w:szCs w:val="16"/>
          <w:color w:val="auto"/>
        </w:rPr>
        <w:t>The members of the Executive Committee, reporting to Mr. Harrison, will be: Geoffrey T. Boisi, David A. Coulter, Ramon de Oliveira, Walter A. Gubert, Thomas B. Ketchum, Donald H. Layton, James B. Lee, Jr., Marc J. Shapiro and Jeffrey C. Walker.</w:t>
      </w:r>
    </w:p>
    <w:p>
      <w:pPr>
        <w:spacing w:after="0" w:line="190" w:lineRule="exact"/>
        <w:rPr>
          <w:sz w:val="20"/>
          <w:szCs w:val="20"/>
          <w:color w:val="auto"/>
        </w:rPr>
      </w:pPr>
    </w:p>
    <w:p>
      <w:pPr>
        <w:ind w:right="2819"/>
        <w:spacing w:after="0" w:line="244" w:lineRule="auto"/>
        <w:rPr>
          <w:sz w:val="20"/>
          <w:szCs w:val="20"/>
          <w:color w:val="auto"/>
        </w:rPr>
      </w:pPr>
      <w:r>
        <w:rPr>
          <w:rFonts w:ascii="Courier New" w:cs="Courier New" w:eastAsia="Courier New" w:hAnsi="Courier New"/>
          <w:sz w:val="16"/>
          <w:szCs w:val="16"/>
          <w:color w:val="auto"/>
        </w:rPr>
        <w:t>Mr. Gubert will be chairman of the J.P. Morgan investment bank. Messrs. Boisi and Layton will be co-CEOs of the investment bank and coordinate all of the wholesale banking activities. Mr. Lee will head the investment bank's new business and commitments committees, working with many of the firm's most important clients on new business initiatives. Mr. de Oliveira will head the institutional asset management and wealth management businesses.</w:t>
      </w:r>
    </w:p>
    <w:p>
      <w:pPr>
        <w:spacing w:after="0" w:line="186"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-more-</w:t>
      </w:r>
    </w:p>
    <w:p>
      <w:pPr>
        <w:sectPr>
          <w:pgSz w:w="11900" w:h="16838" w:orient="portrait"/>
          <w:cols w:equalWidth="0" w:num="1">
            <w:col w:w="10219"/>
          </w:cols>
          <w:pgMar w:left="240" w:top="300" w:right="1440" w:bottom="1440" w:gutter="0" w:footer="0" w:header="0"/>
        </w:sectPr>
      </w:pPr>
    </w:p>
    <w:bookmarkStart w:id="121" w:name="page122"/>
    <w:bookmarkEnd w:id="121"/>
    <w:p>
      <w:pPr>
        <w:ind w:left="280"/>
        <w:spacing w:after="0"/>
        <w:rPr>
          <w:sz w:val="20"/>
          <w:szCs w:val="20"/>
          <w:color w:val="auto"/>
        </w:rPr>
      </w:pPr>
      <w:r>
        <w:rPr>
          <w:rFonts w:ascii="Courier New" w:cs="Courier New" w:eastAsia="Courier New" w:hAnsi="Courier New"/>
          <w:sz w:val="16"/>
          <w:szCs w:val="16"/>
          <w:color w:val="auto"/>
        </w:rPr>
        <w:t>3</w:t>
      </w:r>
    </w:p>
    <w:p>
      <w:pPr>
        <w:spacing w:after="0" w:line="5"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Mr. Coulter will continue to head the retail business of the firm and lead its Internet initiatives. Mr. Walker will continue as head of the new firm's private equity group. Mr. Shapiro will continue in his present capacity as head of finance, risk management and administration. Mr. Ketchum will co-chair the merger transition team with Mr. Shapiro.</w:t>
      </w:r>
    </w:p>
    <w:p>
      <w:pPr>
        <w:spacing w:after="0" w:line="187" w:lineRule="exact"/>
        <w:rPr>
          <w:sz w:val="20"/>
          <w:szCs w:val="20"/>
          <w:color w:val="auto"/>
        </w:rPr>
      </w:pPr>
    </w:p>
    <w:p>
      <w:pPr>
        <w:ind w:right="3599"/>
        <w:spacing w:after="0" w:line="274" w:lineRule="auto"/>
        <w:rPr>
          <w:sz w:val="20"/>
          <w:szCs w:val="20"/>
          <w:color w:val="auto"/>
        </w:rPr>
      </w:pPr>
      <w:r>
        <w:rPr>
          <w:rFonts w:ascii="Courier New" w:cs="Courier New" w:eastAsia="Courier New" w:hAnsi="Courier New"/>
          <w:sz w:val="15"/>
          <w:szCs w:val="15"/>
          <w:color w:val="auto"/>
        </w:rPr>
        <w:t>In addition, Denis J. O'Leary and Nicolas S. Rohatyn will co-head the combination of Chase.com and LabMorgan, reporting to Mr. Coulter.</w:t>
      </w:r>
    </w:p>
    <w:p>
      <w:pPr>
        <w:spacing w:after="0" w:line="166" w:lineRule="exact"/>
        <w:rPr>
          <w:sz w:val="20"/>
          <w:szCs w:val="20"/>
          <w:color w:val="auto"/>
        </w:rPr>
      </w:pPr>
    </w:p>
    <w:p>
      <w:pPr>
        <w:ind w:right="3119"/>
        <w:spacing w:after="0" w:line="243" w:lineRule="auto"/>
        <w:rPr>
          <w:sz w:val="20"/>
          <w:szCs w:val="20"/>
          <w:color w:val="auto"/>
        </w:rPr>
      </w:pPr>
      <w:r>
        <w:rPr>
          <w:rFonts w:ascii="Courier New" w:cs="Courier New" w:eastAsia="Courier New" w:hAnsi="Courier New"/>
          <w:sz w:val="16"/>
          <w:szCs w:val="16"/>
          <w:color w:val="auto"/>
        </w:rPr>
        <w:t>Chase and J.P. Morgan announced the following additional senior management positions: Dina Dublon, chief financial officer, John J. Farrell, human resources, Frederick W. Hill, marketing and communications, and William H. McDavid, general counsel.</w:t>
      </w:r>
    </w:p>
    <w:p>
      <w:pPr>
        <w:spacing w:after="0" w:line="190"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Neal Garonzik, vice chairman of Chase, has decided to leave the firm. Mr. Harrison said, "A little over a year ago, Neal agreed to join Chase for a period of time to help us with our equity and asset management strategies. While he was here, we acquired both Hambrecht &amp; Quist and Robert Fleming and saw major improvements in the quality and profitability of our wealth management businesses. Neal's experience has been invaluable and we will continue to seek his advice."</w:t>
      </w:r>
    </w:p>
    <w:p>
      <w:pPr>
        <w:spacing w:after="0" w:line="188" w:lineRule="exact"/>
        <w:rPr>
          <w:sz w:val="20"/>
          <w:szCs w:val="20"/>
          <w:color w:val="auto"/>
        </w:rPr>
      </w:pPr>
    </w:p>
    <w:p>
      <w:pPr>
        <w:ind w:right="2719"/>
        <w:spacing w:after="0" w:line="243" w:lineRule="auto"/>
        <w:rPr>
          <w:sz w:val="20"/>
          <w:szCs w:val="20"/>
          <w:color w:val="auto"/>
        </w:rPr>
      </w:pPr>
      <w:r>
        <w:rPr>
          <w:rFonts w:ascii="Courier New" w:cs="Courier New" w:eastAsia="Courier New" w:hAnsi="Courier New"/>
          <w:sz w:val="16"/>
          <w:szCs w:val="16"/>
          <w:color w:val="auto"/>
        </w:rPr>
        <w:t>The merger is expected to result in synergies of approximately $1.9 billion (pre-tax), consisting of estimated cost savings of approximately $1.5 billion (pre-tax) and estimated incremental net revenues of approximately $400 million</w:t>
      </w:r>
    </w:p>
    <w:p>
      <w:pPr>
        <w:spacing w:after="0" w:line="4"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(pre-tax). The synergies are anticipated to be achieved by the end of the second year following the merger, with one-third estimated to be realized in the first year. It is anticipated that the merger will result in costs of approximately $2.8 billion (pre-tax), a portion of which will be taken as a charge upon closing.</w:t>
      </w:r>
    </w:p>
    <w:p>
      <w:pPr>
        <w:spacing w:after="0" w:line="187" w:lineRule="exact"/>
        <w:rPr>
          <w:sz w:val="20"/>
          <w:szCs w:val="20"/>
          <w:color w:val="auto"/>
        </w:rPr>
      </w:pPr>
    </w:p>
    <w:p>
      <w:pPr>
        <w:ind w:right="3019"/>
        <w:spacing w:after="0" w:line="242" w:lineRule="auto"/>
        <w:rPr>
          <w:sz w:val="20"/>
          <w:szCs w:val="20"/>
          <w:color w:val="auto"/>
        </w:rPr>
      </w:pPr>
      <w:r>
        <w:rPr>
          <w:rFonts w:ascii="Courier New" w:cs="Courier New" w:eastAsia="Courier New" w:hAnsi="Courier New"/>
          <w:sz w:val="16"/>
          <w:szCs w:val="16"/>
          <w:color w:val="auto"/>
        </w:rPr>
        <w:t>The worldwide headquarters of J.P. Morgan Chase &amp; Co. will be in Manhattan, although no decision has been made as to the exact location.</w:t>
      </w:r>
    </w:p>
    <w:p>
      <w:pPr>
        <w:spacing w:after="0" w:line="189" w:lineRule="exact"/>
        <w:rPr>
          <w:sz w:val="20"/>
          <w:szCs w:val="20"/>
          <w:color w:val="auto"/>
        </w:rPr>
      </w:pPr>
    </w:p>
    <w:p>
      <w:pPr>
        <w:ind w:right="2919"/>
        <w:spacing w:after="0" w:line="243" w:lineRule="auto"/>
        <w:rPr>
          <w:sz w:val="20"/>
          <w:szCs w:val="20"/>
          <w:color w:val="auto"/>
        </w:rPr>
      </w:pPr>
      <w:r>
        <w:rPr>
          <w:rFonts w:ascii="Courier New" w:cs="Courier New" w:eastAsia="Courier New" w:hAnsi="Courier New"/>
          <w:sz w:val="16"/>
          <w:szCs w:val="16"/>
          <w:color w:val="auto"/>
        </w:rPr>
        <w:t>Chase and J.P. Morgan have granted each other options to purchase up to 19.9 percent of the outstanding shares of each other's common stock upon the occurrence of certain events.</w:t>
      </w:r>
    </w:p>
    <w:p>
      <w:pPr>
        <w:spacing w:after="0" w:line="189" w:lineRule="exact"/>
        <w:rPr>
          <w:sz w:val="20"/>
          <w:szCs w:val="20"/>
          <w:color w:val="auto"/>
        </w:rPr>
      </w:pPr>
    </w:p>
    <w:p>
      <w:pPr>
        <w:ind w:right="2539"/>
        <w:spacing w:after="0" w:line="243" w:lineRule="auto"/>
        <w:rPr>
          <w:sz w:val="20"/>
          <w:szCs w:val="20"/>
          <w:color w:val="auto"/>
        </w:rPr>
      </w:pPr>
      <w:r>
        <w:rPr>
          <w:rFonts w:ascii="Courier New" w:cs="Courier New" w:eastAsia="Courier New" w:hAnsi="Courier New"/>
          <w:sz w:val="16"/>
          <w:szCs w:val="16"/>
          <w:color w:val="auto"/>
        </w:rPr>
        <w:t>The deal is expected to close in the first quarter of 2001 and is subject to approval by shareholders of both companies, as well as by U.S. Federal and state and foreign regulatory authorities.</w:t>
      </w:r>
    </w:p>
    <w:p>
      <w:pPr>
        <w:spacing w:after="0" w:line="189" w:lineRule="exact"/>
        <w:rPr>
          <w:sz w:val="20"/>
          <w:szCs w:val="20"/>
          <w:color w:val="auto"/>
        </w:rPr>
      </w:pPr>
    </w:p>
    <w:p>
      <w:pPr>
        <w:ind w:right="2539"/>
        <w:spacing w:after="0" w:line="243" w:lineRule="auto"/>
        <w:rPr>
          <w:sz w:val="20"/>
          <w:szCs w:val="20"/>
          <w:color w:val="auto"/>
        </w:rPr>
      </w:pPr>
      <w:r>
        <w:rPr>
          <w:rFonts w:ascii="Courier New" w:cs="Courier New" w:eastAsia="Courier New" w:hAnsi="Courier New"/>
          <w:sz w:val="16"/>
          <w:szCs w:val="16"/>
          <w:color w:val="auto"/>
        </w:rPr>
        <w:t>Chase Securities Inc. served as financial advisor to Chase and rendered a fairness opinion to its Board of Directors. J.P. Morgan Securities Inc. served as financial advisor to J.P. Morgan and rendered a fairness opinion to its Board of Directors.</w:t>
      </w:r>
    </w:p>
    <w:p>
      <w:pPr>
        <w:spacing w:after="0" w:line="190" w:lineRule="exact"/>
        <w:rPr>
          <w:sz w:val="20"/>
          <w:szCs w:val="20"/>
          <w:color w:val="auto"/>
        </w:rPr>
      </w:pPr>
    </w:p>
    <w:p>
      <w:pPr>
        <w:ind w:right="2639"/>
        <w:spacing w:after="0" w:line="242" w:lineRule="auto"/>
        <w:rPr>
          <w:sz w:val="20"/>
          <w:szCs w:val="20"/>
          <w:color w:val="auto"/>
        </w:rPr>
      </w:pPr>
      <w:r>
        <w:rPr>
          <w:rFonts w:ascii="Courier New" w:cs="Courier New" w:eastAsia="Courier New" w:hAnsi="Courier New"/>
          <w:sz w:val="16"/>
          <w:szCs w:val="16"/>
          <w:color w:val="auto"/>
        </w:rPr>
        <w:t>Chase can be reached on the Web at www.chase.com, and J.P. Morgan's web address is www.jpmorgan.com.</w:t>
      </w:r>
    </w:p>
    <w:p>
      <w:pPr>
        <w:spacing w:after="0" w:line="187"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-more-</w:t>
      </w:r>
    </w:p>
    <w:p>
      <w:pPr>
        <w:sectPr>
          <w:pgSz w:w="11900" w:h="16838" w:orient="portrait"/>
          <w:cols w:equalWidth="0" w:num="1">
            <w:col w:w="10219"/>
          </w:cols>
          <w:pgMar w:left="240" w:top="300" w:right="1440" w:bottom="1440" w:gutter="0" w:footer="0" w:header="0"/>
        </w:sectPr>
      </w:pPr>
    </w:p>
    <w:bookmarkStart w:id="122" w:name="page123"/>
    <w:bookmarkEnd w:id="122"/>
    <w:p>
      <w:pPr>
        <w:ind w:left="280"/>
        <w:spacing w:after="0"/>
        <w:rPr>
          <w:sz w:val="20"/>
          <w:szCs w:val="20"/>
          <w:color w:val="auto"/>
        </w:rPr>
      </w:pPr>
      <w:r>
        <w:rPr>
          <w:rFonts w:ascii="Courier New" w:cs="Courier New" w:eastAsia="Courier New" w:hAnsi="Courier New"/>
          <w:sz w:val="16"/>
          <w:szCs w:val="16"/>
          <w:color w:val="auto"/>
        </w:rPr>
        <w:t>4</w:t>
      </w:r>
    </w:p>
    <w:p>
      <w:pPr>
        <w:spacing w:after="0" w:line="5" w:lineRule="exact"/>
        <w:rPr>
          <w:sz w:val="20"/>
          <w:szCs w:val="20"/>
          <w:color w:val="auto"/>
        </w:rPr>
      </w:pPr>
    </w:p>
    <w:p>
      <w:pPr>
        <w:ind w:right="2639"/>
        <w:spacing w:after="0" w:line="244" w:lineRule="auto"/>
        <w:rPr>
          <w:sz w:val="20"/>
          <w:szCs w:val="20"/>
          <w:color w:val="auto"/>
        </w:rPr>
      </w:pPr>
      <w:r>
        <w:rPr>
          <w:rFonts w:ascii="Courier New" w:cs="Courier New" w:eastAsia="Courier New" w:hAnsi="Courier New"/>
          <w:sz w:val="16"/>
          <w:szCs w:val="16"/>
          <w:color w:val="auto"/>
        </w:rPr>
        <w:t>Chase and J.P. Morgan will hold a presentation for the investment community today, September 13, 2000 at 11:30am Eastern Daylight Time to discuss the proposed merger. A live audio Webcast of the presentation will be available on Chase's and J.P. Morgan's investor relations sites at their respective Websites noted above. In addition, persons interested in listening to the presentation may dial in at (973) 628-7055.</w:t>
      </w:r>
    </w:p>
    <w:p>
      <w:pPr>
        <w:spacing w:after="0" w:line="188" w:lineRule="exact"/>
        <w:rPr>
          <w:sz w:val="20"/>
          <w:szCs w:val="20"/>
          <w:color w:val="auto"/>
        </w:rPr>
      </w:pPr>
    </w:p>
    <w:p>
      <w:pPr>
        <w:ind w:right="2539"/>
        <w:spacing w:after="0" w:line="261" w:lineRule="auto"/>
        <w:rPr>
          <w:sz w:val="20"/>
          <w:szCs w:val="20"/>
          <w:color w:val="auto"/>
        </w:rPr>
      </w:pPr>
      <w:r>
        <w:rPr>
          <w:rFonts w:ascii="Courier New" w:cs="Courier New" w:eastAsia="Courier New" w:hAnsi="Courier New"/>
          <w:sz w:val="15"/>
          <w:szCs w:val="15"/>
          <w:color w:val="auto"/>
        </w:rPr>
        <w:t>This press release contains statements that are forward-looking within the meaning of the Private Securities Litigation Reform Act of 1995. Such statements are based upon the current beliefs and expectations of J.P. Morgan's and Chase's managements and are subject to significant risks and uncertainties. Actual results may differ from those set forth in the forward- looking statements. These uncertainties include: the inability to obtain governmental approvals of the merger on the proposed terms and schedule; the failure of Chase and J.P. Morgan stockholders to approve the merger; the risk that the businesses will not be integrated successfully; the risk that the revenue synergies and costs savings anticipated from the merger may not be fully realized or may take longer to realize than expected; disruptions from the merger making it more difficult to maintain relationships with clients, employees or suppliers; increased competition and its effects on pricing, spending, third-party relationships and revenues; and the risks of new and changing regulation in the U.S. and internationally. Additional factors that could cause Chase's and J.P. Morgan's results to differ materially from those described in the forward- looking statements can be found in the 1999 Annual Reports on Form 10-K of Chase and J.P. Morgan filed with the Securities and Exchange Commission.</w:t>
      </w:r>
    </w:p>
    <w:p>
      <w:pPr>
        <w:sectPr>
          <w:pgSz w:w="11900" w:h="16838" w:orient="portrait"/>
          <w:cols w:equalWidth="0" w:num="1">
            <w:col w:w="10219"/>
          </w:cols>
          <w:pgMar w:left="240" w:top="300" w:right="1440" w:bottom="1440" w:gutter="0" w:footer="0" w:header="0"/>
        </w:sectPr>
      </w:pPr>
    </w:p>
    <w:bookmarkStart w:id="123" w:name="page124"/>
    <w:bookmarkEnd w:id="123"/>
    <w:p>
      <w:pPr>
        <w:jc w:val="right"/>
        <w:ind w:right="9839"/>
        <w:spacing w:after="0"/>
        <w:rPr>
          <w:sz w:val="20"/>
          <w:szCs w:val="20"/>
          <w:color w:val="auto"/>
        </w:rPr>
      </w:pPr>
      <w:r>
        <w:rPr>
          <w:rFonts w:ascii="Courier New" w:cs="Courier New" w:eastAsia="Courier New" w:hAnsi="Courier New"/>
          <w:sz w:val="16"/>
          <w:szCs w:val="16"/>
          <w:color w:val="auto"/>
        </w:rPr>
        <w:t>5</w:t>
      </w:r>
    </w:p>
    <w:p>
      <w:pPr>
        <w:spacing w:after="0" w:line="5" w:lineRule="exact"/>
        <w:rPr>
          <w:sz w:val="20"/>
          <w:szCs w:val="20"/>
          <w:color w:val="auto"/>
        </w:rPr>
      </w:pPr>
    </w:p>
    <w:p>
      <w:pPr>
        <w:jc w:val="right"/>
        <w:ind w:right="9839"/>
        <w:spacing w:after="0"/>
        <w:rPr>
          <w:sz w:val="20"/>
          <w:szCs w:val="20"/>
          <w:color w:val="auto"/>
        </w:rPr>
      </w:pPr>
      <w:r>
        <w:rPr>
          <w:rFonts w:ascii="Courier New" w:cs="Courier New" w:eastAsia="Courier New" w:hAnsi="Courier New"/>
          <w:sz w:val="15"/>
          <w:szCs w:val="15"/>
          <w:color w:val="auto"/>
        </w:rPr>
        <w:t># ##</w:t>
      </w:r>
    </w:p>
    <w:p>
      <w:pPr>
        <w:spacing w:after="0" w:line="13" w:lineRule="exact"/>
        <w:rPr>
          <w:sz w:val="20"/>
          <w:szCs w:val="20"/>
          <w:color w:val="auto"/>
        </w:rPr>
      </w:pPr>
    </w:p>
    <w:p>
      <w:pPr>
        <w:ind w:left="2200"/>
        <w:spacing w:after="0"/>
        <w:rPr>
          <w:sz w:val="20"/>
          <w:szCs w:val="20"/>
          <w:color w:val="auto"/>
        </w:rPr>
      </w:pPr>
      <w:r>
        <w:rPr>
          <w:rFonts w:ascii="Courier New" w:cs="Courier New" w:eastAsia="Courier New" w:hAnsi="Courier New"/>
          <w:sz w:val="16"/>
          <w:szCs w:val="16"/>
          <w:color w:val="auto"/>
        </w:rPr>
        <w:t>FACTS ABOUT J.P. MORGAN CHASE &amp; CO.</w:t>
      </w:r>
    </w:p>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FINANCIAL HIGHLIGHTS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(US dollars)</w:t>
      </w:r>
    </w:p>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As of December 31, 1999, pro forma</w:t>
      </w:r>
    </w:p>
    <w:p>
      <w:pPr>
        <w:spacing w:after="0" w:line="188"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$660 billion in Total Assets</w:t>
      </w:r>
    </w:p>
    <w:p>
      <w:pPr>
        <w:spacing w:after="0" w:line="4" w:lineRule="exact"/>
        <w:rPr>
          <w:sz w:val="20"/>
          <w:szCs w:val="20"/>
          <w:color w:val="auto"/>
        </w:rPr>
      </w:pPr>
    </w:p>
    <w:p>
      <w:pPr>
        <w:ind w:left="860"/>
        <w:spacing w:after="0"/>
        <w:tabs>
          <w:tab w:leader="none" w:pos="1320" w:val="left"/>
        </w:tabs>
        <w:rPr>
          <w:sz w:val="20"/>
          <w:szCs w:val="20"/>
          <w:color w:val="auto"/>
        </w:rPr>
      </w:pPr>
      <w:r>
        <w:rPr>
          <w:rFonts w:ascii="Courier New" w:cs="Courier New" w:eastAsia="Courier New" w:hAnsi="Courier New"/>
          <w:sz w:val="16"/>
          <w:szCs w:val="16"/>
          <w:color w:val="auto"/>
        </w:rPr>
        <w:t>$36</w:t>
        <w:tab/>
        <w:t>billion in Stockholders' Equity</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 Full Year 1999, pro forma</w:t>
      </w:r>
    </w:p>
    <w:p>
      <w:pPr>
        <w:spacing w:after="0" w:line="188" w:lineRule="exact"/>
        <w:rPr>
          <w:sz w:val="20"/>
          <w:szCs w:val="20"/>
          <w:color w:val="auto"/>
        </w:rPr>
      </w:pPr>
    </w:p>
    <w:p>
      <w:pPr>
        <w:ind w:left="860"/>
        <w:spacing w:after="0"/>
        <w:tabs>
          <w:tab w:leader="none" w:pos="1420" w:val="left"/>
        </w:tabs>
        <w:rPr>
          <w:sz w:val="20"/>
          <w:szCs w:val="20"/>
          <w:color w:val="auto"/>
        </w:rPr>
      </w:pPr>
      <w:r>
        <w:rPr>
          <w:rFonts w:ascii="Courier New" w:cs="Courier New" w:eastAsia="Courier New" w:hAnsi="Courier New"/>
          <w:sz w:val="16"/>
          <w:szCs w:val="16"/>
          <w:color w:val="auto"/>
        </w:rPr>
        <w:t>$31</w:t>
      </w:r>
      <w:r>
        <w:rPr>
          <w:sz w:val="20"/>
          <w:szCs w:val="20"/>
          <w:color w:val="auto"/>
        </w:rPr>
        <w:tab/>
      </w:r>
      <w:r>
        <w:rPr>
          <w:rFonts w:ascii="Courier New" w:cs="Courier New" w:eastAsia="Courier New" w:hAnsi="Courier New"/>
          <w:sz w:val="15"/>
          <w:szCs w:val="15"/>
          <w:color w:val="auto"/>
        </w:rPr>
        <w:t>billion of Revenues</w:t>
      </w:r>
    </w:p>
    <w:p>
      <w:pPr>
        <w:spacing w:after="0" w:line="4" w:lineRule="exact"/>
        <w:rPr>
          <w:sz w:val="20"/>
          <w:szCs w:val="20"/>
          <w:color w:val="auto"/>
        </w:rPr>
      </w:pPr>
    </w:p>
    <w:p>
      <w:pPr>
        <w:ind w:left="860"/>
        <w:spacing w:after="0"/>
        <w:tabs>
          <w:tab w:leader="none" w:pos="1420" w:val="left"/>
        </w:tabs>
        <w:rPr>
          <w:sz w:val="20"/>
          <w:szCs w:val="20"/>
          <w:color w:val="auto"/>
        </w:rPr>
      </w:pPr>
      <w:r>
        <w:rPr>
          <w:rFonts w:ascii="Courier New" w:cs="Courier New" w:eastAsia="Courier New" w:hAnsi="Courier New"/>
          <w:sz w:val="16"/>
          <w:szCs w:val="16"/>
          <w:color w:val="auto"/>
        </w:rPr>
        <w:t>$7.5</w:t>
      </w:r>
      <w:r>
        <w:rPr>
          <w:sz w:val="20"/>
          <w:szCs w:val="20"/>
          <w:color w:val="auto"/>
        </w:rPr>
        <w:tab/>
      </w:r>
      <w:r>
        <w:rPr>
          <w:rFonts w:ascii="Courier New" w:cs="Courier New" w:eastAsia="Courier New" w:hAnsi="Courier New"/>
          <w:sz w:val="15"/>
          <w:szCs w:val="15"/>
          <w:color w:val="auto"/>
        </w:rPr>
        <w:t>billion of Earnings</w:t>
      </w:r>
    </w:p>
    <w:p>
      <w:pPr>
        <w:spacing w:after="0" w:line="188" w:lineRule="exact"/>
        <w:rPr>
          <w:sz w:val="20"/>
          <w:szCs w:val="20"/>
          <w:color w:val="auto"/>
        </w:rPr>
      </w:pPr>
    </w:p>
    <w:p>
      <w:pPr>
        <w:ind w:left="860"/>
        <w:spacing w:after="0"/>
        <w:tabs>
          <w:tab w:leader="none" w:pos="5940" w:val="left"/>
        </w:tabs>
        <w:rPr>
          <w:sz w:val="20"/>
          <w:szCs w:val="20"/>
          <w:color w:val="auto"/>
        </w:rPr>
      </w:pPr>
      <w:r>
        <w:rPr>
          <w:rFonts w:ascii="Courier New" w:cs="Courier New" w:eastAsia="Courier New" w:hAnsi="Courier New"/>
          <w:sz w:val="16"/>
          <w:szCs w:val="16"/>
          <w:color w:val="auto"/>
        </w:rPr>
        <w:t>Earnings by Line of Business, pro forma, first half</w:t>
      </w:r>
      <w:r>
        <w:rPr>
          <w:sz w:val="20"/>
          <w:szCs w:val="20"/>
          <w:color w:val="auto"/>
        </w:rPr>
        <w:tab/>
      </w:r>
      <w:r>
        <w:rPr>
          <w:rFonts w:ascii="Courier New" w:cs="Courier New" w:eastAsia="Courier New" w:hAnsi="Courier New"/>
          <w:sz w:val="15"/>
          <w:szCs w:val="15"/>
          <w:color w:val="auto"/>
        </w:rPr>
        <w:t>2000</w:t>
      </w:r>
    </w:p>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800" w:type="dxa"/>
            <w:vAlign w:val="bottom"/>
          </w:tcPr>
          <w:p>
            <w:pPr>
              <w:spacing w:after="0"/>
              <w:rPr>
                <w:sz w:val="15"/>
                <w:szCs w:val="15"/>
                <w:color w:val="auto"/>
              </w:rPr>
            </w:pPr>
          </w:p>
        </w:tc>
        <w:tc>
          <w:tcPr>
            <w:tcW w:w="17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 of total</w:t>
            </w:r>
          </w:p>
        </w:tc>
        <w:tc>
          <w:tcPr>
            <w:tcW w:w="1680" w:type="dxa"/>
            <w:vAlign w:val="bottom"/>
          </w:tcPr>
          <w:p>
            <w:pPr>
              <w:spacing w:after="0"/>
              <w:rPr>
                <w:sz w:val="15"/>
                <w:szCs w:val="15"/>
                <w:color w:val="auto"/>
              </w:rPr>
            </w:pPr>
          </w:p>
        </w:tc>
      </w:tr>
      <w:tr>
        <w:trPr>
          <w:trHeight w:val="185"/>
        </w:trPr>
        <w:tc>
          <w:tcPr>
            <w:tcW w:w="3800" w:type="dxa"/>
            <w:vAlign w:val="bottom"/>
          </w:tcPr>
          <w:p>
            <w:pPr>
              <w:spacing w:after="0"/>
              <w:rPr>
                <w:sz w:val="16"/>
                <w:szCs w:val="16"/>
                <w:color w:val="auto"/>
              </w:rPr>
            </w:pPr>
          </w:p>
        </w:tc>
        <w:tc>
          <w:tcPr>
            <w:tcW w:w="17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680" w:type="dxa"/>
            <w:vAlign w:val="bottom"/>
          </w:tcPr>
          <w:p>
            <w:pPr>
              <w:spacing w:after="0"/>
              <w:rPr>
                <w:sz w:val="16"/>
                <w:szCs w:val="16"/>
                <w:color w:val="auto"/>
              </w:rPr>
            </w:pPr>
          </w:p>
        </w:tc>
      </w:tr>
      <w:tr>
        <w:trPr>
          <w:trHeight w:val="370"/>
        </w:trPr>
        <w:tc>
          <w:tcPr>
            <w:tcW w:w="3800" w:type="dxa"/>
            <w:vAlign w:val="bottom"/>
          </w:tcPr>
          <w:p>
            <w:pPr>
              <w:ind w:left="860"/>
              <w:spacing w:after="0"/>
              <w:rPr>
                <w:sz w:val="20"/>
                <w:szCs w:val="20"/>
                <w:color w:val="auto"/>
              </w:rPr>
            </w:pPr>
            <w:r>
              <w:rPr>
                <w:rFonts w:ascii="Courier New" w:cs="Courier New" w:eastAsia="Courier New" w:hAnsi="Courier New"/>
                <w:sz w:val="16"/>
                <w:szCs w:val="16"/>
                <w:color w:val="auto"/>
              </w:rPr>
              <w:t>Investment Banking</w:t>
            </w:r>
          </w:p>
        </w:tc>
        <w:tc>
          <w:tcPr>
            <w:tcW w:w="172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55%</w:t>
            </w:r>
          </w:p>
        </w:tc>
        <w:tc>
          <w:tcPr>
            <w:tcW w:w="1680" w:type="dxa"/>
            <w:vAlign w:val="bottom"/>
          </w:tcPr>
          <w:p>
            <w:pPr>
              <w:spacing w:after="0"/>
              <w:rPr>
                <w:sz w:val="24"/>
                <w:szCs w:val="24"/>
                <w:color w:val="auto"/>
              </w:rPr>
            </w:pPr>
          </w:p>
        </w:tc>
      </w:tr>
      <w:tr>
        <w:trPr>
          <w:trHeight w:val="185"/>
        </w:trPr>
        <w:tc>
          <w:tcPr>
            <w:tcW w:w="3800" w:type="dxa"/>
            <w:vAlign w:val="bottom"/>
          </w:tcPr>
          <w:p>
            <w:pPr>
              <w:ind w:left="860"/>
              <w:spacing w:after="0"/>
              <w:rPr>
                <w:sz w:val="20"/>
                <w:szCs w:val="20"/>
                <w:color w:val="auto"/>
              </w:rPr>
            </w:pPr>
            <w:r>
              <w:rPr>
                <w:rFonts w:ascii="Courier New" w:cs="Courier New" w:eastAsia="Courier New" w:hAnsi="Courier New"/>
                <w:sz w:val="16"/>
                <w:szCs w:val="16"/>
                <w:color w:val="auto"/>
              </w:rPr>
              <w:t>National Consumer Services</w:t>
            </w:r>
          </w:p>
        </w:tc>
        <w:tc>
          <w:tcPr>
            <w:tcW w:w="172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18%</w:t>
            </w:r>
          </w:p>
        </w:tc>
        <w:tc>
          <w:tcPr>
            <w:tcW w:w="1680" w:type="dxa"/>
            <w:vAlign w:val="bottom"/>
          </w:tcPr>
          <w:p>
            <w:pPr>
              <w:spacing w:after="0"/>
              <w:rPr>
                <w:sz w:val="16"/>
                <w:szCs w:val="16"/>
                <w:color w:val="auto"/>
              </w:rPr>
            </w:pPr>
          </w:p>
        </w:tc>
      </w:tr>
      <w:tr>
        <w:trPr>
          <w:trHeight w:val="185"/>
        </w:trPr>
        <w:tc>
          <w:tcPr>
            <w:tcW w:w="3800" w:type="dxa"/>
            <w:vAlign w:val="bottom"/>
          </w:tcPr>
          <w:p>
            <w:pPr>
              <w:ind w:left="860"/>
              <w:spacing w:after="0"/>
              <w:rPr>
                <w:sz w:val="20"/>
                <w:szCs w:val="20"/>
                <w:color w:val="auto"/>
              </w:rPr>
            </w:pPr>
            <w:r>
              <w:rPr>
                <w:rFonts w:ascii="Courier New" w:cs="Courier New" w:eastAsia="Courier New" w:hAnsi="Courier New"/>
                <w:sz w:val="16"/>
                <w:szCs w:val="16"/>
                <w:color w:val="auto"/>
              </w:rPr>
              <w:t>Private Equity</w:t>
            </w:r>
          </w:p>
        </w:tc>
        <w:tc>
          <w:tcPr>
            <w:tcW w:w="172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12%</w:t>
            </w:r>
          </w:p>
        </w:tc>
        <w:tc>
          <w:tcPr>
            <w:tcW w:w="1680" w:type="dxa"/>
            <w:vAlign w:val="bottom"/>
          </w:tcPr>
          <w:p>
            <w:pPr>
              <w:spacing w:after="0"/>
              <w:rPr>
                <w:sz w:val="16"/>
                <w:szCs w:val="16"/>
                <w:color w:val="auto"/>
              </w:rPr>
            </w:pPr>
          </w:p>
        </w:tc>
      </w:tr>
      <w:tr>
        <w:trPr>
          <w:trHeight w:val="185"/>
        </w:trPr>
        <w:tc>
          <w:tcPr>
            <w:tcW w:w="3800" w:type="dxa"/>
            <w:vAlign w:val="bottom"/>
          </w:tcPr>
          <w:p>
            <w:pPr>
              <w:ind w:left="860"/>
              <w:spacing w:after="0"/>
              <w:rPr>
                <w:sz w:val="20"/>
                <w:szCs w:val="20"/>
                <w:color w:val="auto"/>
              </w:rPr>
            </w:pPr>
            <w:r>
              <w:rPr>
                <w:rFonts w:ascii="Courier New" w:cs="Courier New" w:eastAsia="Courier New" w:hAnsi="Courier New"/>
                <w:sz w:val="16"/>
                <w:szCs w:val="16"/>
                <w:color w:val="auto"/>
              </w:rPr>
              <w:t>Wealth Management</w:t>
            </w:r>
          </w:p>
        </w:tc>
        <w:tc>
          <w:tcPr>
            <w:tcW w:w="172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9%</w:t>
            </w:r>
          </w:p>
        </w:tc>
        <w:tc>
          <w:tcPr>
            <w:tcW w:w="1680" w:type="dxa"/>
            <w:vAlign w:val="bottom"/>
          </w:tcPr>
          <w:p>
            <w:pPr>
              <w:spacing w:after="0"/>
              <w:rPr>
                <w:sz w:val="16"/>
                <w:szCs w:val="16"/>
                <w:color w:val="auto"/>
              </w:rPr>
            </w:pPr>
          </w:p>
        </w:tc>
      </w:tr>
      <w:tr>
        <w:trPr>
          <w:trHeight w:val="185"/>
        </w:trPr>
        <w:tc>
          <w:tcPr>
            <w:tcW w:w="3800" w:type="dxa"/>
            <w:vAlign w:val="bottom"/>
          </w:tcPr>
          <w:p>
            <w:pPr>
              <w:ind w:left="860"/>
              <w:spacing w:after="0"/>
              <w:rPr>
                <w:sz w:val="20"/>
                <w:szCs w:val="20"/>
                <w:color w:val="auto"/>
              </w:rPr>
            </w:pPr>
            <w:r>
              <w:rPr>
                <w:rFonts w:ascii="Courier New" w:cs="Courier New" w:eastAsia="Courier New" w:hAnsi="Courier New"/>
                <w:sz w:val="16"/>
                <w:szCs w:val="16"/>
                <w:color w:val="auto"/>
              </w:rPr>
              <w:t>Operating Services</w:t>
            </w:r>
          </w:p>
        </w:tc>
        <w:tc>
          <w:tcPr>
            <w:tcW w:w="172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6%</w:t>
            </w:r>
          </w:p>
        </w:tc>
        <w:tc>
          <w:tcPr>
            <w:tcW w:w="1680" w:type="dxa"/>
            <w:vAlign w:val="bottom"/>
          </w:tcPr>
          <w:p>
            <w:pPr>
              <w:spacing w:after="0"/>
              <w:rPr>
                <w:sz w:val="16"/>
                <w:szCs w:val="16"/>
                <w:color w:val="auto"/>
              </w:rPr>
            </w:pPr>
          </w:p>
        </w:tc>
      </w:tr>
      <w:tr>
        <w:trPr>
          <w:trHeight w:val="185"/>
        </w:trPr>
        <w:tc>
          <w:tcPr>
            <w:tcW w:w="3800" w:type="dxa"/>
            <w:vAlign w:val="bottom"/>
          </w:tcPr>
          <w:p>
            <w:pPr>
              <w:spacing w:after="0"/>
              <w:rPr>
                <w:sz w:val="16"/>
                <w:szCs w:val="16"/>
                <w:color w:val="auto"/>
              </w:rPr>
            </w:pPr>
          </w:p>
        </w:tc>
        <w:tc>
          <w:tcPr>
            <w:tcW w:w="172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100%</w:t>
            </w:r>
          </w:p>
        </w:tc>
        <w:tc>
          <w:tcPr>
            <w:tcW w:w="1680" w:type="dxa"/>
            <w:vAlign w:val="bottom"/>
          </w:tcPr>
          <w:p>
            <w:pPr>
              <w:spacing w:after="0"/>
              <w:rPr>
                <w:sz w:val="16"/>
                <w:szCs w:val="16"/>
                <w:color w:val="auto"/>
              </w:rPr>
            </w:pPr>
          </w:p>
        </w:tc>
      </w:tr>
      <w:tr>
        <w:trPr>
          <w:trHeight w:val="554"/>
        </w:trPr>
        <w:tc>
          <w:tcPr>
            <w:tcW w:w="3800" w:type="dxa"/>
            <w:vAlign w:val="bottom"/>
          </w:tcPr>
          <w:p>
            <w:pPr>
              <w:ind w:left="1440"/>
              <w:spacing w:after="0"/>
              <w:rPr>
                <w:sz w:val="20"/>
                <w:szCs w:val="20"/>
                <w:color w:val="auto"/>
              </w:rPr>
            </w:pPr>
            <w:r>
              <w:rPr>
                <w:rFonts w:ascii="Courier New" w:cs="Courier New" w:eastAsia="Courier New" w:hAnsi="Courier New"/>
                <w:sz w:val="16"/>
                <w:szCs w:val="16"/>
                <w:color w:val="auto"/>
              </w:rPr>
              <w:t>(a)</w:t>
            </w:r>
          </w:p>
        </w:tc>
        <w:tc>
          <w:tcPr>
            <w:tcW w:w="172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370"/>
        </w:trPr>
        <w:tc>
          <w:tcPr>
            <w:tcW w:w="3800" w:type="dxa"/>
            <w:vAlign w:val="bottom"/>
          </w:tcPr>
          <w:p>
            <w:pPr>
              <w:ind w:left="1440"/>
              <w:spacing w:after="0"/>
              <w:rPr>
                <w:sz w:val="20"/>
                <w:szCs w:val="20"/>
                <w:color w:val="auto"/>
              </w:rPr>
            </w:pPr>
            <w:r>
              <w:rPr>
                <w:rFonts w:ascii="Courier New" w:cs="Courier New" w:eastAsia="Courier New" w:hAnsi="Courier New"/>
                <w:sz w:val="16"/>
                <w:szCs w:val="16"/>
                <w:color w:val="auto"/>
              </w:rPr>
              <w:t>(b)</w:t>
            </w:r>
          </w:p>
        </w:tc>
        <w:tc>
          <w:tcPr>
            <w:tcW w:w="172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370"/>
        </w:trPr>
        <w:tc>
          <w:tcPr>
            <w:tcW w:w="3800" w:type="dxa"/>
            <w:vAlign w:val="bottom"/>
          </w:tcPr>
          <w:p>
            <w:pPr>
              <w:spacing w:after="0"/>
              <w:rPr>
                <w:sz w:val="20"/>
                <w:szCs w:val="20"/>
                <w:color w:val="auto"/>
              </w:rPr>
            </w:pPr>
            <w:r>
              <w:rPr>
                <w:rFonts w:ascii="Courier New" w:cs="Courier New" w:eastAsia="Courier New" w:hAnsi="Courier New"/>
                <w:sz w:val="16"/>
                <w:szCs w:val="16"/>
                <w:color w:val="auto"/>
              </w:rPr>
              <w:t>MARKET LEADERSHIP POSITIONS</w:t>
            </w:r>
          </w:p>
        </w:tc>
        <w:tc>
          <w:tcPr>
            <w:tcW w:w="172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739"/>
        </w:trPr>
        <w:tc>
          <w:tcPr>
            <w:tcW w:w="3800" w:type="dxa"/>
            <w:vAlign w:val="bottom"/>
          </w:tcPr>
          <w:p>
            <w:pPr>
              <w:spacing w:after="0"/>
              <w:rPr>
                <w:sz w:val="24"/>
                <w:szCs w:val="24"/>
                <w:color w:val="auto"/>
              </w:rPr>
            </w:pPr>
          </w:p>
        </w:tc>
        <w:tc>
          <w:tcPr>
            <w:tcW w:w="172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Pro Forma</w:t>
            </w:r>
          </w:p>
        </w:tc>
        <w:tc>
          <w:tcPr>
            <w:tcW w:w="1680" w:type="dxa"/>
            <w:vAlign w:val="bottom"/>
          </w:tcPr>
          <w:p>
            <w:pPr>
              <w:jc w:val="center"/>
              <w:ind w:left="180"/>
              <w:spacing w:after="0"/>
              <w:rPr>
                <w:sz w:val="20"/>
                <w:szCs w:val="20"/>
                <w:color w:val="auto"/>
              </w:rPr>
            </w:pPr>
            <w:r>
              <w:rPr>
                <w:rFonts w:ascii="Courier New" w:cs="Courier New" w:eastAsia="Courier New" w:hAnsi="Courier New"/>
                <w:sz w:val="16"/>
                <w:szCs w:val="16"/>
                <w:color w:val="auto"/>
                <w:w w:val="99"/>
              </w:rPr>
              <w:t>Pro Forma</w:t>
            </w:r>
          </w:p>
        </w:tc>
      </w:tr>
      <w:tr>
        <w:trPr>
          <w:trHeight w:val="185"/>
        </w:trPr>
        <w:tc>
          <w:tcPr>
            <w:tcW w:w="3800" w:type="dxa"/>
            <w:vAlign w:val="bottom"/>
          </w:tcPr>
          <w:p>
            <w:pPr>
              <w:spacing w:after="0"/>
              <w:rPr>
                <w:sz w:val="16"/>
                <w:szCs w:val="16"/>
                <w:color w:val="auto"/>
              </w:rPr>
            </w:pPr>
          </w:p>
        </w:tc>
        <w:tc>
          <w:tcPr>
            <w:tcW w:w="17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Full Year 1999</w:t>
            </w:r>
          </w:p>
        </w:tc>
        <w:tc>
          <w:tcPr>
            <w:tcW w:w="1680" w:type="dxa"/>
            <w:vAlign w:val="bottom"/>
          </w:tcPr>
          <w:p>
            <w:pPr>
              <w:jc w:val="center"/>
              <w:ind w:left="160"/>
              <w:spacing w:after="0"/>
              <w:rPr>
                <w:sz w:val="20"/>
                <w:szCs w:val="20"/>
                <w:color w:val="auto"/>
              </w:rPr>
            </w:pPr>
            <w:r>
              <w:rPr>
                <w:rFonts w:ascii="Courier New" w:cs="Courier New" w:eastAsia="Courier New" w:hAnsi="Courier New"/>
                <w:sz w:val="16"/>
                <w:szCs w:val="16"/>
                <w:color w:val="auto"/>
                <w:w w:val="99"/>
              </w:rPr>
              <w:t>First Half 2000</w:t>
            </w:r>
          </w:p>
        </w:tc>
      </w:tr>
      <w:tr>
        <w:trPr>
          <w:trHeight w:val="185"/>
        </w:trPr>
        <w:tc>
          <w:tcPr>
            <w:tcW w:w="3800" w:type="dxa"/>
            <w:vAlign w:val="bottom"/>
          </w:tcPr>
          <w:p>
            <w:pPr>
              <w:spacing w:after="0"/>
              <w:rPr>
                <w:sz w:val="16"/>
                <w:szCs w:val="16"/>
                <w:color w:val="auto"/>
              </w:rPr>
            </w:pPr>
          </w:p>
        </w:tc>
        <w:tc>
          <w:tcPr>
            <w:tcW w:w="17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680" w:type="dxa"/>
            <w:vAlign w:val="bottom"/>
          </w:tcPr>
          <w:p>
            <w:pPr>
              <w:jc w:val="center"/>
              <w:ind w:left="160"/>
              <w:spacing w:after="0"/>
              <w:rPr>
                <w:sz w:val="20"/>
                <w:szCs w:val="20"/>
                <w:color w:val="auto"/>
              </w:rPr>
            </w:pPr>
            <w:r>
              <w:rPr>
                <w:rFonts w:ascii="Courier New" w:cs="Courier New" w:eastAsia="Courier New" w:hAnsi="Courier New"/>
                <w:sz w:val="16"/>
                <w:szCs w:val="16"/>
                <w:color w:val="auto"/>
                <w:w w:val="99"/>
              </w:rPr>
              <w:t>---------------</w:t>
            </w:r>
          </w:p>
        </w:tc>
      </w:tr>
      <w:tr>
        <w:trPr>
          <w:trHeight w:val="370"/>
        </w:trPr>
        <w:tc>
          <w:tcPr>
            <w:tcW w:w="3800" w:type="dxa"/>
            <w:vAlign w:val="bottom"/>
          </w:tcPr>
          <w:p>
            <w:pPr>
              <w:ind w:left="580"/>
              <w:spacing w:after="0"/>
              <w:rPr>
                <w:sz w:val="20"/>
                <w:szCs w:val="20"/>
                <w:color w:val="auto"/>
              </w:rPr>
            </w:pPr>
            <w:r>
              <w:rPr>
                <w:rFonts w:ascii="Courier New" w:cs="Courier New" w:eastAsia="Courier New" w:hAnsi="Courier New"/>
                <w:sz w:val="16"/>
                <w:szCs w:val="16"/>
                <w:color w:val="auto"/>
              </w:rPr>
              <w:t>STRATEGIC ADVISORY (M&amp;A)</w:t>
            </w:r>
          </w:p>
        </w:tc>
        <w:tc>
          <w:tcPr>
            <w:tcW w:w="172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85"/>
        </w:trPr>
        <w:tc>
          <w:tcPr>
            <w:tcW w:w="3800" w:type="dxa"/>
            <w:vAlign w:val="bottom"/>
          </w:tcPr>
          <w:p>
            <w:pPr>
              <w:ind w:left="680"/>
              <w:spacing w:after="0"/>
              <w:rPr>
                <w:sz w:val="20"/>
                <w:szCs w:val="20"/>
                <w:color w:val="auto"/>
              </w:rPr>
            </w:pPr>
            <w:r>
              <w:rPr>
                <w:rFonts w:ascii="Courier New" w:cs="Courier New" w:eastAsia="Courier New" w:hAnsi="Courier New"/>
                <w:sz w:val="16"/>
                <w:szCs w:val="16"/>
                <w:color w:val="auto"/>
              </w:rPr>
              <w:t>Global Completed Transactions</w:t>
            </w:r>
          </w:p>
        </w:tc>
        <w:tc>
          <w:tcPr>
            <w:tcW w:w="1720" w:type="dxa"/>
            <w:vAlign w:val="bottom"/>
          </w:tcPr>
          <w:p>
            <w:pPr>
              <w:jc w:val="right"/>
              <w:ind w:right="820"/>
              <w:spacing w:after="0"/>
              <w:rPr>
                <w:sz w:val="20"/>
                <w:szCs w:val="20"/>
                <w:color w:val="auto"/>
              </w:rPr>
            </w:pPr>
            <w:r>
              <w:rPr>
                <w:rFonts w:ascii="Courier New" w:cs="Courier New" w:eastAsia="Courier New" w:hAnsi="Courier New"/>
                <w:sz w:val="16"/>
                <w:szCs w:val="16"/>
                <w:color w:val="auto"/>
              </w:rPr>
              <w:t>5</w:t>
            </w:r>
          </w:p>
        </w:tc>
        <w:tc>
          <w:tcPr>
            <w:tcW w:w="1680" w:type="dxa"/>
            <w:vAlign w:val="bottom"/>
          </w:tcPr>
          <w:p>
            <w:pPr>
              <w:jc w:val="center"/>
              <w:ind w:left="180"/>
              <w:spacing w:after="0"/>
              <w:rPr>
                <w:sz w:val="20"/>
                <w:szCs w:val="20"/>
                <w:color w:val="auto"/>
              </w:rPr>
            </w:pPr>
            <w:r>
              <w:rPr>
                <w:rFonts w:ascii="Courier New" w:cs="Courier New" w:eastAsia="Courier New" w:hAnsi="Courier New"/>
                <w:sz w:val="16"/>
                <w:szCs w:val="16"/>
                <w:color w:val="auto"/>
              </w:rPr>
              <w:t>4</w:t>
            </w:r>
          </w:p>
        </w:tc>
      </w:tr>
      <w:tr>
        <w:trPr>
          <w:trHeight w:val="185"/>
        </w:trPr>
        <w:tc>
          <w:tcPr>
            <w:tcW w:w="3800" w:type="dxa"/>
            <w:vAlign w:val="bottom"/>
          </w:tcPr>
          <w:p>
            <w:pPr>
              <w:ind w:left="680"/>
              <w:spacing w:after="0"/>
              <w:rPr>
                <w:sz w:val="20"/>
                <w:szCs w:val="20"/>
                <w:color w:val="auto"/>
              </w:rPr>
            </w:pPr>
            <w:r>
              <w:rPr>
                <w:rFonts w:ascii="Courier New" w:cs="Courier New" w:eastAsia="Courier New" w:hAnsi="Courier New"/>
                <w:sz w:val="16"/>
                <w:szCs w:val="16"/>
                <w:color w:val="auto"/>
              </w:rPr>
              <w:t>European Completed Transactions</w:t>
            </w:r>
          </w:p>
        </w:tc>
        <w:tc>
          <w:tcPr>
            <w:tcW w:w="1720" w:type="dxa"/>
            <w:vAlign w:val="bottom"/>
          </w:tcPr>
          <w:p>
            <w:pPr>
              <w:jc w:val="right"/>
              <w:ind w:right="820"/>
              <w:spacing w:after="0"/>
              <w:rPr>
                <w:sz w:val="20"/>
                <w:szCs w:val="20"/>
                <w:color w:val="auto"/>
              </w:rPr>
            </w:pPr>
            <w:r>
              <w:rPr>
                <w:rFonts w:ascii="Courier New" w:cs="Courier New" w:eastAsia="Courier New" w:hAnsi="Courier New"/>
                <w:sz w:val="16"/>
                <w:szCs w:val="16"/>
                <w:color w:val="auto"/>
              </w:rPr>
              <w:t>3</w:t>
            </w:r>
          </w:p>
        </w:tc>
        <w:tc>
          <w:tcPr>
            <w:tcW w:w="1680" w:type="dxa"/>
            <w:vAlign w:val="bottom"/>
          </w:tcPr>
          <w:p>
            <w:pPr>
              <w:jc w:val="center"/>
              <w:ind w:left="180"/>
              <w:spacing w:after="0"/>
              <w:rPr>
                <w:sz w:val="20"/>
                <w:szCs w:val="20"/>
                <w:color w:val="auto"/>
              </w:rPr>
            </w:pPr>
            <w:r>
              <w:rPr>
                <w:rFonts w:ascii="Courier New" w:cs="Courier New" w:eastAsia="Courier New" w:hAnsi="Courier New"/>
                <w:sz w:val="16"/>
                <w:szCs w:val="16"/>
                <w:color w:val="auto"/>
              </w:rPr>
              <w:t>4</w:t>
            </w:r>
          </w:p>
        </w:tc>
      </w:tr>
      <w:tr>
        <w:trPr>
          <w:trHeight w:val="370"/>
        </w:trPr>
        <w:tc>
          <w:tcPr>
            <w:tcW w:w="3800" w:type="dxa"/>
            <w:vAlign w:val="bottom"/>
          </w:tcPr>
          <w:p>
            <w:pPr>
              <w:ind w:left="580"/>
              <w:spacing w:after="0"/>
              <w:rPr>
                <w:sz w:val="20"/>
                <w:szCs w:val="20"/>
                <w:color w:val="auto"/>
              </w:rPr>
            </w:pPr>
            <w:r>
              <w:rPr>
                <w:rFonts w:ascii="Courier New" w:cs="Courier New" w:eastAsia="Courier New" w:hAnsi="Courier New"/>
                <w:sz w:val="16"/>
                <w:szCs w:val="16"/>
                <w:color w:val="auto"/>
              </w:rPr>
              <w:t>CAPITAL RAISING</w:t>
            </w:r>
          </w:p>
        </w:tc>
        <w:tc>
          <w:tcPr>
            <w:tcW w:w="172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85"/>
        </w:trPr>
        <w:tc>
          <w:tcPr>
            <w:tcW w:w="3800" w:type="dxa"/>
            <w:vAlign w:val="bottom"/>
          </w:tcPr>
          <w:p>
            <w:pPr>
              <w:ind w:left="680"/>
              <w:spacing w:after="0"/>
              <w:rPr>
                <w:sz w:val="20"/>
                <w:szCs w:val="20"/>
                <w:color w:val="auto"/>
              </w:rPr>
            </w:pPr>
            <w:r>
              <w:rPr>
                <w:rFonts w:ascii="Courier New" w:cs="Courier New" w:eastAsia="Courier New" w:hAnsi="Courier New"/>
                <w:sz w:val="16"/>
                <w:szCs w:val="16"/>
                <w:color w:val="auto"/>
              </w:rPr>
              <w:t>Global Syndicated Loans</w:t>
            </w:r>
          </w:p>
        </w:tc>
        <w:tc>
          <w:tcPr>
            <w:tcW w:w="1720" w:type="dxa"/>
            <w:vAlign w:val="bottom"/>
          </w:tcPr>
          <w:p>
            <w:pPr>
              <w:jc w:val="right"/>
              <w:ind w:right="820"/>
              <w:spacing w:after="0"/>
              <w:rPr>
                <w:sz w:val="20"/>
                <w:szCs w:val="20"/>
                <w:color w:val="auto"/>
              </w:rPr>
            </w:pPr>
            <w:r>
              <w:rPr>
                <w:rFonts w:ascii="Courier New" w:cs="Courier New" w:eastAsia="Courier New" w:hAnsi="Courier New"/>
                <w:sz w:val="16"/>
                <w:szCs w:val="16"/>
                <w:color w:val="auto"/>
              </w:rPr>
              <w:t>1</w:t>
            </w:r>
          </w:p>
        </w:tc>
        <w:tc>
          <w:tcPr>
            <w:tcW w:w="1680" w:type="dxa"/>
            <w:vAlign w:val="bottom"/>
          </w:tcPr>
          <w:p>
            <w:pPr>
              <w:jc w:val="center"/>
              <w:ind w:left="180"/>
              <w:spacing w:after="0"/>
              <w:rPr>
                <w:sz w:val="20"/>
                <w:szCs w:val="20"/>
                <w:color w:val="auto"/>
              </w:rPr>
            </w:pPr>
            <w:r>
              <w:rPr>
                <w:rFonts w:ascii="Courier New" w:cs="Courier New" w:eastAsia="Courier New" w:hAnsi="Courier New"/>
                <w:sz w:val="16"/>
                <w:szCs w:val="16"/>
                <w:color w:val="auto"/>
              </w:rPr>
              <w:t>1</w:t>
            </w:r>
          </w:p>
        </w:tc>
      </w:tr>
      <w:tr>
        <w:trPr>
          <w:trHeight w:val="185"/>
        </w:trPr>
        <w:tc>
          <w:tcPr>
            <w:tcW w:w="3800" w:type="dxa"/>
            <w:vAlign w:val="bottom"/>
          </w:tcPr>
          <w:p>
            <w:pPr>
              <w:ind w:left="680"/>
              <w:spacing w:after="0"/>
              <w:rPr>
                <w:sz w:val="20"/>
                <w:szCs w:val="20"/>
                <w:color w:val="auto"/>
              </w:rPr>
            </w:pPr>
            <w:r>
              <w:rPr>
                <w:rFonts w:ascii="Courier New" w:cs="Courier New" w:eastAsia="Courier New" w:hAnsi="Courier New"/>
                <w:sz w:val="16"/>
                <w:szCs w:val="16"/>
                <w:color w:val="auto"/>
              </w:rPr>
              <w:t>Global Investment Grade Debt</w:t>
            </w:r>
          </w:p>
        </w:tc>
        <w:tc>
          <w:tcPr>
            <w:tcW w:w="1720" w:type="dxa"/>
            <w:vAlign w:val="bottom"/>
          </w:tcPr>
          <w:p>
            <w:pPr>
              <w:jc w:val="right"/>
              <w:ind w:right="820"/>
              <w:spacing w:after="0"/>
              <w:rPr>
                <w:sz w:val="20"/>
                <w:szCs w:val="20"/>
                <w:color w:val="auto"/>
              </w:rPr>
            </w:pPr>
            <w:r>
              <w:rPr>
                <w:rFonts w:ascii="Courier New" w:cs="Courier New" w:eastAsia="Courier New" w:hAnsi="Courier New"/>
                <w:sz w:val="16"/>
                <w:szCs w:val="16"/>
                <w:color w:val="auto"/>
              </w:rPr>
              <w:t>3</w:t>
            </w:r>
          </w:p>
        </w:tc>
        <w:tc>
          <w:tcPr>
            <w:tcW w:w="1680" w:type="dxa"/>
            <w:vAlign w:val="bottom"/>
          </w:tcPr>
          <w:p>
            <w:pPr>
              <w:jc w:val="center"/>
              <w:ind w:left="180"/>
              <w:spacing w:after="0"/>
              <w:rPr>
                <w:sz w:val="20"/>
                <w:szCs w:val="20"/>
                <w:color w:val="auto"/>
              </w:rPr>
            </w:pPr>
            <w:r>
              <w:rPr>
                <w:rFonts w:ascii="Courier New" w:cs="Courier New" w:eastAsia="Courier New" w:hAnsi="Courier New"/>
                <w:sz w:val="16"/>
                <w:szCs w:val="16"/>
                <w:color w:val="auto"/>
              </w:rPr>
              <w:t>3</w:t>
            </w:r>
          </w:p>
        </w:tc>
      </w:tr>
      <w:tr>
        <w:trPr>
          <w:trHeight w:val="185"/>
        </w:trPr>
        <w:tc>
          <w:tcPr>
            <w:tcW w:w="3800" w:type="dxa"/>
            <w:vAlign w:val="bottom"/>
          </w:tcPr>
          <w:p>
            <w:pPr>
              <w:ind w:left="680"/>
              <w:spacing w:after="0"/>
              <w:rPr>
                <w:sz w:val="20"/>
                <w:szCs w:val="20"/>
                <w:color w:val="auto"/>
              </w:rPr>
            </w:pPr>
            <w:r>
              <w:rPr>
                <w:rFonts w:ascii="Courier New" w:cs="Courier New" w:eastAsia="Courier New" w:hAnsi="Courier New"/>
                <w:sz w:val="16"/>
                <w:szCs w:val="16"/>
                <w:color w:val="auto"/>
              </w:rPr>
              <w:t>Global Common Stock</w:t>
            </w:r>
          </w:p>
        </w:tc>
        <w:tc>
          <w:tcPr>
            <w:tcW w:w="1720" w:type="dxa"/>
            <w:vAlign w:val="bottom"/>
          </w:tcPr>
          <w:p>
            <w:pPr>
              <w:jc w:val="right"/>
              <w:ind w:right="820"/>
              <w:spacing w:after="0"/>
              <w:rPr>
                <w:sz w:val="20"/>
                <w:szCs w:val="20"/>
                <w:color w:val="auto"/>
              </w:rPr>
            </w:pPr>
            <w:r>
              <w:rPr>
                <w:rFonts w:ascii="Courier New" w:cs="Courier New" w:eastAsia="Courier New" w:hAnsi="Courier New"/>
                <w:sz w:val="16"/>
                <w:szCs w:val="16"/>
                <w:color w:val="auto"/>
              </w:rPr>
              <w:t>8</w:t>
            </w:r>
          </w:p>
        </w:tc>
        <w:tc>
          <w:tcPr>
            <w:tcW w:w="1680" w:type="dxa"/>
            <w:vAlign w:val="bottom"/>
          </w:tcPr>
          <w:p>
            <w:pPr>
              <w:jc w:val="center"/>
              <w:ind w:left="180"/>
              <w:spacing w:after="0"/>
              <w:rPr>
                <w:sz w:val="20"/>
                <w:szCs w:val="20"/>
                <w:color w:val="auto"/>
              </w:rPr>
            </w:pPr>
            <w:r>
              <w:rPr>
                <w:rFonts w:ascii="Courier New" w:cs="Courier New" w:eastAsia="Courier New" w:hAnsi="Courier New"/>
                <w:sz w:val="16"/>
                <w:szCs w:val="16"/>
                <w:color w:val="auto"/>
              </w:rPr>
              <w:t>7</w:t>
            </w:r>
          </w:p>
        </w:tc>
      </w:tr>
      <w:tr>
        <w:trPr>
          <w:trHeight w:val="185"/>
        </w:trPr>
        <w:tc>
          <w:tcPr>
            <w:tcW w:w="3800" w:type="dxa"/>
            <w:vAlign w:val="bottom"/>
          </w:tcPr>
          <w:p>
            <w:pPr>
              <w:ind w:left="680"/>
              <w:spacing w:after="0"/>
              <w:rPr>
                <w:sz w:val="20"/>
                <w:szCs w:val="20"/>
                <w:color w:val="auto"/>
              </w:rPr>
            </w:pPr>
            <w:r>
              <w:rPr>
                <w:rFonts w:ascii="Courier New" w:cs="Courier New" w:eastAsia="Courier New" w:hAnsi="Courier New"/>
                <w:sz w:val="16"/>
                <w:szCs w:val="16"/>
                <w:color w:val="auto"/>
              </w:rPr>
              <w:t>High Yield Global Offerings</w:t>
            </w:r>
          </w:p>
        </w:tc>
        <w:tc>
          <w:tcPr>
            <w:tcW w:w="1720" w:type="dxa"/>
            <w:vAlign w:val="bottom"/>
          </w:tcPr>
          <w:p>
            <w:pPr>
              <w:jc w:val="right"/>
              <w:ind w:right="820"/>
              <w:spacing w:after="0"/>
              <w:rPr>
                <w:sz w:val="20"/>
                <w:szCs w:val="20"/>
                <w:color w:val="auto"/>
              </w:rPr>
            </w:pPr>
            <w:r>
              <w:rPr>
                <w:rFonts w:ascii="Courier New" w:cs="Courier New" w:eastAsia="Courier New" w:hAnsi="Courier New"/>
                <w:sz w:val="16"/>
                <w:szCs w:val="16"/>
                <w:color w:val="auto"/>
              </w:rPr>
              <w:t>3</w:t>
            </w:r>
          </w:p>
        </w:tc>
        <w:tc>
          <w:tcPr>
            <w:tcW w:w="1680" w:type="dxa"/>
            <w:vAlign w:val="bottom"/>
          </w:tcPr>
          <w:p>
            <w:pPr>
              <w:jc w:val="center"/>
              <w:ind w:left="180"/>
              <w:spacing w:after="0"/>
              <w:rPr>
                <w:sz w:val="20"/>
                <w:szCs w:val="20"/>
                <w:color w:val="auto"/>
              </w:rPr>
            </w:pPr>
            <w:r>
              <w:rPr>
                <w:rFonts w:ascii="Courier New" w:cs="Courier New" w:eastAsia="Courier New" w:hAnsi="Courier New"/>
                <w:sz w:val="16"/>
                <w:szCs w:val="16"/>
                <w:color w:val="auto"/>
              </w:rPr>
              <w:t>5</w:t>
            </w:r>
          </w:p>
        </w:tc>
      </w:tr>
    </w:tbl>
    <w:p>
      <w:pPr>
        <w:spacing w:after="0" w:line="373"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WEALTH MANAGEMENT</w:t>
      </w:r>
    </w:p>
    <w:p>
      <w:pPr>
        <w:spacing w:after="0" w:line="5" w:lineRule="exact"/>
        <w:rPr>
          <w:sz w:val="20"/>
          <w:szCs w:val="20"/>
          <w:color w:val="auto"/>
        </w:rPr>
      </w:pPr>
    </w:p>
    <w:p>
      <w:pPr>
        <w:ind w:right="3299"/>
        <w:spacing w:after="0" w:line="242" w:lineRule="auto"/>
        <w:rPr>
          <w:sz w:val="20"/>
          <w:szCs w:val="20"/>
          <w:color w:val="auto"/>
        </w:rPr>
      </w:pPr>
      <w:r>
        <w:rPr>
          <w:rFonts w:ascii="Courier New" w:cs="Courier New" w:eastAsia="Courier New" w:hAnsi="Courier New"/>
          <w:sz w:val="16"/>
          <w:szCs w:val="16"/>
          <w:color w:val="auto"/>
        </w:rPr>
        <w:t>#3 among U.S. institutions, with $720 billion of assets under management (pro forma as of 12/31/99).</w:t>
      </w:r>
    </w:p>
    <w:sectPr>
      <w:pgSz w:w="11900" w:h="16838" w:orient="portrait"/>
      <w:cols w:equalWidth="0" w:num="1">
        <w:col w:w="10219"/>
      </w:cols>
      <w:pgMar w:left="240" w:top="30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A32234B"/>
    <w:multiLevelType w:val="hybridMultilevel"/>
    <w:lvl w:ilvl="0">
      <w:lvlJc w:val="left"/>
      <w:lvlText w:val="(%1)"/>
      <w:numFmt w:val="lowerLetter"/>
      <w:start w:val="3"/>
    </w:lvl>
  </w:abstractNum>
  <w:abstractNum w:abstractNumId="1">
    <w:nsid w:val="3B0FD379"/>
    <w:multiLevelType w:val="hybridMultilevel"/>
    <w:lvl w:ilvl="0">
      <w:lvlJc w:val="left"/>
      <w:lvlText w:val="(%1)"/>
      <w:numFmt w:val="lowerLetter"/>
      <w:start w:val="1"/>
    </w:lvl>
  </w:abstractNum>
  <w:abstractNum w:abstractNumId="2">
    <w:nsid w:val="68EB2F63"/>
    <w:multiLevelType w:val="hybridMultilevel"/>
    <w:lvl w:ilvl="0">
      <w:lvlJc w:val="left"/>
      <w:lvlText w:val="(%1)"/>
      <w:numFmt w:val="lowerLetter"/>
      <w:start w:val="3"/>
    </w:lvl>
  </w:abstractNum>
  <w:abstractNum w:abstractNumId="3">
    <w:nsid w:val="4962813B"/>
    <w:multiLevelType w:val="hybridMultilevel"/>
    <w:lvl w:ilvl="0">
      <w:lvlJc w:val="left"/>
      <w:lvlText w:val="(%1)"/>
      <w:numFmt w:val="lowerRoman"/>
      <w:start w:val="1"/>
    </w:lvl>
  </w:abstractNum>
  <w:abstractNum w:abstractNumId="4">
    <w:nsid w:val="60B6DF70"/>
    <w:multiLevelType w:val="hybridMultilevel"/>
    <w:lvl w:ilvl="0">
      <w:lvlJc w:val="left"/>
      <w:lvlText w:val="(%1)"/>
      <w:numFmt w:val="lowerLetter"/>
      <w:start w:val="4"/>
    </w:lvl>
  </w:abstractNum>
  <w:abstractNum w:abstractNumId="5">
    <w:nsid w:val="6A5EE64"/>
    <w:multiLevelType w:val="hybridMultilevel"/>
    <w:lvl w:ilvl="0">
      <w:lvlJc w:val="left"/>
      <w:lvlText w:val="%1"/>
      <w:numFmt w:val="lowerRoman"/>
      <w:start w:val="1"/>
    </w:lvl>
    <w:lvl w:ilvl="1">
      <w:lvlJc w:val="left"/>
      <w:lvlText w:val="(%2)"/>
      <w:numFmt w:val="lowerRoman"/>
      <w:start w:val="2"/>
    </w:lvl>
  </w:abstractNum>
  <w:abstractNum w:abstractNumId="6">
    <w:nsid w:val="14330624"/>
    <w:multiLevelType w:val="hybridMultilevel"/>
    <w:lvl w:ilvl="0">
      <w:lvlJc w:val="left"/>
      <w:lvlText w:val="(%1)"/>
      <w:numFmt w:val="lowerRoman"/>
      <w:start w:val="2"/>
    </w:lvl>
    <w:lvl w:ilvl="1">
      <w:lvlJc w:val="left"/>
      <w:lvlText w:val="%2"/>
      <w:numFmt w:val="lowerRoman"/>
      <w:start w:val="1"/>
    </w:lvl>
  </w:abstractNum>
  <w:abstractNum w:abstractNumId="7">
    <w:nsid w:val="7FFFCA11"/>
    <w:multiLevelType w:val="hybridMultilevel"/>
    <w:lvl w:ilvl="0">
      <w:lvlJc w:val="left"/>
      <w:lvlText w:val="(%1)"/>
      <w:numFmt w:val="lowerRoman"/>
      <w:start w:val="10"/>
    </w:lvl>
    <w:lvl w:ilvl="1">
      <w:lvlJc w:val="left"/>
      <w:lvlText w:val="%2"/>
      <w:numFmt w:val="lowerRoman"/>
      <w:start w:val="1"/>
    </w:lvl>
  </w:abstractNum>
  <w:abstractNum w:abstractNumId="8">
    <w:nsid w:val="1A27709E"/>
    <w:multiLevelType w:val="hybridMultilevel"/>
    <w:lvl w:ilvl="0">
      <w:lvlJc w:val="left"/>
      <w:lvlText w:val="(%1)"/>
      <w:numFmt w:val="lowerLetter"/>
      <w:start w:val="1"/>
    </w:lvl>
  </w:abstractNum>
  <w:abstractNum w:abstractNumId="9">
    <w:nsid w:val="71EA1109"/>
    <w:multiLevelType w:val="hybridMultilevel"/>
    <w:lvl w:ilvl="0">
      <w:lvlJc w:val="left"/>
      <w:lvlText w:val="(%1)"/>
      <w:numFmt w:val="lowerLetter"/>
      <w:start w:val="3"/>
    </w:lvl>
  </w:abstractNum>
  <w:abstractNum w:abstractNumId="10">
    <w:nsid w:val="100F59DC"/>
    <w:multiLevelType w:val="hybridMultilevel"/>
    <w:lvl w:ilvl="0">
      <w:lvlJc w:val="left"/>
      <w:lvlText w:val="(%1)"/>
      <w:numFmt w:val="lowerRoman"/>
      <w:start w:val="2"/>
    </w:lvl>
  </w:abstractNum>
  <w:abstractNum w:abstractNumId="11">
    <w:nsid w:val="7FB7E0AA"/>
    <w:multiLevelType w:val="hybridMultilevel"/>
    <w:lvl w:ilvl="0">
      <w:lvlJc w:val="left"/>
      <w:lvlText w:val="(%1)"/>
      <w:numFmt w:val="lowerRoman"/>
      <w:start w:val="3"/>
    </w:lvl>
  </w:abstractNum>
  <w:abstractNum w:abstractNumId="12">
    <w:nsid w:val="6EB5BD4"/>
    <w:multiLevelType w:val="hybridMultilevel"/>
    <w:lvl w:ilvl="0">
      <w:lvlJc w:val="left"/>
      <w:lvlText w:val="(%1)"/>
      <w:numFmt w:val="lowerLetter"/>
      <w:start w:val="6"/>
    </w:lvl>
  </w:abstractNum>
  <w:abstractNum w:abstractNumId="13">
    <w:nsid w:val="6F6DD9AC"/>
    <w:multiLevelType w:val="hybridMultilevel"/>
    <w:lvl w:ilvl="0">
      <w:lvlJc w:val="left"/>
      <w:lvlText w:val="(%1)"/>
      <w:numFmt w:val="lowerLetter"/>
      <w:start w:val="7"/>
    </w:lvl>
  </w:abstractNum>
  <w:abstractNum w:abstractNumId="14">
    <w:nsid w:val="94211F2"/>
    <w:multiLevelType w:val="hybridMultilevel"/>
    <w:lvl w:ilvl="0">
      <w:lvlJc w:val="left"/>
      <w:lvlText w:val="(%1)"/>
      <w:numFmt w:val="lowerLetter"/>
      <w:start w:val="1"/>
    </w:lvl>
  </w:abstractNum>
  <w:abstractNum w:abstractNumId="15">
    <w:nsid w:val="885E1B"/>
    <w:multiLevelType w:val="hybridMultilevel"/>
    <w:lvl w:ilvl="0">
      <w:lvlJc w:val="left"/>
      <w:lvlText w:val="%1"/>
      <w:numFmt w:val="upperLetter"/>
      <w:start w:val="1"/>
    </w:lvl>
    <w:lvl w:ilvl="1">
      <w:lvlJc w:val="left"/>
      <w:lvlText w:val="(%2)"/>
      <w:numFmt w:val="lowerLetter"/>
      <w:start w:val="2"/>
    </w:lvl>
  </w:abstractNum>
  <w:abstractNum w:abstractNumId="16">
    <w:nsid w:val="76272110"/>
    <w:multiLevelType w:val="hybridMultilevel"/>
    <w:lvl w:ilvl="0">
      <w:lvlJc w:val="left"/>
      <w:lvlText w:val="(%1)"/>
      <w:numFmt w:val="upperLetter"/>
      <w:start w:val="1"/>
    </w:lvl>
    <w:lvl w:ilvl="1">
      <w:lvlJc w:val="left"/>
      <w:lvlText w:val="(%2)"/>
      <w:numFmt w:val="lowerLetter"/>
      <w:start w:val="35"/>
    </w:lvl>
  </w:abstractNum>
  <w:abstractNum w:abstractNumId="17">
    <w:nsid w:val="4C04A8AF"/>
    <w:multiLevelType w:val="hybridMultilevel"/>
    <w:lvl w:ilvl="0">
      <w:lvlJc w:val="left"/>
      <w:lvlText w:val="%1"/>
      <w:numFmt w:val="upperLetter"/>
      <w:start w:val="1"/>
    </w:lvl>
    <w:lvl w:ilvl="1">
      <w:lvlJc w:val="left"/>
      <w:lvlText w:val="(%2)"/>
      <w:numFmt w:val="lowerRoman"/>
      <w:start w:val="3"/>
    </w:lvl>
  </w:abstractNum>
  <w:abstractNum w:abstractNumId="18">
    <w:nsid w:val="1716703B"/>
    <w:multiLevelType w:val="hybridMultilevel"/>
    <w:lvl w:ilvl="0">
      <w:lvlJc w:val="left"/>
      <w:lvlText w:val="(%1)"/>
      <w:numFmt w:val="upperLetter"/>
      <w:start w:val="4"/>
    </w:lvl>
    <w:lvl w:ilvl="1">
      <w:lvlJc w:val="left"/>
      <w:lvlText w:val="%2"/>
      <w:numFmt w:val="lowerRoman"/>
      <w:start w:val="1"/>
    </w:lvl>
  </w:abstractNum>
  <w:abstractNum w:abstractNumId="19">
    <w:nsid w:val="14E17E33"/>
    <w:multiLevelType w:val="hybridMultilevel"/>
    <w:lvl w:ilvl="0">
      <w:lvlJc w:val="left"/>
      <w:lvlText w:val="(%1)"/>
      <w:numFmt w:val="lowerRoman"/>
      <w:start w:val="4"/>
    </w:lvl>
  </w:abstractNum>
  <w:abstractNum w:abstractNumId="20">
    <w:nsid w:val="3222E7CD"/>
    <w:multiLevelType w:val="hybridMultilevel"/>
    <w:lvl w:ilvl="0">
      <w:lvlJc w:val="left"/>
      <w:lvlText w:val="(%1)"/>
      <w:numFmt w:val="lowerLetter"/>
      <w:start w:val="3"/>
    </w:lvl>
  </w:abstractNum>
  <w:abstractNum w:abstractNumId="21">
    <w:nsid w:val="74DE0EE3"/>
    <w:multiLevelType w:val="hybridMultilevel"/>
    <w:lvl w:ilvl="0">
      <w:lvlJc w:val="left"/>
      <w:lvlText w:val="(%1)"/>
      <w:numFmt w:val="lowerRoman"/>
      <w:start w:val="2"/>
    </w:lvl>
  </w:abstractNum>
  <w:abstractNum w:abstractNumId="22">
    <w:nsid w:val="68EBC550"/>
    <w:multiLevelType w:val="hybridMultilevel"/>
    <w:lvl w:ilvl="0">
      <w:lvlJc w:val="left"/>
      <w:lvlText w:val="(%1)"/>
      <w:numFmt w:val="lowerLetter"/>
      <w:start w:val="4"/>
    </w:lvl>
  </w:abstractNum>
  <w:abstractNum w:abstractNumId="23">
    <w:nsid w:val="2DF6D648"/>
    <w:multiLevelType w:val="hybridMultilevel"/>
    <w:lvl w:ilvl="0">
      <w:lvlJc w:val="left"/>
      <w:lvlText w:val="(%1)"/>
      <w:numFmt w:val="lowerRoman"/>
      <w:start w:val="2"/>
    </w:lvl>
  </w:abstractNum>
  <w:abstractNum w:abstractNumId="24">
    <w:nsid w:val="46B7D447"/>
    <w:multiLevelType w:val="hybridMultilevel"/>
    <w:lvl w:ilvl="0">
      <w:lvlJc w:val="left"/>
      <w:lvlText w:val="(%1)"/>
      <w:numFmt w:val="lowerLetter"/>
      <w:start w:val="5"/>
    </w:lvl>
  </w:abstractNum>
  <w:abstractNum w:abstractNumId="25">
    <w:nsid w:val="4A2AC315"/>
    <w:multiLevelType w:val="hybridMultilevel"/>
    <w:lvl w:ilvl="0">
      <w:lvlJc w:val="left"/>
      <w:lvlText w:val="(%1)"/>
      <w:numFmt w:val="lowerLetter"/>
      <w:start w:val="6"/>
    </w:lvl>
  </w:abstractNum>
  <w:abstractNum w:abstractNumId="26">
    <w:nsid w:val="39EE015C"/>
    <w:multiLevelType w:val="hybridMultilevel"/>
    <w:lvl w:ilvl="0">
      <w:lvlJc w:val="left"/>
      <w:lvlText w:val="%1"/>
      <w:numFmt w:val="lowerLetter"/>
      <w:start w:val="1"/>
    </w:lvl>
    <w:lvl w:ilvl="1">
      <w:lvlJc w:val="left"/>
      <w:lvlText w:val="(%2)"/>
      <w:numFmt w:val="lowerLetter"/>
      <w:start w:val="9"/>
    </w:lvl>
  </w:abstractNum>
  <w:abstractNum w:abstractNumId="27">
    <w:nsid w:val="57FC4FBB"/>
    <w:multiLevelType w:val="hybridMultilevel"/>
    <w:lvl w:ilvl="0">
      <w:lvlJc w:val="left"/>
      <w:lvlText w:val="(%1)"/>
      <w:numFmt w:val="lowerLetter"/>
      <w:start w:val="22"/>
    </w:lvl>
    <w:lvl w:ilvl="1">
      <w:lvlJc w:val="left"/>
      <w:lvlText w:val="(%2)"/>
      <w:numFmt w:val="lowerLetter"/>
      <w:start w:val="10"/>
    </w:lvl>
  </w:abstractNum>
  <w:abstractNum w:abstractNumId="28">
    <w:nsid w:val="CC1016F"/>
    <w:multiLevelType w:val="hybridMultilevel"/>
    <w:lvl w:ilvl="0">
      <w:lvlJc w:val="left"/>
      <w:lvlText w:val="(%1)"/>
      <w:numFmt w:val="lowerRoman"/>
      <w:start w:val="2"/>
    </w:lvl>
  </w:abstractNum>
  <w:abstractNum w:abstractNumId="29">
    <w:nsid w:val="43F18422"/>
    <w:multiLevelType w:val="hybridMultilevel"/>
    <w:lvl w:ilvl="0">
      <w:lvlJc w:val="left"/>
      <w:lvlText w:val="(%1)"/>
      <w:numFmt w:val="lowerLetter"/>
      <w:start w:val="11"/>
    </w:lvl>
  </w:abstractNum>
  <w:abstractNum w:abstractNumId="30">
    <w:nsid w:val="60EF0119"/>
    <w:multiLevelType w:val="hybridMultilevel"/>
    <w:lvl w:ilvl="0">
      <w:lvlJc w:val="left"/>
      <w:lvlText w:val="%1"/>
      <w:numFmt w:val="upperLetter"/>
      <w:start w:val="1"/>
    </w:lvl>
    <w:lvl w:ilvl="1">
      <w:lvlJc w:val="left"/>
      <w:lvlText w:val="(%2)"/>
      <w:numFmt w:val="lowerLetter"/>
      <w:start w:val="14"/>
    </w:lvl>
  </w:abstractNum>
  <w:abstractNum w:abstractNumId="31">
    <w:nsid w:val="26F324BA"/>
    <w:multiLevelType w:val="hybridMultilevel"/>
    <w:lvl w:ilvl="0">
      <w:lvlJc w:val="left"/>
      <w:lvlText w:val="(%1)"/>
      <w:numFmt w:val="upperLetter"/>
      <w:start w:val="3"/>
    </w:lvl>
    <w:lvl w:ilvl="1">
      <w:lvlJc w:val="left"/>
      <w:lvlText w:val="(%2)"/>
      <w:numFmt w:val="lowerLetter"/>
      <w:start w:val="18"/>
    </w:lvl>
  </w:abstractNum>
  <w:abstractNum w:abstractNumId="32">
    <w:nsid w:val="7F01579B"/>
    <w:multiLevelType w:val="hybridMultilevel"/>
    <w:lvl w:ilvl="0">
      <w:lvlJc w:val="left"/>
      <w:lvlText w:val="(%1)"/>
      <w:numFmt w:val="lowerLetter"/>
      <w:start w:val="19"/>
    </w:lvl>
  </w:abstractNum>
  <w:abstractNum w:abstractNumId="33">
    <w:nsid w:val="49DA307D"/>
    <w:multiLevelType w:val="hybridMultilevel"/>
    <w:lvl w:ilvl="0">
      <w:lvlJc w:val="left"/>
      <w:lvlText w:val="(%1)"/>
      <w:numFmt w:val="lowerLetter"/>
      <w:start w:val="1"/>
    </w:lvl>
  </w:abstractNum>
  <w:abstractNum w:abstractNumId="34">
    <w:nsid w:val="7055A5F5"/>
    <w:multiLevelType w:val="hybridMultilevel"/>
    <w:lvl w:ilvl="0">
      <w:lvlJc w:val="left"/>
      <w:lvlText w:val="(%1)"/>
      <w:numFmt w:val="lowerLetter"/>
      <w:start w:val="2"/>
    </w:lvl>
  </w:abstractNum>
  <w:abstractNum w:abstractNumId="35">
    <w:nsid w:val="5FB8370B"/>
    <w:multiLevelType w:val="hybridMultilevel"/>
    <w:lvl w:ilvl="0">
      <w:lvlJc w:val="left"/>
      <w:lvlText w:val="(%1)"/>
      <w:numFmt w:val="lowerRoman"/>
      <w:start w:val="2"/>
    </w:lvl>
  </w:abstractNum>
  <w:abstractNum w:abstractNumId="36">
    <w:nsid w:val="50801EE1"/>
    <w:multiLevelType w:val="hybridMultilevel"/>
    <w:lvl w:ilvl="0">
      <w:lvlJc w:val="left"/>
      <w:lvlText w:val="%1"/>
      <w:numFmt w:val="upperLetter"/>
      <w:start w:val="1"/>
    </w:lvl>
    <w:lvl w:ilvl="1">
      <w:lvlJc w:val="left"/>
      <w:lvlText w:val="(%2)"/>
      <w:numFmt w:val="lowerRoman"/>
      <w:start w:val="4"/>
    </w:lvl>
  </w:abstractNum>
  <w:abstractNum w:abstractNumId="37">
    <w:nsid w:val="488AC1A"/>
    <w:multiLevelType w:val="hybridMultilevel"/>
    <w:lvl w:ilvl="0">
      <w:lvlJc w:val="left"/>
      <w:lvlText w:val="(%1)"/>
      <w:numFmt w:val="upperLetter"/>
      <w:start w:val="3"/>
    </w:lvl>
    <w:lvl w:ilvl="1">
      <w:lvlJc w:val="left"/>
      <w:lvlText w:val="%2"/>
      <w:numFmt w:val="lowerRoman"/>
      <w:start w:val="1"/>
    </w:lvl>
  </w:abstractNum>
  <w:abstractNum w:abstractNumId="38">
    <w:nsid w:val="5FB8011C"/>
    <w:multiLevelType w:val="hybridMultilevel"/>
    <w:lvl w:ilvl="0">
      <w:lvlJc w:val="left"/>
      <w:lvlText w:val="(%1)"/>
      <w:numFmt w:val="lowerLetter"/>
      <w:start w:val="3"/>
    </w:lvl>
  </w:abstractNum>
  <w:abstractNum w:abstractNumId="39">
    <w:nsid w:val="6AA78F7F"/>
    <w:multiLevelType w:val="hybridMultilevel"/>
    <w:lvl w:ilvl="0">
      <w:lvlJc w:val="left"/>
      <w:lvlText w:val="(%1)"/>
      <w:numFmt w:val="lowerRoman"/>
      <w:start w:val="2"/>
    </w:lvl>
  </w:abstractNum>
  <w:abstractNum w:abstractNumId="40">
    <w:nsid w:val="7672BD23"/>
    <w:multiLevelType w:val="hybridMultilevel"/>
    <w:lvl w:ilvl="0">
      <w:lvlJc w:val="left"/>
      <w:lvlText w:val="(%1)"/>
      <w:numFmt w:val="lowerLetter"/>
      <w:start w:val="4"/>
    </w:lvl>
  </w:abstractNum>
  <w:abstractNum w:abstractNumId="41">
    <w:nsid w:val="6FC75AF8"/>
    <w:multiLevelType w:val="hybridMultilevel"/>
    <w:lvl w:ilvl="0">
      <w:lvlJc w:val="left"/>
      <w:lvlText w:val="(%1)"/>
      <w:numFmt w:val="lowerRoman"/>
      <w:start w:val="2"/>
    </w:lvl>
  </w:abstractNum>
  <w:abstractNum w:abstractNumId="42">
    <w:nsid w:val="6A5F7029"/>
    <w:multiLevelType w:val="hybridMultilevel"/>
    <w:lvl w:ilvl="0">
      <w:lvlJc w:val="left"/>
      <w:lvlText w:val="(%1)"/>
      <w:numFmt w:val="lowerLetter"/>
      <w:start w:val="5"/>
    </w:lvl>
  </w:abstractNum>
  <w:abstractNum w:abstractNumId="43">
    <w:nsid w:val="7D5E18F8"/>
    <w:multiLevelType w:val="hybridMultilevel"/>
    <w:lvl w:ilvl="0">
      <w:lvlJc w:val="left"/>
      <w:lvlText w:val="%1"/>
      <w:numFmt w:val="lowerLetter"/>
      <w:start w:val="1"/>
    </w:lvl>
    <w:lvl w:ilvl="1">
      <w:lvlJc w:val="left"/>
      <w:lvlText w:val="(%2)"/>
      <w:numFmt w:val="lowerLetter"/>
      <w:start w:val="7"/>
    </w:lvl>
  </w:abstractNum>
  <w:abstractNum w:abstractNumId="44">
    <w:nsid w:val="5F3534A4"/>
    <w:multiLevelType w:val="hybridMultilevel"/>
    <w:lvl w:ilvl="0">
      <w:lvlJc w:val="left"/>
      <w:lvlText w:val="(%1)"/>
      <w:numFmt w:val="lowerLetter"/>
      <w:start w:val="22"/>
    </w:lvl>
    <w:lvl w:ilvl="1">
      <w:lvlJc w:val="left"/>
      <w:lvlText w:val="%2"/>
      <w:numFmt w:val="lowerLetter"/>
      <w:start w:val="1"/>
    </w:lvl>
  </w:abstractNum>
  <w:abstractNum w:abstractNumId="45">
    <w:nsid w:val="73A1821B"/>
    <w:multiLevelType w:val="hybridMultilevel"/>
    <w:lvl w:ilvl="0">
      <w:lvlJc w:val="left"/>
      <w:lvlText w:val="(%1)"/>
      <w:numFmt w:val="lowerLetter"/>
      <w:start w:val="10"/>
    </w:lvl>
  </w:abstractNum>
  <w:abstractNum w:abstractNumId="46">
    <w:nsid w:val="7DE67713"/>
    <w:multiLevelType w:val="hybridMultilevel"/>
    <w:lvl w:ilvl="0">
      <w:lvlJc w:val="left"/>
      <w:lvlText w:val="(%1)"/>
      <w:numFmt w:val="lowerRoman"/>
      <w:start w:val="2"/>
    </w:lvl>
  </w:abstractNum>
  <w:abstractNum w:abstractNumId="47">
    <w:nsid w:val="555C55B5"/>
    <w:multiLevelType w:val="hybridMultilevel"/>
    <w:lvl w:ilvl="0">
      <w:lvlJc w:val="left"/>
      <w:lvlText w:val="(%1)"/>
      <w:numFmt w:val="lowerLetter"/>
      <w:start w:val="11"/>
    </w:lvl>
  </w:abstractNum>
  <w:abstractNum w:abstractNumId="48">
    <w:nsid w:val="3FA62ACA"/>
    <w:multiLevelType w:val="hybridMultilevel"/>
    <w:lvl w:ilvl="0">
      <w:lvlJc w:val="left"/>
      <w:lvlText w:val="(%1)"/>
      <w:numFmt w:val="lowerLetter"/>
      <w:start w:val="12"/>
    </w:lvl>
  </w:abstractNum>
  <w:abstractNum w:abstractNumId="49">
    <w:nsid w:val="14FCE74E"/>
    <w:multiLevelType w:val="hybridMultilevel"/>
    <w:lvl w:ilvl="0">
      <w:lvlJc w:val="left"/>
      <w:lvlText w:val="(%1)"/>
      <w:numFmt w:val="lowerLetter"/>
      <w:start w:val="17"/>
    </w:lvl>
  </w:abstractNum>
  <w:abstractNum w:abstractNumId="50">
    <w:nsid w:val="6A3DD3E8"/>
    <w:multiLevelType w:val="hybridMultilevel"/>
    <w:lvl w:ilvl="0">
      <w:lvlJc w:val="left"/>
      <w:lvlText w:val="(%1)"/>
      <w:numFmt w:val="lowerLetter"/>
      <w:start w:val="20"/>
    </w:lvl>
  </w:abstractNum>
  <w:abstractNum w:abstractNumId="51">
    <w:nsid w:val="71C91298"/>
    <w:multiLevelType w:val="hybridMultilevel"/>
    <w:lvl w:ilvl="0">
      <w:lvlJc w:val="left"/>
      <w:lvlText w:val="%1"/>
      <w:numFmt w:val="lowerLetter"/>
      <w:start w:val="1"/>
    </w:lvl>
    <w:lvl w:ilvl="1">
      <w:lvlJc w:val="left"/>
      <w:lvlText w:val="(%2)"/>
      <w:numFmt w:val="lowerLetter"/>
      <w:start w:val="1"/>
    </w:lvl>
  </w:abstractNum>
  <w:abstractNum w:abstractNumId="52">
    <w:nsid w:val="9DAF632"/>
    <w:multiLevelType w:val="hybridMultilevel"/>
    <w:lvl w:ilvl="0">
      <w:lvlJc w:val="left"/>
      <w:lvlText w:val="(%1)"/>
      <w:numFmt w:val="lowerLetter"/>
      <w:start w:val="35"/>
    </w:lvl>
    <w:lvl w:ilvl="1">
      <w:lvlJc w:val="left"/>
      <w:lvlText w:val="(%2)"/>
      <w:numFmt w:val="lowerLetter"/>
      <w:start w:val="2"/>
    </w:lvl>
  </w:abstractNum>
  <w:abstractNum w:abstractNumId="53">
    <w:nsid w:val="53299938"/>
    <w:multiLevelType w:val="hybridMultilevel"/>
    <w:lvl w:ilvl="0">
      <w:lvlJc w:val="left"/>
      <w:lvlText w:val="(%1)"/>
      <w:numFmt w:val="lowerLetter"/>
      <w:start w:val="3"/>
    </w:lvl>
  </w:abstractNum>
  <w:abstractNum w:abstractNumId="54">
    <w:nsid w:val="1FBFE8E0"/>
    <w:multiLevelType w:val="hybridMultilevel"/>
    <w:lvl w:ilvl="0">
      <w:lvlJc w:val="left"/>
      <w:lvlText w:val="(%1)"/>
      <w:numFmt w:val="lowerLetter"/>
      <w:start w:val="6"/>
    </w:lvl>
  </w:abstractNum>
  <w:abstractNum w:abstractNumId="55">
    <w:nsid w:val="5092CA79"/>
    <w:multiLevelType w:val="hybridMultilevel"/>
    <w:lvl w:ilvl="0">
      <w:lvlJc w:val="left"/>
      <w:lvlText w:val="(%1)"/>
      <w:numFmt w:val="lowerLetter"/>
      <w:start w:val="12"/>
    </w:lvl>
  </w:abstractNum>
  <w:abstractNum w:abstractNumId="56">
    <w:nsid w:val="1D545C4D"/>
    <w:multiLevelType w:val="hybridMultilevel"/>
    <w:lvl w:ilvl="0">
      <w:lvlJc w:val="left"/>
      <w:lvlText w:val="(%1)"/>
      <w:numFmt w:val="lowerLetter"/>
      <w:start w:val="1"/>
    </w:lvl>
  </w:abstractNum>
  <w:abstractNum w:abstractNumId="57">
    <w:nsid w:val="59ADEA3D"/>
    <w:multiLevelType w:val="hybridMultilevel"/>
    <w:lvl w:ilvl="0">
      <w:lvlJc w:val="left"/>
      <w:lvlText w:val="%1"/>
      <w:numFmt w:val="lowerRoman"/>
      <w:start w:val="1"/>
    </w:lvl>
    <w:lvl w:ilvl="1">
      <w:lvlJc w:val="left"/>
      <w:lvlText w:val="(%2)"/>
      <w:numFmt w:val="lowerLetter"/>
      <w:start w:val="2"/>
    </w:lvl>
  </w:abstractNum>
  <w:abstractNum w:abstractNumId="58">
    <w:nsid w:val="288F1A34"/>
    <w:multiLevelType w:val="hybridMultilevel"/>
    <w:lvl w:ilvl="0">
      <w:lvlJc w:val="left"/>
      <w:lvlText w:val="(%1)"/>
      <w:numFmt w:val="lowerRoman"/>
      <w:start w:val="3"/>
    </w:lvl>
    <w:lvl w:ilvl="1">
      <w:lvlJc w:val="left"/>
      <w:lvlText w:val="(%2)"/>
      <w:numFmt w:val="lowerLetter"/>
      <w:start w:val="4"/>
    </w:lvl>
  </w:abstractNum>
  <w:abstractNum w:abstractNumId="59">
    <w:nsid w:val="2A155DBC"/>
    <w:multiLevelType w:val="hybridMultilevel"/>
    <w:lvl w:ilvl="0">
      <w:lvlJc w:val="left"/>
      <w:lvlText w:val="%1"/>
      <w:numFmt w:val="lowerRoman"/>
      <w:start w:val="1"/>
    </w:lvl>
    <w:lvl w:ilvl="1">
      <w:lvlJc w:val="left"/>
      <w:lvlText w:val="(%2)"/>
      <w:numFmt w:val="lowerLetter"/>
      <w:start w:val="5"/>
    </w:lvl>
  </w:abstractNum>
  <w:abstractNum w:abstractNumId="60">
    <w:nsid w:val="1D9F6E5F"/>
    <w:multiLevelType w:val="hybridMultilevel"/>
    <w:lvl w:ilvl="0">
      <w:lvlJc w:val="left"/>
      <w:lvlText w:val="(%1)"/>
      <w:numFmt w:val="lowerRoman"/>
      <w:start w:val="4"/>
    </w:lvl>
    <w:lvl w:ilvl="1">
      <w:lvlJc w:val="left"/>
      <w:lvlText w:val="(%2)"/>
      <w:numFmt w:val="lowerLetter"/>
      <w:start w:val="7"/>
    </w:lvl>
  </w:abstractNum>
  <w:abstractNum w:abstractNumId="61">
    <w:nsid w:val="97E1B4E"/>
    <w:multiLevelType w:val="hybridMultilevel"/>
    <w:lvl w:ilvl="0">
      <w:lvlJc w:val="left"/>
      <w:lvlText w:val="(%1)"/>
      <w:numFmt w:val="lowerRoman"/>
      <w:start w:val="2"/>
    </w:lvl>
    <w:lvl w:ilvl="1">
      <w:lvlJc w:val="left"/>
      <w:lvlText w:val="%2"/>
      <w:numFmt w:val="lowerLetter"/>
      <w:start w:val="1"/>
    </w:lvl>
  </w:abstractNum>
  <w:abstractNum w:abstractNumId="62">
    <w:nsid w:val="51088277"/>
    <w:multiLevelType w:val="hybridMultilevel"/>
    <w:lvl w:ilvl="0">
      <w:lvlJc w:val="left"/>
      <w:lvlText w:val="(%1)"/>
      <w:numFmt w:val="lowerLetter"/>
      <w:start w:val="8"/>
    </w:lvl>
  </w:abstractNum>
  <w:abstractNum w:abstractNumId="63">
    <w:nsid w:val="1CA0C5FA"/>
    <w:multiLevelType w:val="hybridMultilevel"/>
    <w:lvl w:ilvl="0">
      <w:lvlJc w:val="left"/>
      <w:lvlText w:val="(%1)"/>
      <w:numFmt w:val="lowerLetter"/>
      <w:start w:val="2"/>
    </w:lvl>
  </w:abstractNum>
  <w:abstractNum w:abstractNumId="64">
    <w:nsid w:val="53584BCB"/>
    <w:multiLevelType w:val="hybridMultilevel"/>
    <w:lvl w:ilvl="0">
      <w:lvlJc w:val="left"/>
      <w:lvlText w:val="(%1)"/>
      <w:numFmt w:val="lowerLetter"/>
      <w:start w:val="3"/>
    </w:lvl>
  </w:abstractNum>
  <w:abstractNum w:abstractNumId="65">
    <w:nsid w:val="415E286C"/>
    <w:multiLevelType w:val="hybridMultilevel"/>
    <w:lvl w:ilvl="0">
      <w:lvlJc w:val="left"/>
      <w:lvlText w:val="(%1)"/>
      <w:numFmt w:val="lowerLetter"/>
      <w:start w:val="2"/>
    </w:lvl>
  </w:abstractNum>
  <w:abstractNum w:abstractNumId="66">
    <w:nsid w:val="7C58FD05"/>
    <w:multiLevelType w:val="hybridMultilevel"/>
    <w:lvl w:ilvl="0">
      <w:lvlJc w:val="left"/>
      <w:lvlText w:val="(%1)"/>
      <w:numFmt w:val="lowerLetter"/>
      <w:start w:val="3"/>
    </w:lvl>
  </w:abstractNum>
  <w:abstractNum w:abstractNumId="67">
    <w:nsid w:val="23D86AAC"/>
    <w:multiLevelType w:val="hybridMultilevel"/>
    <w:lvl w:ilvl="0">
      <w:lvlJc w:val="left"/>
      <w:lvlText w:val="(%1)"/>
      <w:numFmt w:val="lowerLetter"/>
      <w:start w:val="2"/>
    </w:lvl>
  </w:abstractNum>
  <w:abstractNum w:abstractNumId="68">
    <w:nsid w:val="45E6D486"/>
    <w:multiLevelType w:val="hybridMultilevel"/>
    <w:lvl w:ilvl="0">
      <w:lvlJc w:val="left"/>
      <w:lvlText w:val="%1"/>
      <w:numFmt w:val="lowerLetter"/>
      <w:start w:val="1"/>
    </w:lvl>
    <w:lvl w:ilvl="1">
      <w:lvlJc w:val="left"/>
      <w:lvlText w:val="(%2)"/>
      <w:numFmt w:val="lowerLetter"/>
      <w:start w:val="2"/>
    </w:lvl>
  </w:abstractNum>
  <w:abstractNum w:abstractNumId="69">
    <w:nsid w:val="5C10FE21"/>
    <w:multiLevelType w:val="hybridMultilevel"/>
    <w:lvl w:ilvl="0">
      <w:lvlJc w:val="left"/>
      <w:lvlText w:val="(%1)"/>
      <w:numFmt w:val="lowerLetter"/>
      <w:start w:val="9"/>
    </w:lvl>
    <w:lvl w:ilvl="1">
      <w:lvlJc w:val="left"/>
      <w:lvlText w:val="%2"/>
      <w:numFmt w:val="lowerLetter"/>
      <w:start w:val="1"/>
    </w:lvl>
  </w:abstractNum>
  <w:abstractNum w:abstractNumId="70">
    <w:nsid w:val="E7FFA2B"/>
    <w:multiLevelType w:val="hybridMultilevel"/>
    <w:lvl w:ilvl="0">
      <w:lvlJc w:val="left"/>
      <w:lvlText w:val="(%1)"/>
      <w:numFmt w:val="lowerRoman"/>
      <w:start w:val="2"/>
    </w:lvl>
  </w:abstractNum>
  <w:abstractNum w:abstractNumId="71">
    <w:nsid w:val="3C5991AA"/>
    <w:multiLevelType w:val="hybridMultilevel"/>
    <w:lvl w:ilvl="0">
      <w:lvlJc w:val="left"/>
      <w:lvlText w:val="(%1)"/>
      <w:numFmt w:val="lowerRoman"/>
      <w:start w:val="5"/>
    </w:lvl>
    <w:lvl w:ilvl="1">
      <w:lvlJc w:val="left"/>
      <w:lvlText w:val="(%2)"/>
      <w:numFmt w:val="lowerLetter"/>
      <w:start w:val="3"/>
    </w:lvl>
  </w:abstractNum>
  <w:abstractNum w:abstractNumId="72">
    <w:nsid w:val="4BD8591A"/>
    <w:multiLevelType w:val="hybridMultilevel"/>
    <w:lvl w:ilvl="0">
      <w:lvlJc w:val="left"/>
      <w:lvlText w:val="(%1)"/>
      <w:numFmt w:val="lowerLetter"/>
      <w:start w:val="6"/>
    </w:lvl>
  </w:abstractNum>
  <w:abstractNum w:abstractNumId="73">
    <w:nsid w:val="78DF6A55"/>
    <w:multiLevelType w:val="hybridMultilevel"/>
    <w:lvl w:ilvl="0">
      <w:lvlJc w:val="left"/>
      <w:lvlText w:val="(%1)"/>
      <w:numFmt w:val="lowerRoman"/>
      <w:start w:val="2"/>
    </w:lvl>
  </w:abstractNum>
  <w:abstractNum w:abstractNumId="74">
    <w:nsid w:val="39B7AAA2"/>
    <w:multiLevelType w:val="hybridMultilevel"/>
    <w:lvl w:ilvl="0">
      <w:lvlJc w:val="left"/>
      <w:lvlText w:val="(%1)"/>
      <w:numFmt w:val="lowerLetter"/>
      <w:start w:val="2"/>
    </w:lvl>
  </w:abstractNum>
  <w:abstractNum w:abstractNumId="75">
    <w:nsid w:val="2B0D8DBE"/>
    <w:multiLevelType w:val="hybridMultilevel"/>
    <w:lvl w:ilvl="0">
      <w:lvlJc w:val="left"/>
      <w:lvlText w:val="(%1)"/>
      <w:numFmt w:val="lowerLetter"/>
      <w:start w:val="25"/>
    </w:lvl>
    <w:lvl w:ilvl="1">
      <w:lvlJc w:val="left"/>
      <w:lvlText w:val="(%2)"/>
      <w:numFmt w:val="lowerLetter"/>
      <w:start w:val="2"/>
    </w:lvl>
  </w:abstractNum>
  <w:abstractNum w:abstractNumId="76">
    <w:nsid w:val="6C80EC70"/>
    <w:multiLevelType w:val="hybridMultilevel"/>
    <w:lvl w:ilvl="0">
      <w:lvlJc w:val="left"/>
      <w:lvlText w:val="(%1)"/>
      <w:numFmt w:val="lowerLetter"/>
      <w:start w:val="2"/>
    </w:lvl>
  </w:abstractNum>
  <w:abstractNum w:abstractNumId="77">
    <w:nsid w:val="379E21B5"/>
    <w:multiLevelType w:val="hybridMultilevel"/>
    <w:lvl w:ilvl="0">
      <w:lvlJc w:val="left"/>
      <w:lvlText w:val="(%1)"/>
      <w:numFmt w:val="lowerLetter"/>
      <w:start w:val="2"/>
    </w:lvl>
  </w:abstractNum>
  <w:abstractNum w:abstractNumId="78">
    <w:nsid w:val="69E373"/>
    <w:multiLevelType w:val="hybridMultilevel"/>
    <w:lvl w:ilvl="0">
      <w:lvlJc w:val="left"/>
      <w:lvlText w:val="(%1)"/>
      <w:numFmt w:val="lowerRoman"/>
      <w:start w:val="3"/>
    </w:lvl>
  </w:abstractNum>
  <w:abstractNum w:abstractNumId="79">
    <w:nsid w:val="2C27173B"/>
    <w:multiLevelType w:val="hybridMultilevel"/>
    <w:lvl w:ilvl="0">
      <w:lvlJc w:val="left"/>
      <w:lvlText w:val="(%1)"/>
      <w:numFmt w:val="lowerLetter"/>
      <w:start w:val="1"/>
    </w:lvl>
  </w:abstractNum>
  <w:abstractNum w:abstractNumId="80">
    <w:nsid w:val="4C9B0904"/>
    <w:multiLevelType w:val="hybridMultilevel"/>
    <w:lvl w:ilvl="0">
      <w:lvlJc w:val="left"/>
      <w:lvlText w:val="(%1)"/>
      <w:numFmt w:val="lowerLetter"/>
      <w:start w:val="4"/>
    </w:lvl>
  </w:abstractNum>
  <w:abstractNum w:abstractNumId="81">
    <w:nsid w:val="6AA7B75C"/>
    <w:multiLevelType w:val="hybridMultilevel"/>
    <w:lvl w:ilvl="0">
      <w:lvlJc w:val="left"/>
      <w:lvlText w:val="(%1)"/>
      <w:numFmt w:val="lowerLetter"/>
      <w:start w:val="1"/>
    </w:lvl>
  </w:abstractNum>
  <w:abstractNum w:abstractNumId="82">
    <w:nsid w:val="1DF029D3"/>
    <w:multiLevelType w:val="hybridMultilevel"/>
    <w:lvl w:ilvl="0">
      <w:lvlJc w:val="left"/>
      <w:lvlText w:val="(%1)"/>
      <w:numFmt w:val="lowerLetter"/>
      <w:start w:val="1"/>
    </w:lvl>
  </w:abstractNum>
  <w:abstractNum w:abstractNumId="83">
    <w:nsid w:val="5675FF36"/>
    <w:multiLevelType w:val="hybridMultilevel"/>
    <w:lvl w:ilvl="0">
      <w:lvlJc w:val="left"/>
      <w:lvlText w:val="(%1)"/>
      <w:numFmt w:val="lowerLetter"/>
      <w:start w:val="2"/>
    </w:lvl>
  </w:abstractNum>
  <w:abstractNum w:abstractNumId="84">
    <w:nsid w:val="3DD15094"/>
    <w:multiLevelType w:val="hybridMultilevel"/>
    <w:lvl w:ilvl="0">
      <w:lvlJc w:val="left"/>
      <w:lvlText w:val="(%1)"/>
      <w:numFmt w:val="lowerLetter"/>
      <w:start w:val="3"/>
    </w:lvl>
  </w:abstractNum>
  <w:abstractNum w:abstractNumId="85">
    <w:nsid w:val="3DB012B3"/>
    <w:multiLevelType w:val="hybridMultilevel"/>
    <w:lvl w:ilvl="0">
      <w:lvlJc w:val="left"/>
      <w:lvlText w:val="%1"/>
      <w:numFmt w:val="lowerRoman"/>
      <w:start w:val="1"/>
    </w:lvl>
    <w:lvl w:ilvl="1">
      <w:lvlJc w:val="left"/>
      <w:lvlText w:val="(%2)"/>
      <w:numFmt w:val="lowerLetter"/>
      <w:start w:val="2"/>
    </w:lvl>
  </w:abstractNum>
  <w:abstractNum w:abstractNumId="86">
    <w:nsid w:val="2708C9AF"/>
    <w:multiLevelType w:val="hybridMultilevel"/>
    <w:lvl w:ilvl="0">
      <w:lvlJc w:val="left"/>
      <w:lvlText w:val="(%1)"/>
      <w:numFmt w:val="lowerRoman"/>
      <w:start w:val="1"/>
    </w:lvl>
    <w:lvl w:ilvl="1">
      <w:lvlJc w:val="left"/>
      <w:lvlText w:val="%2"/>
      <w:numFmt w:val="lowerLetter"/>
      <w:start w:val="1"/>
    </w:lvl>
  </w:abstractNum>
  <w:abstractNum w:abstractNumId="87">
    <w:nsid w:val="5B25ACE2"/>
    <w:multiLevelType w:val="hybridMultilevel"/>
    <w:lvl w:ilvl="0">
      <w:lvlJc w:val="left"/>
      <w:lvlText w:val="(%1)"/>
      <w:numFmt w:val="lowerRoman"/>
      <w:start w:val="3"/>
    </w:lvl>
  </w:abstractNum>
  <w:abstractNum w:abstractNumId="88">
    <w:nsid w:val="175DFCF0"/>
    <w:multiLevelType w:val="hybridMultilevel"/>
    <w:lvl w:ilvl="0">
      <w:lvlJc w:val="left"/>
      <w:lvlText w:val="%1"/>
      <w:numFmt w:val="lowerLetter"/>
      <w:start w:val="1"/>
    </w:lvl>
    <w:lvl w:ilvl="1">
      <w:lvlJc w:val="left"/>
      <w:lvlText w:val="(%2)"/>
      <w:numFmt w:val="lowerLetter"/>
      <w:start w:val="3"/>
    </w:lvl>
  </w:abstractNum>
  <w:abstractNum w:abstractNumId="89">
    <w:nsid w:val="4F97E3E4"/>
    <w:multiLevelType w:val="hybridMultilevel"/>
    <w:lvl w:ilvl="0">
      <w:lvlJc w:val="left"/>
      <w:lvlText w:val="(%1)"/>
      <w:numFmt w:val="lowerLetter"/>
      <w:start w:val="9"/>
    </w:lvl>
    <w:lvl w:ilvl="1">
      <w:lvlJc w:val="left"/>
      <w:lvlText w:val="%2"/>
      <w:numFmt w:val="lowerLetter"/>
      <w:start w:val="1"/>
    </w:lvl>
  </w:abstractNum>
  <w:abstractNum w:abstractNumId="90">
    <w:nsid w:val="53B0A9E"/>
    <w:multiLevelType w:val="hybridMultilevel"/>
    <w:lvl w:ilvl="0">
      <w:lvlJc w:val="left"/>
      <w:lvlText w:val="%1"/>
      <w:numFmt w:val="decimal"/>
      <w:start w:val="1"/>
    </w:lvl>
    <w:lvl w:ilvl="1">
      <w:lvlJc w:val="left"/>
      <w:lvlText w:val="(%2)"/>
      <w:numFmt w:val="lowerRoman"/>
      <w:start w:val="2"/>
    </w:lvl>
  </w:abstractNum>
  <w:abstractNum w:abstractNumId="91">
    <w:nsid w:val="34FD6B4F"/>
    <w:multiLevelType w:val="hybridMultilevel"/>
    <w:lvl w:ilvl="0">
      <w:lvlJc w:val="left"/>
      <w:lvlText w:val="(%1)"/>
      <w:numFmt w:val="decimal"/>
      <w:start w:val="18"/>
    </w:lvl>
    <w:lvl w:ilvl="1">
      <w:lvlJc w:val="left"/>
      <w:lvlText w:val="(%2)"/>
      <w:numFmt w:val="lowerRoman"/>
      <w:start w:val="3"/>
    </w:lvl>
  </w:abstractNum>
  <w:abstractNum w:abstractNumId="92">
    <w:nsid w:val="5915FF32"/>
    <w:multiLevelType w:val="hybridMultilevel"/>
    <w:lvl w:ilvl="0">
      <w:lvlJc w:val="left"/>
      <w:lvlText w:val="(%1)"/>
      <w:numFmt w:val="decimal"/>
      <w:start w:val="18"/>
    </w:lvl>
  </w:abstractNum>
  <w:abstractNum w:abstractNumId="93">
    <w:nsid w:val="56438D15"/>
    <w:multiLevelType w:val="hybridMultilevel"/>
    <w:lvl w:ilvl="0">
      <w:lvlJc w:val="left"/>
      <w:lvlText w:val="(%1)"/>
      <w:numFmt w:val="lowerRoman"/>
      <w:start w:val="2"/>
    </w:lvl>
  </w:abstractNum>
  <w:abstractNum w:abstractNumId="94">
    <w:nsid w:val="519E3149"/>
    <w:multiLevelType w:val="hybridMultilevel"/>
    <w:lvl w:ilvl="0">
      <w:lvlJc w:val="left"/>
      <w:lvlText w:val="(%1)"/>
      <w:numFmt w:val="lowerLetter"/>
      <w:start w:val="2"/>
    </w:lvl>
  </w:abstractNum>
  <w:abstractNum w:abstractNumId="95">
    <w:nsid w:val="2C6E4AFD"/>
    <w:multiLevelType w:val="hybridMultilevel"/>
    <w:lvl w:ilvl="0">
      <w:lvlJc w:val="left"/>
      <w:lvlText w:val="%1."/>
      <w:numFmt w:val="upperLetter"/>
      <w:start w:val="1"/>
    </w:lvl>
  </w:abstractNum>
  <w:abstractNum w:abstractNumId="96">
    <w:nsid w:val="17A1B582"/>
    <w:multiLevelType w:val="hybridMultilevel"/>
    <w:lvl w:ilvl="0">
      <w:lvlJc w:val="left"/>
      <w:lvlText w:val="%1."/>
      <w:numFmt w:val="upperLetter"/>
      <w:start w:val="1"/>
    </w:lvl>
  </w:abstractNum>
  <w:abstractNum w:abstractNumId="97">
    <w:nsid w:val="4DF72E4E"/>
    <w:multiLevelType w:val="hybridMultilevel"/>
    <w:lvl w:ilvl="0">
      <w:lvlJc w:val="left"/>
      <w:lvlText w:val="%1."/>
      <w:numFmt w:val="decimal"/>
      <w:start w:val="1"/>
    </w:lvl>
    <w:lvl w:ilvl="1">
      <w:lvlJc w:val="left"/>
      <w:lvlText w:val="(%2)"/>
      <w:numFmt w:val="lowerLetter"/>
      <w:start w:val="1"/>
    </w:lvl>
  </w:abstractNum>
  <w:abstractNum w:abstractNumId="98">
    <w:nsid w:val="5046B5A9"/>
    <w:multiLevelType w:val="hybridMultilevel"/>
    <w:lvl w:ilvl="0">
      <w:lvlJc w:val="left"/>
      <w:lvlText w:val="(%1)"/>
      <w:numFmt w:val="lowerRoman"/>
      <w:start w:val="1"/>
    </w:lvl>
  </w:abstractNum>
  <w:abstractNum w:abstractNumId="99">
    <w:nsid w:val="5D888A08"/>
    <w:multiLevelType w:val="hybridMultilevel"/>
    <w:lvl w:ilvl="0">
      <w:lvlJc w:val="left"/>
      <w:lvlText w:val="(%1)"/>
      <w:numFmt w:val="lowerLetter"/>
      <w:start w:val="3"/>
    </w:lvl>
  </w:abstractNum>
  <w:abstractNum w:abstractNumId="100">
    <w:nsid w:val="2A082C70"/>
    <w:multiLevelType w:val="hybridMultilevel"/>
    <w:lvl w:ilvl="0">
      <w:lvlJc w:val="left"/>
      <w:lvlText w:val="%1"/>
      <w:numFmt w:val="decimal"/>
      <w:start w:val="1"/>
    </w:lvl>
    <w:lvl w:ilvl="1">
      <w:lvlJc w:val="left"/>
      <w:lvlText w:val="(%2)"/>
      <w:numFmt w:val="lowerLetter"/>
      <w:start w:val="5"/>
    </w:lvl>
  </w:abstractNum>
  <w:abstractNum w:abstractNumId="101">
    <w:nsid w:val="5EC6AFD4"/>
    <w:multiLevelType w:val="hybridMultilevel"/>
    <w:lvl w:ilvl="0">
      <w:lvlJc w:val="left"/>
      <w:lvlText w:val="%1."/>
      <w:numFmt w:val="decimal"/>
      <w:start w:val="4"/>
    </w:lvl>
    <w:lvl w:ilvl="1">
      <w:lvlJc w:val="left"/>
      <w:lvlText w:val="(%2)"/>
      <w:numFmt w:val="lowerLetter"/>
      <w:start w:val="1"/>
    </w:lvl>
  </w:abstractNum>
  <w:abstractNum w:abstractNumId="102">
    <w:nsid w:val="19E21BB2"/>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4"/>
    </w:lvl>
  </w:abstractNum>
  <w:abstractNum w:abstractNumId="103">
    <w:nsid w:val="75E0858A"/>
    <w:multiLevelType w:val="hybridMultilevel"/>
    <w:lvl w:ilvl="0">
      <w:lvlJc w:val="left"/>
      <w:lvlText w:val="(%1)"/>
      <w:numFmt w:val="upperLetter"/>
      <w:start w:val="1"/>
    </w:lvl>
    <w:lvl w:ilvl="1">
      <w:lvlJc w:val="left"/>
      <w:lvlText w:val="%2."/>
      <w:numFmt w:val="decimal"/>
      <w:start w:val="5"/>
    </w:lvl>
    <w:lvl w:ilvl="2">
      <w:lvlJc w:val="left"/>
      <w:lvlText w:val="(%3)"/>
      <w:numFmt w:val="lowerLetter"/>
      <w:start w:val="1"/>
    </w:lvl>
  </w:abstractNum>
  <w:abstractNum w:abstractNumId="104">
    <w:nsid w:val="57A61A29"/>
    <w:multiLevelType w:val="hybridMultilevel"/>
    <w:lvl w:ilvl="0">
      <w:lvlJc w:val="left"/>
      <w:lvlText w:val="(%1)"/>
      <w:numFmt w:val="lowerLetter"/>
      <w:start w:val="2"/>
    </w:lvl>
  </w:abstractNum>
  <w:abstractNum w:abstractNumId="105">
    <w:nsid w:val="5399C654"/>
    <w:multiLevelType w:val="hybridMultilevel"/>
    <w:lvl w:ilvl="0">
      <w:lvlJc w:val="left"/>
      <w:lvlText w:val="%1."/>
      <w:numFmt w:val="decimal"/>
      <w:start w:val="6"/>
    </w:lvl>
    <w:lvl w:ilvl="1">
      <w:lvlJc w:val="left"/>
      <w:lvlText w:val="(%2)"/>
      <w:numFmt w:val="lowerLetter"/>
      <w:start w:val="1"/>
    </w:lvl>
  </w:abstractNum>
  <w:abstractNum w:abstractNumId="106">
    <w:nsid w:val="20EE1348"/>
    <w:multiLevelType w:val="hybridMultilevel"/>
    <w:lvl w:ilvl="0">
      <w:lvlJc w:val="left"/>
      <w:lvlText w:val="(%1)"/>
      <w:numFmt w:val="lowerLetter"/>
      <w:start w:val="2"/>
    </w:lvl>
    <w:lvl w:ilvl="1">
      <w:lvlJc w:val="left"/>
      <w:lvlText w:val="(%2)"/>
      <w:numFmt w:val="lowerLetter"/>
      <w:start w:val="9"/>
    </w:lvl>
  </w:abstractNum>
  <w:abstractNum w:abstractNumId="107">
    <w:nsid w:val="4427069A"/>
    <w:multiLevelType w:val="hybridMultilevel"/>
    <w:lvl w:ilvl="0">
      <w:lvlJc w:val="left"/>
      <w:lvlText w:val="%1"/>
      <w:numFmt w:val="lowerLetter"/>
      <w:start w:val="1"/>
    </w:lvl>
    <w:lvl w:ilvl="1">
      <w:lvlJc w:val="left"/>
      <w:lvlText w:val="(%2)"/>
      <w:numFmt w:val="lowerLetter"/>
      <w:start w:val="35"/>
    </w:lvl>
  </w:abstractNum>
  <w:abstractNum w:abstractNumId="108">
    <w:nsid w:val="B37E80A"/>
    <w:multiLevelType w:val="hybridMultilevel"/>
    <w:lvl w:ilvl="0">
      <w:lvlJc w:val="left"/>
      <w:lvlText w:val="(%1)"/>
      <w:numFmt w:val="lowerLetter"/>
      <w:start w:val="26"/>
    </w:lvl>
    <w:lvl w:ilvl="1">
      <w:lvlJc w:val="left"/>
      <w:lvlText w:val="(%2)"/>
      <w:numFmt w:val="lowerLetter"/>
      <w:start w:val="61"/>
    </w:lvl>
  </w:abstractNum>
  <w:abstractNum w:abstractNumId="109">
    <w:nsid w:val="2157F6BC"/>
    <w:multiLevelType w:val="hybridMultilevel"/>
    <w:lvl w:ilvl="0">
      <w:lvlJc w:val="left"/>
      <w:lvlText w:val="%1"/>
      <w:numFmt w:val="lowerLetter"/>
      <w:start w:val="1"/>
    </w:lvl>
    <w:lvl w:ilvl="1">
      <w:lvlJc w:val="left"/>
      <w:lvlText w:val="(%2)"/>
      <w:numFmt w:val="lowerRoman"/>
      <w:start w:val="4"/>
    </w:lvl>
  </w:abstractNum>
  <w:abstractNum w:abstractNumId="110">
    <w:nsid w:val="704E1DD5"/>
    <w:multiLevelType w:val="hybridMultilevel"/>
    <w:lvl w:ilvl="0">
      <w:lvlJc w:val="left"/>
      <w:lvlText w:val="(%1)"/>
      <w:numFmt w:val="lowerLetter"/>
      <w:start w:val="6"/>
    </w:lvl>
    <w:lvl w:ilvl="1">
      <w:lvlJc w:val="left"/>
      <w:lvlText w:val="%2"/>
      <w:numFmt w:val="lowerRoman"/>
      <w:start w:val="1"/>
    </w:lvl>
  </w:abstractNum>
  <w:abstractNum w:abstractNumId="111">
    <w:nsid w:val="57D2F10E"/>
    <w:multiLevelType w:val="hybridMultilevel"/>
    <w:lvl w:ilvl="0">
      <w:lvlJc w:val="left"/>
      <w:lvlText w:val="%1"/>
      <w:numFmt w:val="decimal"/>
      <w:start w:val="1"/>
    </w:lvl>
    <w:lvl w:ilvl="1">
      <w:lvlJc w:val="left"/>
      <w:lvlText w:val="(%2)"/>
      <w:numFmt w:val="lowerLetter"/>
      <w:start w:val="7"/>
    </w:lvl>
    <w:lvl w:ilvl="2">
      <w:lvlJc w:val="left"/>
      <w:lvlText w:val="%3"/>
      <w:numFmt w:val="lowerRoman"/>
      <w:start w:val="1"/>
    </w:lvl>
  </w:abstractNum>
  <w:abstractNum w:abstractNumId="112">
    <w:nsid w:val="BFFAE18"/>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113">
    <w:nsid w:val="E3E47A8"/>
    <w:multiLevelType w:val="hybridMultilevel"/>
    <w:lvl w:ilvl="0">
      <w:lvlJc w:val="left"/>
      <w:lvlText w:val="(%1)"/>
      <w:numFmt w:val="lowerLetter"/>
      <w:start w:val="35"/>
    </w:lvl>
    <w:lvl w:ilvl="1">
      <w:lvlJc w:val="left"/>
      <w:lvlText w:val="(%2)"/>
      <w:numFmt w:val="lowerLetter"/>
      <w:start w:val="3"/>
    </w:lvl>
  </w:abstractNum>
  <w:abstractNum w:abstractNumId="114">
    <w:nsid w:val="2E48F044"/>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115">
    <w:nsid w:val="49D0FEAC"/>
    <w:multiLevelType w:val="hybridMultilevel"/>
    <w:lvl w:ilvl="0">
      <w:lvlJc w:val="left"/>
      <w:lvlText w:val="%1"/>
      <w:numFmt w:val="decimal"/>
      <w:start w:val="1"/>
    </w:lvl>
    <w:lvl w:ilvl="1">
      <w:lvlJc w:val="left"/>
      <w:lvlText w:val="(%2)"/>
      <w:numFmt w:val="lowerLetter"/>
      <w:start w:val="3"/>
    </w:lvl>
  </w:abstractNum>
  <w:abstractNum w:abstractNumId="116">
    <w:nsid w:val="4BEE5A5B"/>
    <w:multiLevelType w:val="hybridMultilevel"/>
    <w:lvl w:ilvl="0">
      <w:lvlJc w:val="left"/>
      <w:lvlText w:val="%1."/>
      <w:numFmt w:val="decimal"/>
      <w:start w:val="10"/>
    </w:lvl>
    <w:lvl w:ilvl="1">
      <w:lvlJc w:val="left"/>
      <w:lvlText w:val="(%2)"/>
      <w:numFmt w:val="lowerLetter"/>
      <w:start w:val="1"/>
    </w:lvl>
  </w:abstractNum>
  <w:abstractNum w:abstractNumId="117">
    <w:nsid w:val="5551B9F3"/>
    <w:multiLevelType w:val="hybridMultilevel"/>
    <w:lvl w:ilvl="0">
      <w:lvlJc w:val="left"/>
      <w:lvlText w:val="(%1)"/>
      <w:numFmt w:val="lowerLetter"/>
      <w:start w:val="2"/>
    </w:lvl>
    <w:lvl w:ilvl="1">
      <w:lvlJc w:val="left"/>
      <w:lvlText w:val="(%2)"/>
      <w:numFmt w:val="lowerRoman"/>
      <w:start w:val="1"/>
    </w:lvl>
  </w:abstractNum>
  <w:abstractNum w:abstractNumId="118">
    <w:nsid w:val="24F6AB8E"/>
    <w:multiLevelType w:val="hybridMultilevel"/>
    <w:lvl w:ilvl="0">
      <w:lvlJc w:val="left"/>
      <w:lvlText w:val="(%1)"/>
      <w:numFmt w:val="lowerRoman"/>
      <w:start w:val="4"/>
    </w:lvl>
  </w:abstractNum>
  <w:abstractNum w:abstractNumId="119">
    <w:nsid w:val="634C574C"/>
    <w:multiLevelType w:val="hybridMultilevel"/>
    <w:lvl w:ilvl="0">
      <w:lvlJc w:val="left"/>
      <w:lvlText w:val="(%1)"/>
      <w:numFmt w:val="lowerLetter"/>
      <w:start w:val="4"/>
    </w:lvl>
  </w:abstractNum>
  <w:abstractNum w:abstractNumId="120">
    <w:nsid w:val="24E99DD7"/>
    <w:multiLevelType w:val="hybridMultilevel"/>
    <w:lvl w:ilvl="0">
      <w:lvlJc w:val="left"/>
      <w:lvlText w:val="(%1)"/>
      <w:numFmt w:val="lowerRoman"/>
      <w:start w:val="1"/>
    </w:lvl>
  </w:abstractNum>
  <w:abstractNum w:abstractNumId="121">
    <w:nsid w:val="2A31B62D"/>
    <w:multiLevelType w:val="hybridMultilevel"/>
    <w:lvl w:ilvl="0">
      <w:lvlJc w:val="left"/>
      <w:lvlText w:val="%1"/>
      <w:numFmt w:val="decimal"/>
      <w:start w:val="1"/>
    </w:lvl>
    <w:lvl w:ilvl="1">
      <w:lvlJc w:val="left"/>
      <w:lvlText w:val="(%2)"/>
      <w:numFmt w:val="lowerLetter"/>
      <w:start w:val="6"/>
    </w:lvl>
  </w:abstractNum>
  <w:abstractNum w:abstractNumId="122">
    <w:nsid w:val="1849C29B"/>
    <w:multiLevelType w:val="hybridMultilevel"/>
    <w:lvl w:ilvl="0">
      <w:lvlJc w:val="left"/>
      <w:lvlText w:val="%1."/>
      <w:numFmt w:val="decimal"/>
      <w:start w:val="11"/>
    </w:lvl>
    <w:lvl w:ilvl="1">
      <w:lvlJc w:val="left"/>
      <w:lvlText w:val="%2"/>
      <w:numFmt w:val="lowerLetter"/>
      <w:start w:val="1"/>
    </w:lvl>
  </w:abstractNum>
  <w:abstractNum w:abstractNumId="123">
    <w:nsid w:val="7DFF9D09"/>
    <w:multiLevelType w:val="hybridMultilevel"/>
    <w:lvl w:ilvl="0">
      <w:lvlJc w:val="left"/>
      <w:lvlText w:val="%1."/>
      <w:numFmt w:val="decimal"/>
      <w:start w:val="13"/>
    </w:lvl>
    <w:lvl w:ilvl="1">
      <w:lvlJc w:val="left"/>
      <w:lvlText w:val="(%2)"/>
      <w:numFmt w:val="lowerLetter"/>
      <w:start w:val="2"/>
    </w:lvl>
  </w:abstractNum>
  <w:abstractNum w:abstractNumId="124">
    <w:nsid w:val="754342"/>
    <w:multiLevelType w:val="hybridMultilevel"/>
    <w:lvl w:ilvl="0">
      <w:lvlJc w:val="left"/>
      <w:lvlText w:val="%1"/>
      <w:numFmt w:val="decimal"/>
      <w:start w:val="1"/>
    </w:lvl>
    <w:lvl w:ilvl="1">
      <w:lvlJc w:val="left"/>
      <w:lvlText w:val="(%2)"/>
      <w:numFmt w:val="lowerLetter"/>
      <w:start w:val="3"/>
    </w:lvl>
  </w:abstractNum>
  <w:abstractNum w:abstractNumId="125">
    <w:nsid w:val="69E7F3E5"/>
    <w:multiLevelType w:val="hybridMultilevel"/>
    <w:lvl w:ilvl="0">
      <w:lvlJc w:val="left"/>
      <w:lvlText w:val="%1."/>
      <w:numFmt w:val="decimal"/>
      <w:start w:val="14"/>
    </w:lvl>
    <w:lvl w:ilvl="1">
      <w:lvlJc w:val="left"/>
      <w:lvlText w:val="(%2)"/>
      <w:numFmt w:val="lowerLetter"/>
      <w:start w:val="1"/>
    </w:lvl>
  </w:abstractNum>
  <w:abstractNum w:abstractNumId="126">
    <w:nsid w:val="2A6DE806"/>
    <w:multiLevelType w:val="hybridMultilevel"/>
    <w:lvl w:ilvl="0">
      <w:lvlJc w:val="left"/>
      <w:lvlText w:val="(%1)"/>
      <w:numFmt w:val="lowerLetter"/>
      <w:start w:val="4"/>
    </w:lvl>
  </w:abstractNum>
  <w:abstractNum w:abstractNumId="127">
    <w:nsid w:val="1816F8C4"/>
    <w:multiLevelType w:val="hybridMultilevel"/>
    <w:lvl w:ilvl="0">
      <w:lvlJc w:val="left"/>
      <w:lvlText w:val="%1."/>
      <w:numFmt w:val="decimal"/>
      <w:start w:val="1"/>
    </w:lvl>
    <w:lvl w:ilvl="1">
      <w:lvlJc w:val="left"/>
      <w:lvlText w:val="(%2)"/>
      <w:numFmt w:val="lowerLetter"/>
      <w:start w:val="1"/>
    </w:lvl>
  </w:abstractNum>
  <w:abstractNum w:abstractNumId="128">
    <w:nsid w:val="37DF2233"/>
    <w:multiLevelType w:val="hybridMultilevel"/>
    <w:lvl w:ilvl="0">
      <w:lvlJc w:val="left"/>
      <w:lvlText w:val="(%1)"/>
      <w:numFmt w:val="lowerRoman"/>
      <w:start w:val="1"/>
    </w:lvl>
  </w:abstractNum>
  <w:abstractNum w:abstractNumId="129">
    <w:nsid w:val="7AB49DAF"/>
    <w:multiLevelType w:val="hybridMultilevel"/>
    <w:lvl w:ilvl="0">
      <w:lvlJc w:val="left"/>
      <w:lvlText w:val="(%1)"/>
      <w:numFmt w:val="lowerLetter"/>
      <w:start w:val="3"/>
    </w:lvl>
  </w:abstractNum>
  <w:abstractNum w:abstractNumId="130">
    <w:nsid w:val="759F82CD"/>
    <w:multiLevelType w:val="hybridMultilevel"/>
    <w:lvl w:ilvl="0">
      <w:lvlJc w:val="left"/>
      <w:lvlText w:val="%1"/>
      <w:numFmt w:val="decimal"/>
      <w:start w:val="1"/>
    </w:lvl>
    <w:lvl w:ilvl="1">
      <w:lvlJc w:val="left"/>
      <w:lvlText w:val="(%2)"/>
      <w:numFmt w:val="lowerLetter"/>
      <w:start w:val="5"/>
    </w:lvl>
  </w:abstractNum>
  <w:abstractNum w:abstractNumId="131">
    <w:nsid w:val="61E74EA3"/>
    <w:multiLevelType w:val="hybridMultilevel"/>
    <w:lvl w:ilvl="0">
      <w:lvlJc w:val="left"/>
      <w:lvlText w:val="%1."/>
      <w:numFmt w:val="decimal"/>
      <w:start w:val="4"/>
    </w:lvl>
    <w:lvl w:ilvl="1">
      <w:lvlJc w:val="left"/>
      <w:lvlText w:val="(%2)"/>
      <w:numFmt w:val="lowerLetter"/>
      <w:start w:val="1"/>
    </w:lvl>
  </w:abstractNum>
  <w:abstractNum w:abstractNumId="132">
    <w:nsid w:val="597B4D84"/>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4"/>
    </w:lvl>
  </w:abstractNum>
  <w:abstractNum w:abstractNumId="133">
    <w:nsid w:val="F819E7F"/>
    <w:multiLevelType w:val="hybridMultilevel"/>
    <w:lvl w:ilvl="0">
      <w:lvlJc w:val="left"/>
      <w:lvlText w:val="(%1)"/>
      <w:numFmt w:val="upperLetter"/>
      <w:start w:val="1"/>
    </w:lvl>
    <w:lvl w:ilvl="1">
      <w:lvlJc w:val="left"/>
      <w:lvlText w:val="%2."/>
      <w:numFmt w:val="decimal"/>
      <w:start w:val="5"/>
    </w:lvl>
    <w:lvl w:ilvl="2">
      <w:lvlJc w:val="left"/>
      <w:lvlText w:val="(%3)"/>
      <w:numFmt w:val="lowerLetter"/>
      <w:start w:val="1"/>
    </w:lvl>
  </w:abstractNum>
  <w:abstractNum w:abstractNumId="134">
    <w:nsid w:val="57C7D42D"/>
    <w:multiLevelType w:val="hybridMultilevel"/>
    <w:lvl w:ilvl="0">
      <w:lvlJc w:val="left"/>
      <w:lvlText w:val="(%1)"/>
      <w:numFmt w:val="lowerLetter"/>
      <w:start w:val="2"/>
    </w:lvl>
  </w:abstractNum>
  <w:abstractNum w:abstractNumId="135">
    <w:nsid w:val="312167AD"/>
    <w:multiLevelType w:val="hybridMultilevel"/>
    <w:lvl w:ilvl="0">
      <w:lvlJc w:val="left"/>
      <w:lvlText w:val="%1."/>
      <w:numFmt w:val="decimal"/>
      <w:start w:val="6"/>
    </w:lvl>
    <w:lvl w:ilvl="1">
      <w:lvlJc w:val="left"/>
      <w:lvlText w:val="(%2)"/>
      <w:numFmt w:val="lowerLetter"/>
      <w:start w:val="1"/>
    </w:lvl>
  </w:abstractNum>
  <w:abstractNum w:abstractNumId="136">
    <w:nsid w:val="631B64D4"/>
    <w:multiLevelType w:val="hybridMultilevel"/>
    <w:lvl w:ilvl="0">
      <w:lvlJc w:val="left"/>
      <w:lvlText w:val="(%1)"/>
      <w:numFmt w:val="lowerLetter"/>
      <w:start w:val="2"/>
    </w:lvl>
    <w:lvl w:ilvl="1">
      <w:lvlJc w:val="left"/>
      <w:lvlText w:val="(%2)"/>
      <w:numFmt w:val="lowerLetter"/>
      <w:start w:val="9"/>
    </w:lvl>
  </w:abstractNum>
  <w:abstractNum w:abstractNumId="137">
    <w:nsid w:val="78B5E776"/>
    <w:multiLevelType w:val="hybridMultilevel"/>
    <w:lvl w:ilvl="0">
      <w:lvlJc w:val="left"/>
      <w:lvlText w:val="%1"/>
      <w:numFmt w:val="lowerLetter"/>
      <w:start w:val="1"/>
    </w:lvl>
    <w:lvl w:ilvl="1">
      <w:lvlJc w:val="left"/>
      <w:lvlText w:val="(%2)"/>
      <w:numFmt w:val="lowerLetter"/>
      <w:start w:val="35"/>
    </w:lvl>
  </w:abstractNum>
  <w:abstractNum w:abstractNumId="138">
    <w:nsid w:val="75486E47"/>
    <w:multiLevelType w:val="hybridMultilevel"/>
    <w:lvl w:ilvl="0">
      <w:lvlJc w:val="left"/>
      <w:lvlText w:val="(%1)"/>
      <w:numFmt w:val="lowerLetter"/>
      <w:start w:val="26"/>
    </w:lvl>
    <w:lvl w:ilvl="1">
      <w:lvlJc w:val="left"/>
      <w:lvlText w:val="(%2)"/>
      <w:numFmt w:val="lowerLetter"/>
      <w:start w:val="61"/>
    </w:lvl>
  </w:abstractNum>
  <w:abstractNum w:abstractNumId="139">
    <w:nsid w:val="6E534CDE"/>
    <w:multiLevelType w:val="hybridMultilevel"/>
    <w:lvl w:ilvl="0">
      <w:lvlJc w:val="left"/>
      <w:lvlText w:val="%1"/>
      <w:numFmt w:val="lowerLetter"/>
      <w:start w:val="1"/>
    </w:lvl>
    <w:lvl w:ilvl="1">
      <w:lvlJc w:val="left"/>
      <w:lvlText w:val="(%2)"/>
      <w:numFmt w:val="lowerRoman"/>
      <w:start w:val="4"/>
    </w:lvl>
  </w:abstractNum>
  <w:abstractNum w:abstractNumId="140">
    <w:nsid w:val="1A0DDE32"/>
    <w:multiLevelType w:val="hybridMultilevel"/>
    <w:lvl w:ilvl="0">
      <w:lvlJc w:val="left"/>
      <w:lvlText w:val="(%1)"/>
      <w:numFmt w:val="lowerLetter"/>
      <w:start w:val="6"/>
    </w:lvl>
    <w:lvl w:ilvl="1">
      <w:lvlJc w:val="left"/>
      <w:lvlText w:val="%2"/>
      <w:numFmt w:val="lowerRoman"/>
      <w:start w:val="1"/>
    </w:lvl>
  </w:abstractNum>
  <w:abstractNum w:abstractNumId="141">
    <w:nsid w:val="65968C1C"/>
    <w:multiLevelType w:val="hybridMultilevel"/>
    <w:lvl w:ilvl="0">
      <w:lvlJc w:val="left"/>
      <w:lvlText w:val="%1"/>
      <w:numFmt w:val="decimal"/>
      <w:start w:val="1"/>
    </w:lvl>
    <w:lvl w:ilvl="1">
      <w:lvlJc w:val="left"/>
      <w:lvlText w:val="(%2)"/>
      <w:numFmt w:val="lowerLetter"/>
      <w:start w:val="7"/>
    </w:lvl>
    <w:lvl w:ilvl="2">
      <w:lvlJc w:val="left"/>
      <w:lvlText w:val="%3"/>
      <w:numFmt w:val="lowerRoman"/>
      <w:start w:val="1"/>
    </w:lvl>
  </w:abstractNum>
  <w:abstractNum w:abstractNumId="142">
    <w:nsid w:val="46263DEC"/>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143">
    <w:nsid w:val="260D8C4A"/>
    <w:multiLevelType w:val="hybridMultilevel"/>
    <w:lvl w:ilvl="0">
      <w:lvlJc w:val="left"/>
      <w:lvlText w:val="(%1)"/>
      <w:numFmt w:val="lowerLetter"/>
      <w:start w:val="35"/>
    </w:lvl>
    <w:lvl w:ilvl="1">
      <w:lvlJc w:val="left"/>
      <w:lvlText w:val="(%2)"/>
      <w:numFmt w:val="lowerLetter"/>
      <w:start w:val="3"/>
    </w:lvl>
  </w:abstractNum>
  <w:abstractNum w:abstractNumId="144">
    <w:nsid w:val="73D4D3C4"/>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145">
    <w:nsid w:val="746F2E30"/>
    <w:multiLevelType w:val="hybridMultilevel"/>
    <w:lvl w:ilvl="0">
      <w:lvlJc w:val="left"/>
      <w:lvlText w:val="%1"/>
      <w:numFmt w:val="decimal"/>
      <w:start w:val="1"/>
    </w:lvl>
    <w:lvl w:ilvl="1">
      <w:lvlJc w:val="left"/>
      <w:lvlText w:val="(%2)"/>
      <w:numFmt w:val="lowerLetter"/>
      <w:start w:val="3"/>
    </w:lvl>
  </w:abstractNum>
  <w:abstractNum w:abstractNumId="146">
    <w:nsid w:val="6FDE8AF6"/>
    <w:multiLevelType w:val="hybridMultilevel"/>
    <w:lvl w:ilvl="0">
      <w:lvlJc w:val="left"/>
      <w:lvlText w:val="%1."/>
      <w:numFmt w:val="decimal"/>
      <w:start w:val="10"/>
    </w:lvl>
    <w:lvl w:ilvl="1">
      <w:lvlJc w:val="left"/>
      <w:lvlText w:val="(%2)"/>
      <w:numFmt w:val="lowerLetter"/>
      <w:start w:val="1"/>
    </w:lvl>
  </w:abstractNum>
  <w:abstractNum w:abstractNumId="147">
    <w:nsid w:val="3FC32E20"/>
    <w:multiLevelType w:val="hybridMultilevel"/>
    <w:lvl w:ilvl="0">
      <w:lvlJc w:val="left"/>
      <w:lvlText w:val="(%1)"/>
      <w:numFmt w:val="lowerLetter"/>
      <w:start w:val="2"/>
    </w:lvl>
    <w:lvl w:ilvl="1">
      <w:lvlJc w:val="left"/>
      <w:lvlText w:val="(%2)"/>
      <w:numFmt w:val="lowerRoman"/>
      <w:start w:val="1"/>
    </w:lvl>
  </w:abstractNum>
  <w:abstractNum w:abstractNumId="148">
    <w:nsid w:val="49C0E823"/>
    <w:multiLevelType w:val="hybridMultilevel"/>
    <w:lvl w:ilvl="0">
      <w:lvlJc w:val="left"/>
      <w:lvlText w:val="(%1)"/>
      <w:numFmt w:val="lowerRoman"/>
      <w:start w:val="4"/>
    </w:lvl>
  </w:abstractNum>
  <w:abstractNum w:abstractNumId="149">
    <w:nsid w:val="14D53685"/>
    <w:multiLevelType w:val="hybridMultilevel"/>
    <w:lvl w:ilvl="0">
      <w:lvlJc w:val="left"/>
      <w:lvlText w:val="(%1)"/>
      <w:numFmt w:val="lowerLetter"/>
      <w:start w:val="4"/>
    </w:lvl>
  </w:abstractNum>
  <w:abstractNum w:abstractNumId="150">
    <w:nsid w:val="230F856C"/>
    <w:multiLevelType w:val="hybridMultilevel"/>
    <w:lvl w:ilvl="0">
      <w:lvlJc w:val="left"/>
      <w:lvlText w:val="(%1)"/>
      <w:numFmt w:val="lowerRoman"/>
      <w:start w:val="1"/>
    </w:lvl>
  </w:abstractNum>
  <w:abstractNum w:abstractNumId="151">
    <w:nsid w:val="6EAA85FB"/>
    <w:multiLevelType w:val="hybridMultilevel"/>
    <w:lvl w:ilvl="0">
      <w:lvlJc w:val="left"/>
      <w:lvlText w:val="%1"/>
      <w:numFmt w:val="decimal"/>
      <w:start w:val="1"/>
    </w:lvl>
    <w:lvl w:ilvl="1">
      <w:lvlJc w:val="left"/>
      <w:lvlText w:val="(%2)"/>
      <w:numFmt w:val="lowerLetter"/>
      <w:start w:val="6"/>
    </w:lvl>
  </w:abstractNum>
  <w:abstractNum w:abstractNumId="152">
    <w:nsid w:val="3F06ECB2"/>
    <w:multiLevelType w:val="hybridMultilevel"/>
    <w:lvl w:ilvl="0">
      <w:lvlJc w:val="left"/>
      <w:lvlText w:val="%1."/>
      <w:numFmt w:val="decimal"/>
      <w:start w:val="11"/>
    </w:lvl>
    <w:lvl w:ilvl="1">
      <w:lvlJc w:val="left"/>
      <w:lvlText w:val="%2"/>
      <w:numFmt w:val="lowerLetter"/>
      <w:start w:val="1"/>
    </w:lvl>
  </w:abstractNum>
  <w:abstractNum w:abstractNumId="153">
    <w:nsid w:val="3B594807"/>
    <w:multiLevelType w:val="hybridMultilevel"/>
    <w:lvl w:ilvl="0">
      <w:lvlJc w:val="left"/>
      <w:lvlText w:val="%1."/>
      <w:numFmt w:val="decimal"/>
      <w:start w:val="13"/>
    </w:lvl>
    <w:lvl w:ilvl="1">
      <w:lvlJc w:val="left"/>
      <w:lvlText w:val="(%2)"/>
      <w:numFmt w:val="lowerLetter"/>
      <w:start w:val="2"/>
    </w:lvl>
  </w:abstractNum>
  <w:abstractNum w:abstractNumId="154">
    <w:nsid w:val="6CAA2304"/>
    <w:multiLevelType w:val="hybridMultilevel"/>
    <w:lvl w:ilvl="0">
      <w:lvlJc w:val="left"/>
      <w:lvlText w:val="(%1)"/>
      <w:numFmt w:val="lowerLetter"/>
      <w:start w:val="3"/>
    </w:lvl>
  </w:abstractNum>
  <w:abstractNum w:abstractNumId="155">
    <w:nsid w:val="3F7C2FF4"/>
    <w:multiLevelType w:val="hybridMultilevel"/>
    <w:lvl w:ilvl="0">
      <w:lvlJc w:val="left"/>
      <w:lvlText w:val="%1."/>
      <w:numFmt w:val="decimal"/>
      <w:start w:val="14"/>
    </w:lvl>
    <w:lvl w:ilvl="1">
      <w:lvlJc w:val="left"/>
      <w:lvlText w:val="(%2)"/>
      <w:numFmt w:val="lowerLetter"/>
      <w:start w:val="1"/>
    </w:lvl>
  </w:abstractNum>
  <w:abstractNum w:abstractNumId="156">
    <w:nsid w:val="25413BEC"/>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2019-12-12T22:50:44Z</dcterms:created>
  <dcterms:modified xsi:type="dcterms:W3CDTF">2019-12-12T22:50:44Z</dcterms:modified>
</cp:coreProperties>
</file>