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6764-01_fwp.htm"/>
      <w:bookmarkStart w:id="1" w:name="ksea0306764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25,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3-Year RTY/SPX/SX5E Contingent Income Auto-Callable Securities, with 6-Month Initial Non-Call Period</w:t>
      </w:r>
    </w:p>
    <w:p>
      <w:pPr>
        <w:pStyle w:val="TextBody"/>
        <w:bidi w:val="0"/>
        <w:spacing w:before="0" w:after="60"/>
        <w:ind w:left="86" w:right="0" w:hanging="0"/>
        <w:jc w:val="left"/>
        <w:rPr>
          <w:rFonts w:ascii="Arial;Helvetica;Sans-Serif" w:hAnsi="Arial;Helvetica;Sans-Serif"/>
          <w:b/>
          <w:i/>
          <w:caps w:val="false"/>
          <w:smallCaps w:val="false"/>
          <w:sz w:val="14"/>
        </w:rPr>
      </w:pPr>
      <w:r>
        <w:rPr>
          <w:rFonts w:ascii="Arial;Helvetica;Sans-Serif" w:hAnsi="Arial;Helvetica;Sans-Serif"/>
          <w:b/>
          <w:i/>
          <w:caps w:val="false"/>
          <w:smallCaps w:val="false"/>
          <w:sz w:val="14"/>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52665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5266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162"/>
                              <w:gridCol w:w="2735"/>
                              <w:gridCol w:w="6308"/>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162"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9043" w:type="dxa"/>
                                  <w:gridSpan w:val="2"/>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9043" w:type="dxa"/>
                                  <w:gridSpan w:val="2"/>
                                  <w:tcBorders/>
                                  <w:shd w:fill="DCEBF4" w:val="clear"/>
                                  <w:vAlign w:val="center"/>
                                </w:tcPr>
                                <w:p>
                                  <w:pPr>
                                    <w:pStyle w:val="TableContents"/>
                                    <w:bidi w:val="0"/>
                                    <w:spacing w:before="0" w:after="283"/>
                                    <w:jc w:val="left"/>
                                    <w:rPr>
                                      <w:sz w:val="14"/>
                                    </w:rPr>
                                  </w:pPr>
                                  <w:r>
                                    <w:rPr>
                                      <w:sz w:val="14"/>
                                    </w:rPr>
                                    <w:t>JPMorgan Chase &amp; Co.</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Underlying indices: </w:t>
                                  </w:r>
                                </w:p>
                              </w:tc>
                              <w:tc>
                                <w:tcPr>
                                  <w:tcW w:w="9043" w:type="dxa"/>
                                  <w:gridSpan w:val="2"/>
                                  <w:tcBorders/>
                                  <w:vAlign w:val="center"/>
                                </w:tcPr>
                                <w:p>
                                  <w:pPr>
                                    <w:pStyle w:val="TableContents"/>
                                    <w:bidi w:val="0"/>
                                    <w:spacing w:before="0" w:after="283"/>
                                    <w:jc w:val="left"/>
                                    <w:rPr>
                                      <w:sz w:val="14"/>
                                    </w:rPr>
                                  </w:pPr>
                                  <w:r>
                                    <w:rPr>
                                      <w:sz w:val="14"/>
                                    </w:rPr>
                                    <w:t>Russell 2000</w:t>
                                  </w:r>
                                  <w:r>
                                    <w:rPr>
                                      <w:position w:val="5"/>
                                      <w:sz w:val="11"/>
                                      <w:sz w:val="14"/>
                                    </w:rPr>
                                    <w:t>®</w:t>
                                  </w:r>
                                  <w:r>
                                    <w:rPr>
                                      <w:sz w:val="14"/>
                                    </w:rPr>
                                    <w:t xml:space="preserve"> Index (Bloomberg ticker: RTY Index) (the “RTY Index”), S&amp;P 500</w:t>
                                  </w:r>
                                  <w:r>
                                    <w:rPr>
                                      <w:position w:val="5"/>
                                      <w:sz w:val="11"/>
                                      <w:sz w:val="14"/>
                                    </w:rPr>
                                    <w:t>®</w:t>
                                  </w:r>
                                  <w:r>
                                    <w:rPr>
                                      <w:sz w:val="14"/>
                                    </w:rPr>
                                    <w:t xml:space="preserve"> Index (Bloomberg ticker: SPX Index) (the “SPX Index”) and EURO STOXX 50</w:t>
                                  </w:r>
                                  <w:r>
                                    <w:rPr>
                                      <w:position w:val="5"/>
                                      <w:sz w:val="11"/>
                                      <w:sz w:val="14"/>
                                    </w:rPr>
                                    <w:t>®</w:t>
                                  </w:r>
                                  <w:r>
                                    <w:rPr>
                                      <w:sz w:val="14"/>
                                    </w:rPr>
                                    <w:t xml:space="preserve"> Index (Bloomberg ticker: SX5E Index) (the “SX5E Index”) (each, an “underlying index”)</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w:t>
                                  </w:r>
                                </w:p>
                              </w:tc>
                              <w:tc>
                                <w:tcPr>
                                  <w:tcW w:w="9043" w:type="dxa"/>
                                  <w:gridSpan w:val="2"/>
                                  <w:tcBorders/>
                                  <w:shd w:fill="DCEBF4" w:val="clear"/>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on any of the determination dates (other than the first and final determination dates), the closing level of each underlying index is greater than or equal to its initial index value,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20" w:after="40"/>
                                    <w:ind w:left="20" w:right="2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The securities will not be redeemed early on any contingent payment date if the closing level of any underlying index is below its initial index value on the related determination date.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payment: </w:t>
                                  </w:r>
                                </w:p>
                              </w:tc>
                              <w:tc>
                                <w:tcPr>
                                  <w:tcW w:w="9043" w:type="dxa"/>
                                  <w:gridSpan w:val="2"/>
                                  <w:tcBorders/>
                                  <w:vAlign w:val="center"/>
                                </w:tcPr>
                                <w:p>
                                  <w:pPr>
                                    <w:pStyle w:val="TableContents"/>
                                    <w:bidi w:val="0"/>
                                    <w:spacing w:before="0" w:after="283"/>
                                    <w:jc w:val="left"/>
                                    <w:rPr>
                                      <w:sz w:val="14"/>
                                    </w:rPr>
                                  </w:pPr>
                                  <w:r>
                                    <w:rPr>
                                      <w:sz w:val="14"/>
                                    </w:rPr>
                                    <w:t xml:space="preserve">The early redemption payment will be an amount equal to (i) the stated principal amount </w:t>
                                  </w:r>
                                  <w:r>
                                    <w:rPr>
                                      <w:i/>
                                      <w:sz w:val="14"/>
                                    </w:rPr>
                                    <w:t>plus</w:t>
                                  </w:r>
                                  <w:r>
                                    <w:rPr>
                                      <w:sz w:val="14"/>
                                    </w:rPr>
                                    <w:t xml:space="preserve"> (ii) any contingent quarterly payment otherwise due with respect to the related quarterly monitoring period.</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quarterly payment:</w:t>
                                  </w:r>
                                </w:p>
                              </w:tc>
                              <w:tc>
                                <w:tcPr>
                                  <w:tcW w:w="9043" w:type="dxa"/>
                                  <w:gridSpan w:val="2"/>
                                  <w:tcBorders/>
                                  <w:shd w:fill="DCEBF4" w:val="clear"/>
                                  <w:vAlign w:val="center"/>
                                </w:tcPr>
                                <w:p>
                                  <w:pPr>
                                    <w:pStyle w:val="TableContents"/>
                                    <w:bidi w:val="0"/>
                                    <w:spacing w:before="20" w:after="40"/>
                                    <w:ind w:left="360" w:right="0" w:hanging="360"/>
                                    <w:jc w:val="left"/>
                                    <w:rPr>
                                      <w:rFonts w:ascii="Arial;Helvetica;Sans-Serif" w:hAnsi="Arial;Helvetica;Sans-Serif"/>
                                      <w:b w:val="false"/>
                                      <w:i w:val="false"/>
                                      <w:caps w:val="false"/>
                                      <w:smallCaps w:val="false"/>
                                      <w:sz w:val="14"/>
                                    </w:rPr>
                                  </w:pPr>
                                  <w:r>
                                    <w:rPr>
                                      <w:rFonts w:ascii="Symbol" w:hAnsi="Symbol"/>
                                      <w:b w:val="false"/>
                                      <w:i w:val="false"/>
                                      <w:caps w:val="false"/>
                                      <w:smallCaps w:val="false"/>
                                      <w:sz w:val="14"/>
                                    </w:rPr>
                                    <w:t>·</w:t>
                                  </w:r>
                                  <w:r>
                                    <w:rPr>
                                      <w:rFonts w:ascii="Arial;Helvetica;Sans-Serif" w:hAnsi="Arial;Helvetica;Sans-Serif"/>
                                      <w:b w:val="false"/>
                                      <w:i w:val="false"/>
                                      <w:caps w:val="false"/>
                                      <w:smallCaps w:val="false"/>
                                      <w:sz w:val="14"/>
                                    </w:rPr>
                                    <w:t>       If the closing level of each underlying index is greater than or equal to its coupon barrier level on each day during a quarterly monitoring period, we will pay a contingent quarterly payment of at least $25.25 (at least 2.525% of the stated principal amount) per security on the related contingent payment date. The actual contingent quarterly payment will be provided in the pricing supplement.</w:t>
                                  </w:r>
                                </w:p>
                                <w:p>
                                  <w:pPr>
                                    <w:pStyle w:val="TableContents"/>
                                    <w:bidi w:val="0"/>
                                    <w:spacing w:before="20" w:after="40"/>
                                    <w:ind w:left="360" w:right="0" w:hanging="36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4"/>
                                    </w:rPr>
                                    <w:t>If the closing level of any underlying index is less than its coupon barrier level on any day during a quarterly monitoring period, no contingent quarterly payment will be payable with respect to that quarterly monitoring period. 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r>
                              <w:trPr/>
                              <w:tc>
                                <w:tcPr>
                                  <w:tcW w:w="1162" w:type="dxa"/>
                                  <w:tcBorders/>
                                  <w:vAlign w:val="center"/>
                                </w:tcPr>
                                <w:p>
                                  <w:pPr>
                                    <w:pStyle w:val="TableContents"/>
                                    <w:bidi w:val="0"/>
                                    <w:spacing w:before="0" w:after="283"/>
                                    <w:ind w:left="0" w:right="0" w:hanging="147"/>
                                    <w:jc w:val="left"/>
                                    <w:rPr>
                                      <w:rFonts w:ascii="Arial;Helvetica;Sans-Serif" w:hAnsi="Arial;Helvetica;Sans-Serif"/>
                                      <w:b/>
                                      <w:color w:val="296DC1"/>
                                      <w:sz w:val="14"/>
                                    </w:rPr>
                                  </w:pPr>
                                  <w:r>
                                    <w:rPr>
                                      <w:rFonts w:ascii="Arial;Helvetica;Sans-Serif" w:hAnsi="Arial;Helvetica;Sans-Serif"/>
                                      <w:b/>
                                      <w:color w:val="296DC1"/>
                                      <w:sz w:val="14"/>
                                    </w:rPr>
                                    <w:t>Payment at maturity:</w:t>
                                  </w:r>
                                </w:p>
                              </w:tc>
                              <w:tc>
                                <w:tcPr>
                                  <w:tcW w:w="2735" w:type="dxa"/>
                                  <w:tcBorders/>
                                  <w:vAlign w:val="center"/>
                                </w:tcPr>
                                <w:p>
                                  <w:pPr>
                                    <w:pStyle w:val="TableContents"/>
                                    <w:bidi w:val="0"/>
                                    <w:spacing w:before="0" w:after="283"/>
                                    <w:jc w:val="left"/>
                                    <w:rPr>
                                      <w:sz w:val="17"/>
                                    </w:rPr>
                                  </w:pPr>
                                  <w:r>
                                    <w:rPr>
                                      <w:rFonts w:ascii="Symbol" w:hAnsi="Symbol"/>
                                      <w:sz w:val="14"/>
                                    </w:rPr>
                                    <w:t>·</w:t>
                                  </w:r>
                                  <w:r>
                                    <w:rPr>
                                      <w:sz w:val="17"/>
                                    </w:rPr>
                                    <w:t>  </w:t>
                                  </w:r>
                                  <w:r>
                                    <w:rPr>
                                      <w:sz w:val="14"/>
                                    </w:rPr>
                                    <w:t xml:space="preserve">If the final index value of </w:t>
                                  </w:r>
                                  <w:r>
                                    <w:rPr>
                                      <w:b/>
                                      <w:sz w:val="14"/>
                                    </w:rPr>
                                    <w:t>each</w:t>
                                  </w:r>
                                  <w:r>
                                    <w:rPr>
                                      <w:sz w:val="14"/>
                                    </w:rPr>
                                    <w:t xml:space="preserve"> underlying index is </w:t>
                                  </w:r>
                                  <w:r>
                                    <w:rPr>
                                      <w:b/>
                                      <w:sz w:val="14"/>
                                    </w:rPr>
                                    <w:t>greater than or equal to</w:t>
                                  </w:r>
                                  <w:r>
                                    <w:rPr>
                                      <w:sz w:val="14"/>
                                    </w:rPr>
                                    <w:t xml:space="preserve"> its downside threshold level:</w:t>
                                  </w:r>
                                </w:p>
                              </w:tc>
                              <w:tc>
                                <w:tcPr>
                                  <w:tcW w:w="6308" w:type="dxa"/>
                                  <w:tcBorders/>
                                  <w:vAlign w:val="center"/>
                                </w:tcPr>
                                <w:p>
                                  <w:pPr>
                                    <w:pStyle w:val="TableContents"/>
                                    <w:bidi w:val="0"/>
                                    <w:spacing w:before="0" w:after="283"/>
                                    <w:jc w:val="left"/>
                                    <w:rPr>
                                      <w:sz w:val="14"/>
                                    </w:rPr>
                                  </w:pPr>
                                  <w:r>
                                    <w:rPr>
                                      <w:sz w:val="14"/>
                                    </w:rPr>
                                    <w:t xml:space="preserve">(i) the stated principal amount </w:t>
                                  </w:r>
                                  <w:r>
                                    <w:rPr>
                                      <w:i/>
                                      <w:sz w:val="14"/>
                                    </w:rPr>
                                    <w:t xml:space="preserve">plus, </w:t>
                                  </w:r>
                                  <w:r>
                                    <w:rPr>
                                      <w:sz w:val="14"/>
                                    </w:rPr>
                                    <w:t>(ii)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1162" w:type="dxa"/>
                                  <w:tcBorders/>
                                  <w:vAlign w:val="center"/>
                                </w:tcPr>
                                <w:p>
                                  <w:pPr>
                                    <w:pStyle w:val="TableContents"/>
                                    <w:bidi w:val="0"/>
                                    <w:spacing w:before="0" w:after="283"/>
                                    <w:ind w:left="0" w:right="0" w:hanging="147"/>
                                    <w:jc w:val="left"/>
                                    <w:rPr>
                                      <w:color w:val="296DC1"/>
                                    </w:rPr>
                                  </w:pPr>
                                  <w:r>
                                    <w:rPr>
                                      <w:color w:val="296DC1"/>
                                    </w:rPr>
                                    <w:t> </w:t>
                                  </w:r>
                                </w:p>
                              </w:tc>
                              <w:tc>
                                <w:tcPr>
                                  <w:tcW w:w="2735" w:type="dxa"/>
                                  <w:tcBorders/>
                                  <w:vAlign w:val="center"/>
                                </w:tcPr>
                                <w:p>
                                  <w:pPr>
                                    <w:pStyle w:val="TableContents"/>
                                    <w:bidi w:val="0"/>
                                    <w:spacing w:before="0" w:after="283"/>
                                    <w:jc w:val="left"/>
                                    <w:rPr>
                                      <w:sz w:val="17"/>
                                    </w:rPr>
                                  </w:pPr>
                                  <w:r>
                                    <w:rPr>
                                      <w:rFonts w:ascii="Symbol" w:hAnsi="Symbol"/>
                                      <w:sz w:val="14"/>
                                    </w:rPr>
                                    <w:t>·</w:t>
                                  </w:r>
                                  <w:r>
                                    <w:rPr>
                                      <w:sz w:val="17"/>
                                    </w:rPr>
                                    <w:t>  </w:t>
                                  </w:r>
                                  <w:r>
                                    <w:rPr>
                                      <w:sz w:val="14"/>
                                    </w:rPr>
                                    <w:t xml:space="preserve">If the final index value of </w:t>
                                  </w:r>
                                  <w:r>
                                    <w:rPr>
                                      <w:b/>
                                      <w:sz w:val="14"/>
                                    </w:rPr>
                                    <w:t>any</w:t>
                                  </w:r>
                                  <w:r>
                                    <w:rPr>
                                      <w:sz w:val="14"/>
                                    </w:rPr>
                                    <w:t xml:space="preserve"> underlying index is </w:t>
                                  </w:r>
                                  <w:r>
                                    <w:rPr>
                                      <w:b/>
                                      <w:sz w:val="14"/>
                                    </w:rPr>
                                    <w:t>less than</w:t>
                                  </w:r>
                                  <w:r>
                                    <w:rPr>
                                      <w:sz w:val="14"/>
                                    </w:rPr>
                                    <w:t xml:space="preserve"> its downside threshold level:</w:t>
                                  </w:r>
                                </w:p>
                              </w:tc>
                              <w:tc>
                                <w:tcPr>
                                  <w:tcW w:w="6308" w:type="dxa"/>
                                  <w:tcBorders/>
                                  <w:vAlign w:val="center"/>
                                </w:tcPr>
                                <w:p>
                                  <w:pPr>
                                    <w:pStyle w:val="TableContents"/>
                                    <w:bidi w:val="0"/>
                                    <w:spacing w:before="0" w:after="283"/>
                                    <w:jc w:val="left"/>
                                    <w:rPr>
                                      <w:sz w:val="14"/>
                                    </w:rPr>
                                  </w:pPr>
                                  <w:r>
                                    <w:rPr>
                                      <w:sz w:val="14"/>
                                    </w:rPr>
                                    <w:t xml:space="preserve">(i) the stated principal amount </w:t>
                                  </w:r>
                                  <w:r>
                                    <w:rPr>
                                      <w:i/>
                                      <w:sz w:val="14"/>
                                    </w:rPr>
                                    <w:t>times</w:t>
                                  </w:r>
                                  <w:r>
                                    <w:rPr>
                                      <w:sz w:val="14"/>
                                    </w:rPr>
                                    <w:t xml:space="preserve"> (ii) the index performance factor of the worst performing underlying index.  This cash payment will be less than 65% of the stated principal amount of the securities and could be zero.</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Coupon barrier level:</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Downside threshold level:</w:t>
                                  </w:r>
                                </w:p>
                              </w:tc>
                              <w:tc>
                                <w:tcPr>
                                  <w:tcW w:w="9043" w:type="dxa"/>
                                  <w:gridSpan w:val="2"/>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Quarterly monitoring period:</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Initial index value:</w:t>
                                  </w:r>
                                </w:p>
                              </w:tc>
                              <w:tc>
                                <w:tcPr>
                                  <w:tcW w:w="9043" w:type="dxa"/>
                                  <w:gridSpan w:val="2"/>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Final index value:</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162"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Worst performing underlying index:</w:t>
                                  </w:r>
                                </w:p>
                              </w:tc>
                              <w:tc>
                                <w:tcPr>
                                  <w:tcW w:w="9043" w:type="dxa"/>
                                  <w:gridSpan w:val="2"/>
                                  <w:tcBorders/>
                                  <w:shd w:fill="FFFFFF" w:val="clear"/>
                                  <w:vAlign w:val="center"/>
                                </w:tcPr>
                                <w:p>
                                  <w:pPr>
                                    <w:pStyle w:val="TableContents"/>
                                    <w:bidi w:val="0"/>
                                    <w:spacing w:before="0" w:after="283"/>
                                    <w:jc w:val="left"/>
                                    <w:rPr>
                                      <w:sz w:val="15"/>
                                    </w:rPr>
                                  </w:pPr>
                                  <w:r>
                                    <w:rPr>
                                      <w:sz w:val="15"/>
                                    </w:rPr>
                                    <w:t>The underlying index with the worst index performance factor</w:t>
                                  </w:r>
                                </w:p>
                              </w:tc>
                            </w:tr>
                          </w:tbl>
                          <w:tbl>
                            <w:tblPr>
                              <w:tblW w:w="7300" w:type="dxa"/>
                              <w:jc w:val="left"/>
                              <w:tblInd w:w="0" w:type="dxa"/>
                              <w:tblLayout w:type="fixed"/>
                              <w:tblCellMar>
                                <w:top w:w="0" w:type="dxa"/>
                                <w:left w:w="0" w:type="dxa"/>
                                <w:bottom w:w="0" w:type="dxa"/>
                                <w:right w:w="0" w:type="dxa"/>
                              </w:tblCellMar>
                            </w:tblPr>
                            <w:tblGrid>
                              <w:gridCol w:w="1700"/>
                              <w:gridCol w:w="5600"/>
                            </w:tblGrid>
                            <w:tr>
                              <w:trPr/>
                              <w:tc>
                                <w:tcPr>
                                  <w:tcW w:w="1700"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170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2.6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162"/>
                        <w:gridCol w:w="2735"/>
                        <w:gridCol w:w="6308"/>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162"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9043" w:type="dxa"/>
                            <w:gridSpan w:val="2"/>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9043" w:type="dxa"/>
                            <w:gridSpan w:val="2"/>
                            <w:tcBorders/>
                            <w:shd w:fill="DCEBF4" w:val="clear"/>
                            <w:vAlign w:val="center"/>
                          </w:tcPr>
                          <w:p>
                            <w:pPr>
                              <w:pStyle w:val="TableContents"/>
                              <w:bidi w:val="0"/>
                              <w:spacing w:before="0" w:after="283"/>
                              <w:jc w:val="left"/>
                              <w:rPr>
                                <w:sz w:val="14"/>
                              </w:rPr>
                            </w:pPr>
                            <w:r>
                              <w:rPr>
                                <w:sz w:val="14"/>
                              </w:rPr>
                              <w:t>JPMorgan Chase &amp; Co.</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Underlying indices: </w:t>
                            </w:r>
                          </w:p>
                        </w:tc>
                        <w:tc>
                          <w:tcPr>
                            <w:tcW w:w="9043" w:type="dxa"/>
                            <w:gridSpan w:val="2"/>
                            <w:tcBorders/>
                            <w:vAlign w:val="center"/>
                          </w:tcPr>
                          <w:p>
                            <w:pPr>
                              <w:pStyle w:val="TableContents"/>
                              <w:bidi w:val="0"/>
                              <w:spacing w:before="0" w:after="283"/>
                              <w:jc w:val="left"/>
                              <w:rPr>
                                <w:sz w:val="14"/>
                              </w:rPr>
                            </w:pPr>
                            <w:r>
                              <w:rPr>
                                <w:sz w:val="14"/>
                              </w:rPr>
                              <w:t>Russell 2000</w:t>
                            </w:r>
                            <w:r>
                              <w:rPr>
                                <w:position w:val="5"/>
                                <w:sz w:val="11"/>
                                <w:sz w:val="14"/>
                              </w:rPr>
                              <w:t>®</w:t>
                            </w:r>
                            <w:r>
                              <w:rPr>
                                <w:sz w:val="14"/>
                              </w:rPr>
                              <w:t xml:space="preserve"> Index (Bloomberg ticker: RTY Index) (the “RTY Index”), S&amp;P 500</w:t>
                            </w:r>
                            <w:r>
                              <w:rPr>
                                <w:position w:val="5"/>
                                <w:sz w:val="11"/>
                                <w:sz w:val="14"/>
                              </w:rPr>
                              <w:t>®</w:t>
                            </w:r>
                            <w:r>
                              <w:rPr>
                                <w:sz w:val="14"/>
                              </w:rPr>
                              <w:t xml:space="preserve"> Index (Bloomberg ticker: SPX Index) (the “SPX Index”) and EURO STOXX 50</w:t>
                            </w:r>
                            <w:r>
                              <w:rPr>
                                <w:position w:val="5"/>
                                <w:sz w:val="11"/>
                                <w:sz w:val="14"/>
                              </w:rPr>
                              <w:t>®</w:t>
                            </w:r>
                            <w:r>
                              <w:rPr>
                                <w:sz w:val="14"/>
                              </w:rPr>
                              <w:t xml:space="preserve"> Index (Bloomberg ticker: SX5E Index) (the “SX5E Index”) (each, an “underlying index”)</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w:t>
                            </w:r>
                          </w:p>
                        </w:tc>
                        <w:tc>
                          <w:tcPr>
                            <w:tcW w:w="9043" w:type="dxa"/>
                            <w:gridSpan w:val="2"/>
                            <w:tcBorders/>
                            <w:shd w:fill="DCEBF4" w:val="clear"/>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on any of the determination dates (other than the first and final determination dates), the closing level of each underlying index is greater than or equal to its initial index value,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20" w:after="40"/>
                              <w:ind w:left="20" w:right="2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The securities will not be redeemed early on any contingent payment date if the closing level of any underlying index is below its initial index value on the related determination date.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payment: </w:t>
                            </w:r>
                          </w:p>
                        </w:tc>
                        <w:tc>
                          <w:tcPr>
                            <w:tcW w:w="9043" w:type="dxa"/>
                            <w:gridSpan w:val="2"/>
                            <w:tcBorders/>
                            <w:vAlign w:val="center"/>
                          </w:tcPr>
                          <w:p>
                            <w:pPr>
                              <w:pStyle w:val="TableContents"/>
                              <w:bidi w:val="0"/>
                              <w:spacing w:before="0" w:after="283"/>
                              <w:jc w:val="left"/>
                              <w:rPr>
                                <w:sz w:val="14"/>
                              </w:rPr>
                            </w:pPr>
                            <w:r>
                              <w:rPr>
                                <w:sz w:val="14"/>
                              </w:rPr>
                              <w:t xml:space="preserve">The early redemption payment will be an amount equal to (i) the stated principal amount </w:t>
                            </w:r>
                            <w:r>
                              <w:rPr>
                                <w:i/>
                                <w:sz w:val="14"/>
                              </w:rPr>
                              <w:t>plus</w:t>
                            </w:r>
                            <w:r>
                              <w:rPr>
                                <w:sz w:val="14"/>
                              </w:rPr>
                              <w:t xml:space="preserve"> (ii) any contingent quarterly payment otherwise due with respect to the related quarterly monitoring period.</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quarterly payment:</w:t>
                            </w:r>
                          </w:p>
                        </w:tc>
                        <w:tc>
                          <w:tcPr>
                            <w:tcW w:w="9043" w:type="dxa"/>
                            <w:gridSpan w:val="2"/>
                            <w:tcBorders/>
                            <w:shd w:fill="DCEBF4" w:val="clear"/>
                            <w:vAlign w:val="center"/>
                          </w:tcPr>
                          <w:p>
                            <w:pPr>
                              <w:pStyle w:val="TableContents"/>
                              <w:bidi w:val="0"/>
                              <w:spacing w:before="20" w:after="40"/>
                              <w:ind w:left="360" w:right="0" w:hanging="360"/>
                              <w:jc w:val="left"/>
                              <w:rPr>
                                <w:rFonts w:ascii="Arial;Helvetica;Sans-Serif" w:hAnsi="Arial;Helvetica;Sans-Serif"/>
                                <w:b w:val="false"/>
                                <w:i w:val="false"/>
                                <w:caps w:val="false"/>
                                <w:smallCaps w:val="false"/>
                                <w:sz w:val="14"/>
                              </w:rPr>
                            </w:pPr>
                            <w:r>
                              <w:rPr>
                                <w:rFonts w:ascii="Symbol" w:hAnsi="Symbol"/>
                                <w:b w:val="false"/>
                                <w:i w:val="false"/>
                                <w:caps w:val="false"/>
                                <w:smallCaps w:val="false"/>
                                <w:sz w:val="14"/>
                              </w:rPr>
                              <w:t>·</w:t>
                            </w:r>
                            <w:r>
                              <w:rPr>
                                <w:rFonts w:ascii="Arial;Helvetica;Sans-Serif" w:hAnsi="Arial;Helvetica;Sans-Serif"/>
                                <w:b w:val="false"/>
                                <w:i w:val="false"/>
                                <w:caps w:val="false"/>
                                <w:smallCaps w:val="false"/>
                                <w:sz w:val="14"/>
                              </w:rPr>
                              <w:t>       If the closing level of each underlying index is greater than or equal to its coupon barrier level on each day during a quarterly monitoring period, we will pay a contingent quarterly payment of at least $25.25 (at least 2.525% of the stated principal amount) per security on the related contingent payment date. The actual contingent quarterly payment will be provided in the pricing supplement.</w:t>
                            </w:r>
                          </w:p>
                          <w:p>
                            <w:pPr>
                              <w:pStyle w:val="TableContents"/>
                              <w:bidi w:val="0"/>
                              <w:spacing w:before="20" w:after="40"/>
                              <w:ind w:left="360" w:right="0" w:hanging="36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4"/>
                              </w:rPr>
                              <w:t>If the closing level of any underlying index is less than its coupon barrier level on any day during a quarterly monitoring period, no contingent quarterly payment will be payable with respect to that quarterly monitoring period. 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r>
                        <w:trPr/>
                        <w:tc>
                          <w:tcPr>
                            <w:tcW w:w="1162" w:type="dxa"/>
                            <w:tcBorders/>
                            <w:vAlign w:val="center"/>
                          </w:tcPr>
                          <w:p>
                            <w:pPr>
                              <w:pStyle w:val="TableContents"/>
                              <w:bidi w:val="0"/>
                              <w:spacing w:before="0" w:after="283"/>
                              <w:ind w:left="0" w:right="0" w:hanging="147"/>
                              <w:jc w:val="left"/>
                              <w:rPr>
                                <w:rFonts w:ascii="Arial;Helvetica;Sans-Serif" w:hAnsi="Arial;Helvetica;Sans-Serif"/>
                                <w:b/>
                                <w:color w:val="296DC1"/>
                                <w:sz w:val="14"/>
                              </w:rPr>
                            </w:pPr>
                            <w:r>
                              <w:rPr>
                                <w:rFonts w:ascii="Arial;Helvetica;Sans-Serif" w:hAnsi="Arial;Helvetica;Sans-Serif"/>
                                <w:b/>
                                <w:color w:val="296DC1"/>
                                <w:sz w:val="14"/>
                              </w:rPr>
                              <w:t>Payment at maturity:</w:t>
                            </w:r>
                          </w:p>
                        </w:tc>
                        <w:tc>
                          <w:tcPr>
                            <w:tcW w:w="2735" w:type="dxa"/>
                            <w:tcBorders/>
                            <w:vAlign w:val="center"/>
                          </w:tcPr>
                          <w:p>
                            <w:pPr>
                              <w:pStyle w:val="TableContents"/>
                              <w:bidi w:val="0"/>
                              <w:spacing w:before="0" w:after="283"/>
                              <w:jc w:val="left"/>
                              <w:rPr>
                                <w:sz w:val="17"/>
                              </w:rPr>
                            </w:pPr>
                            <w:r>
                              <w:rPr>
                                <w:rFonts w:ascii="Symbol" w:hAnsi="Symbol"/>
                                <w:sz w:val="14"/>
                              </w:rPr>
                              <w:t>·</w:t>
                            </w:r>
                            <w:r>
                              <w:rPr>
                                <w:sz w:val="17"/>
                              </w:rPr>
                              <w:t>  </w:t>
                            </w:r>
                            <w:r>
                              <w:rPr>
                                <w:sz w:val="14"/>
                              </w:rPr>
                              <w:t xml:space="preserve">If the final index value of </w:t>
                            </w:r>
                            <w:r>
                              <w:rPr>
                                <w:b/>
                                <w:sz w:val="14"/>
                              </w:rPr>
                              <w:t>each</w:t>
                            </w:r>
                            <w:r>
                              <w:rPr>
                                <w:sz w:val="14"/>
                              </w:rPr>
                              <w:t xml:space="preserve"> underlying index is </w:t>
                            </w:r>
                            <w:r>
                              <w:rPr>
                                <w:b/>
                                <w:sz w:val="14"/>
                              </w:rPr>
                              <w:t>greater than or equal to</w:t>
                            </w:r>
                            <w:r>
                              <w:rPr>
                                <w:sz w:val="14"/>
                              </w:rPr>
                              <w:t xml:space="preserve"> its downside threshold level:</w:t>
                            </w:r>
                          </w:p>
                        </w:tc>
                        <w:tc>
                          <w:tcPr>
                            <w:tcW w:w="6308" w:type="dxa"/>
                            <w:tcBorders/>
                            <w:vAlign w:val="center"/>
                          </w:tcPr>
                          <w:p>
                            <w:pPr>
                              <w:pStyle w:val="TableContents"/>
                              <w:bidi w:val="0"/>
                              <w:spacing w:before="0" w:after="283"/>
                              <w:jc w:val="left"/>
                              <w:rPr>
                                <w:sz w:val="14"/>
                              </w:rPr>
                            </w:pPr>
                            <w:r>
                              <w:rPr>
                                <w:sz w:val="14"/>
                              </w:rPr>
                              <w:t xml:space="preserve">(i) the stated principal amount </w:t>
                            </w:r>
                            <w:r>
                              <w:rPr>
                                <w:i/>
                                <w:sz w:val="14"/>
                              </w:rPr>
                              <w:t xml:space="preserve">plus, </w:t>
                            </w:r>
                            <w:r>
                              <w:rPr>
                                <w:sz w:val="14"/>
                              </w:rPr>
                              <w:t>(ii)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1162" w:type="dxa"/>
                            <w:tcBorders/>
                            <w:vAlign w:val="center"/>
                          </w:tcPr>
                          <w:p>
                            <w:pPr>
                              <w:pStyle w:val="TableContents"/>
                              <w:bidi w:val="0"/>
                              <w:spacing w:before="0" w:after="283"/>
                              <w:ind w:left="0" w:right="0" w:hanging="147"/>
                              <w:jc w:val="left"/>
                              <w:rPr>
                                <w:color w:val="296DC1"/>
                              </w:rPr>
                            </w:pPr>
                            <w:r>
                              <w:rPr>
                                <w:color w:val="296DC1"/>
                              </w:rPr>
                              <w:t> </w:t>
                            </w:r>
                          </w:p>
                        </w:tc>
                        <w:tc>
                          <w:tcPr>
                            <w:tcW w:w="2735" w:type="dxa"/>
                            <w:tcBorders/>
                            <w:vAlign w:val="center"/>
                          </w:tcPr>
                          <w:p>
                            <w:pPr>
                              <w:pStyle w:val="TableContents"/>
                              <w:bidi w:val="0"/>
                              <w:spacing w:before="0" w:after="283"/>
                              <w:jc w:val="left"/>
                              <w:rPr>
                                <w:sz w:val="17"/>
                              </w:rPr>
                            </w:pPr>
                            <w:r>
                              <w:rPr>
                                <w:rFonts w:ascii="Symbol" w:hAnsi="Symbol"/>
                                <w:sz w:val="14"/>
                              </w:rPr>
                              <w:t>·</w:t>
                            </w:r>
                            <w:r>
                              <w:rPr>
                                <w:sz w:val="17"/>
                              </w:rPr>
                              <w:t>  </w:t>
                            </w:r>
                            <w:r>
                              <w:rPr>
                                <w:sz w:val="14"/>
                              </w:rPr>
                              <w:t xml:space="preserve">If the final index value of </w:t>
                            </w:r>
                            <w:r>
                              <w:rPr>
                                <w:b/>
                                <w:sz w:val="14"/>
                              </w:rPr>
                              <w:t>any</w:t>
                            </w:r>
                            <w:r>
                              <w:rPr>
                                <w:sz w:val="14"/>
                              </w:rPr>
                              <w:t xml:space="preserve"> underlying index is </w:t>
                            </w:r>
                            <w:r>
                              <w:rPr>
                                <w:b/>
                                <w:sz w:val="14"/>
                              </w:rPr>
                              <w:t>less than</w:t>
                            </w:r>
                            <w:r>
                              <w:rPr>
                                <w:sz w:val="14"/>
                              </w:rPr>
                              <w:t xml:space="preserve"> its downside threshold level:</w:t>
                            </w:r>
                          </w:p>
                        </w:tc>
                        <w:tc>
                          <w:tcPr>
                            <w:tcW w:w="6308" w:type="dxa"/>
                            <w:tcBorders/>
                            <w:vAlign w:val="center"/>
                          </w:tcPr>
                          <w:p>
                            <w:pPr>
                              <w:pStyle w:val="TableContents"/>
                              <w:bidi w:val="0"/>
                              <w:spacing w:before="0" w:after="283"/>
                              <w:jc w:val="left"/>
                              <w:rPr>
                                <w:sz w:val="14"/>
                              </w:rPr>
                            </w:pPr>
                            <w:r>
                              <w:rPr>
                                <w:sz w:val="14"/>
                              </w:rPr>
                              <w:t xml:space="preserve">(i) the stated principal amount </w:t>
                            </w:r>
                            <w:r>
                              <w:rPr>
                                <w:i/>
                                <w:sz w:val="14"/>
                              </w:rPr>
                              <w:t>times</w:t>
                            </w:r>
                            <w:r>
                              <w:rPr>
                                <w:sz w:val="14"/>
                              </w:rPr>
                              <w:t xml:space="preserve"> (ii) the index performance factor of the worst performing underlying index.  This cash payment will be less than 65% of the stated principal amount of the securities and could be zero.</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Coupon barrier level:</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Downside threshold level:</w:t>
                            </w:r>
                          </w:p>
                        </w:tc>
                        <w:tc>
                          <w:tcPr>
                            <w:tcW w:w="9043" w:type="dxa"/>
                            <w:gridSpan w:val="2"/>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Quarterly monitoring period:</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16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Initial index value:</w:t>
                            </w:r>
                          </w:p>
                        </w:tc>
                        <w:tc>
                          <w:tcPr>
                            <w:tcW w:w="9043" w:type="dxa"/>
                            <w:gridSpan w:val="2"/>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162"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Final index value:</w:t>
                            </w:r>
                          </w:p>
                        </w:tc>
                        <w:tc>
                          <w:tcPr>
                            <w:tcW w:w="9043"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162"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Worst performing underlying index:</w:t>
                            </w:r>
                          </w:p>
                        </w:tc>
                        <w:tc>
                          <w:tcPr>
                            <w:tcW w:w="9043" w:type="dxa"/>
                            <w:gridSpan w:val="2"/>
                            <w:tcBorders/>
                            <w:shd w:fill="FFFFFF" w:val="clear"/>
                            <w:vAlign w:val="center"/>
                          </w:tcPr>
                          <w:p>
                            <w:pPr>
                              <w:pStyle w:val="TableContents"/>
                              <w:bidi w:val="0"/>
                              <w:spacing w:before="0" w:after="283"/>
                              <w:jc w:val="left"/>
                              <w:rPr>
                                <w:sz w:val="15"/>
                              </w:rPr>
                            </w:pPr>
                            <w:r>
                              <w:rPr>
                                <w:sz w:val="15"/>
                              </w:rPr>
                              <w:t>The underlying index with the worst index performance factor</w:t>
                            </w:r>
                          </w:p>
                        </w:tc>
                      </w:tr>
                    </w:tbl>
                    <w:tbl>
                      <w:tblPr>
                        <w:tblW w:w="7300" w:type="dxa"/>
                        <w:jc w:val="left"/>
                        <w:tblInd w:w="0" w:type="dxa"/>
                        <w:tblLayout w:type="fixed"/>
                        <w:tblCellMar>
                          <w:top w:w="0" w:type="dxa"/>
                          <w:left w:w="0" w:type="dxa"/>
                          <w:bottom w:w="0" w:type="dxa"/>
                          <w:right w:w="0" w:type="dxa"/>
                        </w:tblCellMar>
                      </w:tblPr>
                      <w:tblGrid>
                        <w:gridCol w:w="1700"/>
                        <w:gridCol w:w="5600"/>
                      </w:tblGrid>
                      <w:tr>
                        <w:trPr/>
                        <w:tc>
                          <w:tcPr>
                            <w:tcW w:w="1700"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170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83678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8367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18"/>
                              <w:gridCol w:w="8387"/>
                            </w:tblGrid>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387" w:type="dxa"/>
                                  <w:tcBorders/>
                                  <w:shd w:fill="DCEBF4" w:val="clear"/>
                                  <w:vAlign w:val="center"/>
                                </w:tcPr>
                                <w:p>
                                  <w:pPr>
                                    <w:pStyle w:val="TableContents"/>
                                    <w:bidi w:val="0"/>
                                    <w:spacing w:before="0" w:after="283"/>
                                    <w:jc w:val="left"/>
                                    <w:rPr>
                                      <w:sz w:val="15"/>
                                    </w:rPr>
                                  </w:pPr>
                                  <w:r>
                                    <w:rPr>
                                      <w:sz w:val="15"/>
                                    </w:rPr>
                                    <w:t>$1,000 per security</w:t>
                                  </w:r>
                                </w:p>
                              </w:tc>
                            </w:tr>
                            <w:tr>
                              <w:trPr/>
                              <w:tc>
                                <w:tcPr>
                                  <w:tcW w:w="181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387" w:type="dxa"/>
                                  <w:tcBorders/>
                                  <w:vAlign w:val="center"/>
                                </w:tcPr>
                                <w:p>
                                  <w:pPr>
                                    <w:pStyle w:val="TableContents"/>
                                    <w:bidi w:val="0"/>
                                    <w:spacing w:before="0" w:after="283"/>
                                    <w:jc w:val="left"/>
                                    <w:rPr>
                                      <w:sz w:val="15"/>
                                    </w:rPr>
                                  </w:pPr>
                                  <w:r>
                                    <w:rPr>
                                      <w:sz w:val="15"/>
                                    </w:rPr>
                                    <w:t>Expected to be September 29, 2026</w:t>
                                  </w:r>
                                </w:p>
                              </w:tc>
                            </w:tr>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387"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1818"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Determination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87" w:type="dxa"/>
                                  <w:tcBorders/>
                                  <w:shd w:fill="FFFFFF" w:val="clear"/>
                                  <w:vAlign w:val="center"/>
                                </w:tcPr>
                                <w:p>
                                  <w:pPr>
                                    <w:pStyle w:val="TableContents"/>
                                    <w:bidi w:val="0"/>
                                    <w:spacing w:before="0" w:after="283"/>
                                    <w:jc w:val="left"/>
                                    <w:rPr>
                                      <w:sz w:val="15"/>
                                    </w:rPr>
                                  </w:pPr>
                                  <w:r>
                                    <w:rPr>
                                      <w:sz w:val="15"/>
                                    </w:rPr>
                                    <w:t>December 29, 2026, March 30, 2027, June 29, 2027, September 29, 2027, December 29, 2027, March 29, 2028, June 29, 2028, September 29, 2028, December 29, 2028, March 29, 2029, June 29, 2029 and October 1, 2029</w:t>
                                  </w:r>
                                </w:p>
                              </w:tc>
                            </w:tr>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payment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87" w:type="dxa"/>
                                  <w:tcBorders/>
                                  <w:shd w:fill="DCEBF4" w:val="clear"/>
                                  <w:vAlign w:val="center"/>
                                </w:tcPr>
                                <w:p>
                                  <w:pPr>
                                    <w:pStyle w:val="TableContents"/>
                                    <w:bidi w:val="0"/>
                                    <w:spacing w:before="0" w:after="283"/>
                                    <w:jc w:val="left"/>
                                    <w:rPr>
                                      <w:sz w:val="15"/>
                                    </w:rPr>
                                  </w:pPr>
                                  <w:r>
                                    <w:rPr>
                                      <w:sz w:val="15"/>
                                    </w:rPr>
                                    <w:t>January 4, 2027, April 2, 2027, July 2, 2027, October 4, 2027, January 3, 2028, April 3, 2028, July 5, 2028, October 4, 2028, January 4, 2029, April 4, 2029, July 5, 2029 and the maturity date</w:t>
                                  </w:r>
                                </w:p>
                              </w:tc>
                            </w:tr>
                            <w:tr>
                              <w:trPr/>
                              <w:tc>
                                <w:tcPr>
                                  <w:tcW w:w="181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387" w:type="dxa"/>
                                  <w:tcBorders/>
                                  <w:vAlign w:val="center"/>
                                </w:tcPr>
                                <w:p>
                                  <w:pPr>
                                    <w:pStyle w:val="TableContents"/>
                                    <w:bidi w:val="0"/>
                                    <w:spacing w:before="0" w:after="283"/>
                                    <w:jc w:val="left"/>
                                    <w:rPr>
                                      <w:sz w:val="15"/>
                                    </w:rPr>
                                  </w:pPr>
                                  <w:r>
                                    <w:rPr>
                                      <w:sz w:val="15"/>
                                    </w:rPr>
                                    <w:t>October 4, 2029</w:t>
                                  </w:r>
                                </w:p>
                              </w:tc>
                            </w:tr>
                            <w:tr>
                              <w:trPr/>
                              <w:tc>
                                <w:tcPr>
                                  <w:tcW w:w="1818"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387" w:type="dxa"/>
                                  <w:tcBorders/>
                                  <w:shd w:fill="DCEBF4" w:val="clear"/>
                                  <w:vAlign w:val="center"/>
                                </w:tcPr>
                                <w:p>
                                  <w:pPr>
                                    <w:pStyle w:val="TableContents"/>
                                    <w:bidi w:val="0"/>
                                    <w:spacing w:before="0" w:after="283"/>
                                    <w:jc w:val="left"/>
                                    <w:rPr>
                                      <w:sz w:val="15"/>
                                    </w:rPr>
                                  </w:pPr>
                                  <w:r>
                                    <w:rPr>
                                      <w:sz w:val="15"/>
                                    </w:rPr>
                                    <w:t>46661PDE4 / US46661PDE43</w:t>
                                  </w:r>
                                </w:p>
                              </w:tc>
                            </w:tr>
                            <w:tr>
                              <w:trPr/>
                              <w:tc>
                                <w:tcPr>
                                  <w:tcW w:w="1818"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387" w:type="dxa"/>
                                  <w:tcBorders/>
                                  <w:vAlign w:val="center"/>
                                </w:tcPr>
                                <w:p>
                                  <w:pPr>
                                    <w:pStyle w:val="TableContents"/>
                                    <w:bidi w:val="0"/>
                                    <w:spacing w:before="0" w:after="283"/>
                                    <w:jc w:val="left"/>
                                    <w:rPr/>
                                  </w:pPr>
                                  <w:hyperlink r:id="rId2">
                                    <w:r>
                                      <w:rPr>
                                        <w:rStyle w:val="InternetLink"/>
                                        <w:sz w:val="15"/>
                                      </w:rPr>
                                      <w:t>http://www.sec.gov/Archives/edgar/data/19617/</w:t>
                                      <w:br/>
                                      <w:t>000121390026103542/ea0306735-01_424b2.htm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Any payment on the securities is subject to the credit risk of JPMorgan Financial as issuer of the securities, and the credit risk of JPMorgan Chase &amp; Co., as guarantor of the securities.</w:t>
                            </w:r>
                          </w:p>
                          <w:tbl>
                            <w:tblPr>
                              <w:tblW w:w="5635" w:type="dxa"/>
                              <w:jc w:val="center"/>
                              <w:tblInd w:w="0" w:type="dxa"/>
                              <w:tblLayout w:type="fixed"/>
                              <w:tblCellMar>
                                <w:top w:w="0" w:type="dxa"/>
                                <w:left w:w="0" w:type="dxa"/>
                                <w:bottom w:w="0" w:type="dxa"/>
                                <w:right w:w="0" w:type="dxa"/>
                              </w:tblCellMar>
                            </w:tblPr>
                            <w:tblGrid>
                              <w:gridCol w:w="2975"/>
                              <w:gridCol w:w="2660"/>
                            </w:tblGrid>
                            <w:tr>
                              <w:trPr/>
                              <w:tc>
                                <w:tcPr>
                                  <w:tcW w:w="5635"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Hypothetical Payout at Maturity</w:t>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Change in Worst Performing Underlying Index</w:t>
                                  </w:r>
                                </w:p>
                              </w:tc>
                              <w:tc>
                                <w:tcPr>
                                  <w:tcW w:w="2660" w:type="dxa"/>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Payment at Maturity (excluding any </w:t>
                                    <w:br/>
                                    <w:t xml:space="preserve">contingent quarterly payment payable at </w:t>
                                    <w:br/>
                                    <w:t>maturity)</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-35.01%</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$649.90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4.5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18"/>
                        <w:gridCol w:w="8387"/>
                      </w:tblGrid>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387" w:type="dxa"/>
                            <w:tcBorders/>
                            <w:shd w:fill="DCEBF4" w:val="clear"/>
                            <w:vAlign w:val="center"/>
                          </w:tcPr>
                          <w:p>
                            <w:pPr>
                              <w:pStyle w:val="TableContents"/>
                              <w:bidi w:val="0"/>
                              <w:spacing w:before="0" w:after="283"/>
                              <w:jc w:val="left"/>
                              <w:rPr>
                                <w:sz w:val="15"/>
                              </w:rPr>
                            </w:pPr>
                            <w:r>
                              <w:rPr>
                                <w:sz w:val="15"/>
                              </w:rPr>
                              <w:t>$1,000 per security</w:t>
                            </w:r>
                          </w:p>
                        </w:tc>
                      </w:tr>
                      <w:tr>
                        <w:trPr/>
                        <w:tc>
                          <w:tcPr>
                            <w:tcW w:w="181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387" w:type="dxa"/>
                            <w:tcBorders/>
                            <w:vAlign w:val="center"/>
                          </w:tcPr>
                          <w:p>
                            <w:pPr>
                              <w:pStyle w:val="TableContents"/>
                              <w:bidi w:val="0"/>
                              <w:spacing w:before="0" w:after="283"/>
                              <w:jc w:val="left"/>
                              <w:rPr>
                                <w:sz w:val="15"/>
                              </w:rPr>
                            </w:pPr>
                            <w:r>
                              <w:rPr>
                                <w:sz w:val="15"/>
                              </w:rPr>
                              <w:t>Expected to be September 29, 2026</w:t>
                            </w:r>
                          </w:p>
                        </w:tc>
                      </w:tr>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387"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1818"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Determination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87" w:type="dxa"/>
                            <w:tcBorders/>
                            <w:shd w:fill="FFFFFF" w:val="clear"/>
                            <w:vAlign w:val="center"/>
                          </w:tcPr>
                          <w:p>
                            <w:pPr>
                              <w:pStyle w:val="TableContents"/>
                              <w:bidi w:val="0"/>
                              <w:spacing w:before="0" w:after="283"/>
                              <w:jc w:val="left"/>
                              <w:rPr>
                                <w:sz w:val="15"/>
                              </w:rPr>
                            </w:pPr>
                            <w:r>
                              <w:rPr>
                                <w:sz w:val="15"/>
                              </w:rPr>
                              <w:t>December 29, 2026, March 30, 2027, June 29, 2027, September 29, 2027, December 29, 2027, March 29, 2028, June 29, 2028, September 29, 2028, December 29, 2028, March 29, 2029, June 29, 2029 and October 1, 2029</w:t>
                            </w:r>
                          </w:p>
                        </w:tc>
                      </w:tr>
                      <w:tr>
                        <w:trPr/>
                        <w:tc>
                          <w:tcPr>
                            <w:tcW w:w="1818"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payment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87" w:type="dxa"/>
                            <w:tcBorders/>
                            <w:shd w:fill="DCEBF4" w:val="clear"/>
                            <w:vAlign w:val="center"/>
                          </w:tcPr>
                          <w:p>
                            <w:pPr>
                              <w:pStyle w:val="TableContents"/>
                              <w:bidi w:val="0"/>
                              <w:spacing w:before="0" w:after="283"/>
                              <w:jc w:val="left"/>
                              <w:rPr>
                                <w:sz w:val="15"/>
                              </w:rPr>
                            </w:pPr>
                            <w:r>
                              <w:rPr>
                                <w:sz w:val="15"/>
                              </w:rPr>
                              <w:t>January 4, 2027, April 2, 2027, July 2, 2027, October 4, 2027, January 3, 2028, April 3, 2028, July 5, 2028, October 4, 2028, January 4, 2029, April 4, 2029, July 5, 2029 and the maturity date</w:t>
                            </w:r>
                          </w:p>
                        </w:tc>
                      </w:tr>
                      <w:tr>
                        <w:trPr/>
                        <w:tc>
                          <w:tcPr>
                            <w:tcW w:w="181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387" w:type="dxa"/>
                            <w:tcBorders/>
                            <w:vAlign w:val="center"/>
                          </w:tcPr>
                          <w:p>
                            <w:pPr>
                              <w:pStyle w:val="TableContents"/>
                              <w:bidi w:val="0"/>
                              <w:spacing w:before="0" w:after="283"/>
                              <w:jc w:val="left"/>
                              <w:rPr>
                                <w:sz w:val="15"/>
                              </w:rPr>
                            </w:pPr>
                            <w:r>
                              <w:rPr>
                                <w:sz w:val="15"/>
                              </w:rPr>
                              <w:t>October 4, 2029</w:t>
                            </w:r>
                          </w:p>
                        </w:tc>
                      </w:tr>
                      <w:tr>
                        <w:trPr/>
                        <w:tc>
                          <w:tcPr>
                            <w:tcW w:w="1818"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387" w:type="dxa"/>
                            <w:tcBorders/>
                            <w:shd w:fill="DCEBF4" w:val="clear"/>
                            <w:vAlign w:val="center"/>
                          </w:tcPr>
                          <w:p>
                            <w:pPr>
                              <w:pStyle w:val="TableContents"/>
                              <w:bidi w:val="0"/>
                              <w:spacing w:before="0" w:after="283"/>
                              <w:jc w:val="left"/>
                              <w:rPr>
                                <w:sz w:val="15"/>
                              </w:rPr>
                            </w:pPr>
                            <w:r>
                              <w:rPr>
                                <w:sz w:val="15"/>
                              </w:rPr>
                              <w:t>46661PDE4 / US46661PDE43</w:t>
                            </w:r>
                          </w:p>
                        </w:tc>
                      </w:tr>
                      <w:tr>
                        <w:trPr/>
                        <w:tc>
                          <w:tcPr>
                            <w:tcW w:w="1818"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387" w:type="dxa"/>
                            <w:tcBorders/>
                            <w:vAlign w:val="center"/>
                          </w:tcPr>
                          <w:p>
                            <w:pPr>
                              <w:pStyle w:val="TableContents"/>
                              <w:bidi w:val="0"/>
                              <w:spacing w:before="0" w:after="283"/>
                              <w:jc w:val="left"/>
                              <w:rPr/>
                            </w:pPr>
                            <w:hyperlink r:id="rId3">
                              <w:r>
                                <w:rPr>
                                  <w:rStyle w:val="InternetLink"/>
                                  <w:sz w:val="15"/>
                                </w:rPr>
                                <w:t>http://www.sec.gov/Archives/edgar/data/19617/</w:t>
                                <w:br/>
                                <w:t>000121390026103542/ea0306735-01_424b2.htm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Any payment on the securities is subject to the credit risk of JPMorgan Financial as issuer of the securities, and the credit risk of JPMorgan Chase &amp; Co., as guarantor of the securities.</w:t>
                      </w:r>
                    </w:p>
                    <w:tbl>
                      <w:tblPr>
                        <w:tblW w:w="5635" w:type="dxa"/>
                        <w:jc w:val="center"/>
                        <w:tblInd w:w="0" w:type="dxa"/>
                        <w:tblLayout w:type="fixed"/>
                        <w:tblCellMar>
                          <w:top w:w="0" w:type="dxa"/>
                          <w:left w:w="0" w:type="dxa"/>
                          <w:bottom w:w="0" w:type="dxa"/>
                          <w:right w:w="0" w:type="dxa"/>
                        </w:tblCellMar>
                      </w:tblPr>
                      <w:tblGrid>
                        <w:gridCol w:w="2975"/>
                        <w:gridCol w:w="2660"/>
                      </w:tblGrid>
                      <w:tr>
                        <w:trPr/>
                        <w:tc>
                          <w:tcPr>
                            <w:tcW w:w="5635"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Hypothetical Payout at Maturity</w:t>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Change in Worst Performing Underlying Index</w:t>
                            </w:r>
                          </w:p>
                        </w:tc>
                        <w:tc>
                          <w:tcPr>
                            <w:tcW w:w="2660" w:type="dxa"/>
                            <w:tcBorders/>
                            <w:shd w:fill="296D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Payment at Maturity (excluding any </w:t>
                              <w:br/>
                              <w:t xml:space="preserve">contingent quarterly payment payable at </w:t>
                              <w:br/>
                              <w:t>maturity)</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-35.01%</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$649.90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-80.00%</w:t>
                            </w:r>
                          </w:p>
                        </w:tc>
                        <w:tc>
                          <w:tcPr>
                            <w:tcW w:w="2660"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w:t>
                            </w:r>
                          </w:p>
                        </w:tc>
                        <w:tc>
                          <w:tcPr>
                            <w:tcW w:w="2660"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3-Year RTY/SPX/SX5E Contingent Income Auto-Callable Securities, with 6-Month Initial Non-Call Period</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Underlying Indices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more information about the underlying indices,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Risk Considerations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4" w:type="dxa"/>
            <w:tcBorders/>
            <w:vAlign w:val="center"/>
          </w:tcPr>
          <w:p>
            <w:pPr>
              <w:pStyle w:val="TableContents"/>
              <w:bidi w:val="0"/>
              <w:spacing w:before="0" w:after="283"/>
              <w:jc w:val="left"/>
              <w:rPr>
                <w:sz w:val="16"/>
              </w:rPr>
            </w:pPr>
            <w:r>
              <w:rPr>
                <w:sz w:val="16"/>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You will not receive any contingent quarterly payment for any quarterly monitoring period if the closing level of any underlying index is less than its coupon barrier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6" w:type="dxa"/>
            <w:tcBorders/>
            <w:vAlign w:val="center"/>
          </w:tcPr>
          <w:p>
            <w:pPr>
              <w:pStyle w:val="TableContents"/>
              <w:bidi w:val="0"/>
              <w:spacing w:before="0" w:after="283"/>
              <w:jc w:val="left"/>
              <w:rPr>
                <w:sz w:val="16"/>
              </w:rPr>
            </w:pPr>
            <w:r>
              <w:rPr>
                <w:sz w:val="16"/>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6"/>
              </w:rPr>
            </w:pPr>
            <w:r>
              <w:rPr>
                <w:sz w:val="16"/>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6"/>
              </w:rPr>
            </w:pPr>
            <w:r>
              <w:rPr>
                <w:sz w:val="16"/>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5"/>
        <w:gridCol w:w="707"/>
        <w:gridCol w:w="9283"/>
      </w:tblGrid>
      <w:tr>
        <w:trPr/>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83" w:type="dxa"/>
            <w:tcBorders/>
            <w:vAlign w:val="center"/>
          </w:tcPr>
          <w:p>
            <w:pPr>
              <w:pStyle w:val="TableContents"/>
              <w:bidi w:val="0"/>
              <w:spacing w:before="0" w:after="283"/>
              <w:jc w:val="left"/>
              <w:rPr>
                <w:sz w:val="16"/>
              </w:rPr>
            </w:pPr>
            <w:r>
              <w:rPr>
                <w:sz w:val="16"/>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9"/>
        <w:gridCol w:w="491"/>
        <w:gridCol w:w="9565"/>
      </w:tblGrid>
      <w:tr>
        <w:trPr/>
        <w:tc>
          <w:tcPr>
            <w:tcW w:w="1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5" w:type="dxa"/>
            <w:tcBorders/>
            <w:vAlign w:val="center"/>
          </w:tcPr>
          <w:p>
            <w:pPr>
              <w:pStyle w:val="TableContents"/>
              <w:bidi w:val="0"/>
              <w:spacing w:before="0" w:after="283"/>
              <w:jc w:val="left"/>
              <w:rPr>
                <w:sz w:val="16"/>
              </w:rPr>
            </w:pPr>
            <w:r>
              <w:rPr>
                <w:sz w:val="16"/>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6"/>
              </w:rPr>
            </w:pPr>
            <w:r>
              <w:rPr>
                <w:sz w:val="16"/>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7" w:type="dxa"/>
            <w:tcBorders/>
            <w:vAlign w:val="center"/>
          </w:tcPr>
          <w:p>
            <w:pPr>
              <w:pStyle w:val="TableContents"/>
              <w:bidi w:val="0"/>
              <w:spacing w:before="0" w:after="283"/>
              <w:jc w:val="left"/>
              <w:rPr>
                <w:sz w:val="16"/>
              </w:rPr>
            </w:pPr>
            <w:r>
              <w:rPr>
                <w:sz w:val="16"/>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3" w:type="dxa"/>
            <w:tcBorders/>
            <w:vAlign w:val="center"/>
          </w:tcPr>
          <w:p>
            <w:pPr>
              <w:pStyle w:val="TableContents"/>
              <w:bidi w:val="0"/>
              <w:spacing w:before="0" w:after="283"/>
              <w:jc w:val="left"/>
              <w:rPr>
                <w:sz w:val="16"/>
              </w:rPr>
            </w:pPr>
            <w:r>
              <w:rPr>
                <w:sz w:val="16"/>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sz w:val="16"/>
              </w:rPr>
            </w:pPr>
            <w:r>
              <w:rPr>
                <w:sz w:val="16"/>
              </w:rPr>
              <w:t>The estimated value of the securities will be lower than the original issue price (price to public) of the securities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6" w:type="dxa"/>
            <w:tcBorders/>
            <w:vAlign w:val="center"/>
          </w:tcPr>
          <w:p>
            <w:pPr>
              <w:pStyle w:val="TableContents"/>
              <w:bidi w:val="0"/>
              <w:spacing w:before="0" w:after="283"/>
              <w:jc w:val="left"/>
              <w:rPr>
                <w:sz w:val="16"/>
              </w:rPr>
            </w:pPr>
            <w:r>
              <w:rPr>
                <w:sz w:val="16"/>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0"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6" w:type="dxa"/>
            <w:tcBorders/>
            <w:vAlign w:val="center"/>
          </w:tcPr>
          <w:p>
            <w:pPr>
              <w:pStyle w:val="TableContents"/>
              <w:bidi w:val="0"/>
              <w:spacing w:before="0" w:after="283"/>
              <w:jc w:val="left"/>
              <w:rPr>
                <w:sz w:val="16"/>
              </w:rPr>
            </w:pPr>
            <w:r>
              <w:rPr>
                <w:sz w:val="16"/>
              </w:rPr>
              <w:t>Secondary market prices of the securities will likely be lower than the original issue price of the securities</w:t>
            </w:r>
            <w:r>
              <w:rPr>
                <w:rFonts w:ascii="Arial;Helvetica;Sans-Serif" w:hAnsi="Arial;Helvetica;Sans-Serif"/>
                <w:b w:val="false"/>
                <w:sz w:val="16"/>
              </w:rPr>
              <w:t xml:space="preserve">. </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2"/>
        <w:gridCol w:w="205"/>
        <w:gridCol w:w="9938"/>
      </w:tblGrid>
      <w:tr>
        <w:trPr/>
        <w:tc>
          <w:tcPr>
            <w:tcW w:w="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38" w:type="dxa"/>
            <w:tcBorders/>
            <w:vAlign w:val="center"/>
          </w:tcPr>
          <w:p>
            <w:pPr>
              <w:pStyle w:val="TableContents"/>
              <w:bidi w:val="0"/>
              <w:spacing w:before="0" w:after="283"/>
              <w:jc w:val="left"/>
              <w:rPr>
                <w:sz w:val="16"/>
              </w:rPr>
            </w:pPr>
            <w:r>
              <w:rPr>
                <w:sz w:val="16"/>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6"/>
              </w:rPr>
            </w:pPr>
            <w:r>
              <w:rPr>
                <w:sz w:val="16"/>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6"/>
              </w:rPr>
            </w:pPr>
            <w:r>
              <w:rPr>
                <w:sz w:val="16"/>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An investment in the securities is subject to risks associated with small capitalization stocks with respect to the RTY Index. </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The securities are subject to risks associated with securities issued by non-U.S. companies with respect to the SX5E Index.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6"/>
              </w:rPr>
            </w:pPr>
            <w:r>
              <w:rPr>
                <w:sz w:val="16"/>
              </w:rPr>
              <w:t>The securities are not directly exposed to fluctuations in foreign exchange rates with respect to the SX5E Index.</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6"/>
              </w:rPr>
            </w:pPr>
            <w:r>
              <w:rPr>
                <w:sz w:val="16"/>
              </w:rPr>
              <w:t xml:space="preserve">Governmental legislative and regulatory actions, including sanctions, could adversely affect your investment in the securities. </w:t>
            </w:r>
          </w:p>
        </w:tc>
      </w:tr>
    </w:tbl>
    <w:p>
      <w:pPr>
        <w:pStyle w:val="TextBody"/>
        <w:bidi w:val="0"/>
        <w:spacing w:before="0" w:after="6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Tax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3542/ea0306735-01_424b2.htm" TargetMode="External"/><Relationship Id="rId3" Type="http://schemas.openxmlformats.org/officeDocument/2006/relationships/hyperlink" Target="http://www.sec.gov/Archives/edgar/data/19617/000121390026103542/ea0306735-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1852</Words>
  <Characters>10177</Characters>
  <CharactersWithSpaces>11900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