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6260" w:type="dxa"/>
            <w:vAlign w:val="bottom"/>
          </w:tcPr>
          <w:p>
            <w:pPr>
              <w:spacing w:after="0"/>
              <w:rPr>
                <w:sz w:val="20"/>
                <w:szCs w:val="20"/>
                <w:color w:val="auto"/>
              </w:rPr>
            </w:pPr>
            <w:r>
              <w:rPr>
                <w:rFonts w:ascii="Arial" w:cs="Arial" w:eastAsia="Arial" w:hAnsi="Arial"/>
                <w:sz w:val="18"/>
                <w:szCs w:val="18"/>
                <w:b w:val="1"/>
                <w:bCs w:val="1"/>
                <w:color w:val="auto"/>
              </w:rPr>
              <w:t>Term sheet</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Term sheet to</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i w:val="1"/>
                <w:iCs w:val="1"/>
                <w:color w:val="auto"/>
              </w:rPr>
              <w:t>To prospectus dated November 14, 2011,</w:t>
            </w:r>
          </w:p>
        </w:tc>
        <w:tc>
          <w:tcPr>
            <w:tcW w:w="4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Product Supplement No. 4-I</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i w:val="1"/>
                <w:iCs w:val="1"/>
                <w:color w:val="auto"/>
              </w:rPr>
              <w:t>prospectus supplement dated November 14, 2011,</w:t>
            </w:r>
          </w:p>
        </w:tc>
        <w:tc>
          <w:tcPr>
            <w:tcW w:w="4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Registration Statement No. 333-177923</w:t>
            </w:r>
          </w:p>
        </w:tc>
      </w:tr>
      <w:tr>
        <w:trPr>
          <w:trHeight w:val="207"/>
        </w:trPr>
        <w:tc>
          <w:tcPr>
            <w:tcW w:w="6260" w:type="dxa"/>
            <w:vAlign w:val="bottom"/>
          </w:tcPr>
          <w:p>
            <w:pPr>
              <w:spacing w:after="0"/>
              <w:rPr>
                <w:sz w:val="20"/>
                <w:szCs w:val="20"/>
                <w:color w:val="auto"/>
              </w:rPr>
            </w:pPr>
            <w:r>
              <w:rPr>
                <w:rFonts w:ascii="Arial" w:cs="Arial" w:eastAsia="Arial" w:hAnsi="Arial"/>
                <w:sz w:val="18"/>
                <w:szCs w:val="18"/>
                <w:i w:val="1"/>
                <w:iCs w:val="1"/>
                <w:color w:val="auto"/>
              </w:rPr>
              <w:t>product supplement no. 4-I dated November 14, 2011 and</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Dated February 29, 2012; Rule 433</w:t>
            </w: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underlying supplement no. 1-I dated November 14, 2011</w:t>
            </w:r>
          </w:p>
        </w:tc>
        <w:tc>
          <w:tcPr>
            <w:tcW w:w="4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ectPr>
          <w:pgSz w:w="11900" w:h="16871" w:orient="portrait"/>
          <w:cols w:equalWidth="0" w:num="1">
            <w:col w:w="11340"/>
          </w:cols>
          <w:pgMar w:left="240" w:top="220"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80" w:firstLine="196"/>
        <w:spacing w:after="0" w:line="288" w:lineRule="auto"/>
        <w:rPr>
          <w:sz w:val="20"/>
          <w:szCs w:val="20"/>
          <w:color w:val="auto"/>
        </w:rPr>
      </w:pPr>
      <w:r>
        <w:rPr>
          <w:rFonts w:ascii="Arial" w:cs="Arial" w:eastAsia="Arial" w:hAnsi="Arial"/>
          <w:sz w:val="25"/>
          <w:szCs w:val="25"/>
          <w:b w:val="1"/>
          <w:bCs w:val="1"/>
          <w:color w:val="FFFFFF"/>
        </w:rPr>
        <w:t>Structured Investments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123507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63436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color w:val="6E8E86"/>
        </w:rPr>
        <w:t>General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25"/>
          <w:szCs w:val="25"/>
          <w:b w:val="1"/>
          <w:bCs w:val="1"/>
          <w:color w:val="6E8E86"/>
        </w:rPr>
        <w:t>$</w:t>
      </w:r>
    </w:p>
    <w:p>
      <w:pPr>
        <w:spacing w:after="0" w:line="39" w:lineRule="exact"/>
        <w:rPr>
          <w:sz w:val="24"/>
          <w:szCs w:val="24"/>
          <w:color w:val="auto"/>
        </w:rPr>
      </w:pPr>
    </w:p>
    <w:p>
      <w:pPr>
        <w:ind w:right="360"/>
        <w:spacing w:after="0" w:line="204" w:lineRule="auto"/>
        <w:rPr>
          <w:sz w:val="20"/>
          <w:szCs w:val="20"/>
          <w:color w:val="auto"/>
        </w:rPr>
      </w:pPr>
      <w:r>
        <w:rPr>
          <w:rFonts w:ascii="Arial" w:cs="Arial" w:eastAsia="Arial" w:hAnsi="Arial"/>
          <w:sz w:val="25"/>
          <w:szCs w:val="25"/>
          <w:b w:val="1"/>
          <w:bCs w:val="1"/>
          <w:color w:val="6E8E86"/>
        </w:rPr>
        <w:t>Buffered Return Enhanced Notes Linked to the iShares</w:t>
      </w:r>
      <w:r>
        <w:rPr>
          <w:rFonts w:ascii="Arial" w:cs="Arial" w:eastAsia="Arial" w:hAnsi="Arial"/>
          <w:sz w:val="42"/>
          <w:szCs w:val="42"/>
          <w:b w:val="1"/>
          <w:bCs w:val="1"/>
          <w:color w:val="6E8E86"/>
          <w:vertAlign w:val="superscript"/>
        </w:rPr>
        <w:t>®</w:t>
      </w:r>
      <w:r>
        <w:rPr>
          <w:rFonts w:ascii="Arial" w:cs="Arial" w:eastAsia="Arial" w:hAnsi="Arial"/>
          <w:sz w:val="25"/>
          <w:szCs w:val="25"/>
          <w:b w:val="1"/>
          <w:bCs w:val="1"/>
          <w:color w:val="6E8E86"/>
        </w:rPr>
        <w:t xml:space="preserve"> MSCI Emerging Markets Index Fund due September 30, 2013</w:t>
      </w:r>
    </w:p>
    <w:p>
      <w:pPr>
        <w:spacing w:after="0" w:line="534" w:lineRule="exact"/>
        <w:rPr>
          <w:sz w:val="24"/>
          <w:szCs w:val="24"/>
          <w:color w:val="auto"/>
        </w:rPr>
      </w:pPr>
    </w:p>
    <w:p>
      <w:pPr>
        <w:sectPr>
          <w:pgSz w:w="11900" w:h="16871" w:orient="portrait"/>
          <w:cols w:equalWidth="0" w:num="2">
            <w:col w:w="1860" w:space="460"/>
            <w:col w:w="9020"/>
          </w:cols>
          <w:pgMar w:left="240" w:top="220" w:right="319" w:bottom="0" w:gutter="0" w:footer="0" w:header="0"/>
          <w:type w:val="continuous"/>
        </w:sectPr>
      </w:pPr>
    </w:p>
    <w:p>
      <w:pPr>
        <w:ind w:left="380" w:right="80" w:hanging="120"/>
        <w:spacing w:after="0" w:line="200" w:lineRule="auto"/>
        <w:tabs>
          <w:tab w:leader="none" w:pos="38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The notes are designed for investors who seek a return of 2 times the appreciation of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MSCI Emerging Markets Index Fund (the “Index Fund”), up to a maximum return that will not be less than 17%* or greater than 21%* at maturity. Investors should be willing to forgo interest and dividend payments and, if the Final Share Price is less than the Initial Share Price by more than 10%, be willing to lose up to 90% of their principal. </w:t>
      </w:r>
      <w:r>
        <w:rPr>
          <w:rFonts w:ascii="Arial" w:cs="Arial" w:eastAsia="Arial" w:hAnsi="Arial"/>
          <w:sz w:val="18"/>
          <w:szCs w:val="18"/>
          <w:b w:val="1"/>
          <w:bCs w:val="1"/>
          <w:color w:val="auto"/>
        </w:rPr>
        <w:t>Any payment on the notes is subject to the credit risk of JPMorgan Chase &amp; Co.</w:t>
      </w:r>
    </w:p>
    <w:p>
      <w:pPr>
        <w:spacing w:after="0" w:line="33" w:lineRule="exact"/>
        <w:rPr>
          <w:rFonts w:ascii="Arial" w:cs="Arial" w:eastAsia="Arial" w:hAnsi="Arial"/>
          <w:sz w:val="36"/>
          <w:szCs w:val="36"/>
          <w:color w:val="auto"/>
          <w:vertAlign w:val="superscript"/>
        </w:rPr>
      </w:pPr>
    </w:p>
    <w:p>
      <w:pPr>
        <w:ind w:left="380" w:hanging="120"/>
        <w:spacing w:after="0"/>
        <w:tabs>
          <w:tab w:leader="none" w:pos="38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Senior unsecured debt obligations of JPMorgan Chase &amp; Co. maturing September 30, 2013</w:t>
      </w:r>
      <w:r>
        <w:rPr>
          <w:rFonts w:ascii="Arial" w:cs="Arial" w:eastAsia="Arial" w:hAnsi="Arial"/>
          <w:sz w:val="30"/>
          <w:szCs w:val="30"/>
          <w:color w:val="auto"/>
          <w:vertAlign w:val="superscript"/>
        </w:rPr>
        <w:t>†</w:t>
      </w:r>
      <w:r>
        <w:rPr>
          <w:rFonts w:ascii="Arial" w:cs="Arial" w:eastAsia="Arial" w:hAnsi="Arial"/>
          <w:sz w:val="18"/>
          <w:szCs w:val="18"/>
          <w:color w:val="auto"/>
        </w:rPr>
        <w:t>.</w:t>
      </w:r>
    </w:p>
    <w:p>
      <w:pPr>
        <w:ind w:left="380" w:hanging="120"/>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Minimum denominations of $1,000 and integral multiples thereof.</w:t>
      </w:r>
    </w:p>
    <w:p>
      <w:pPr>
        <w:spacing w:after="0" w:line="117" w:lineRule="exact"/>
        <w:rPr>
          <w:rFonts w:ascii="Arial" w:cs="Arial" w:eastAsia="Arial" w:hAnsi="Arial"/>
          <w:sz w:val="18"/>
          <w:szCs w:val="18"/>
          <w:color w:val="auto"/>
        </w:rPr>
      </w:pPr>
    </w:p>
    <w:p>
      <w:pPr>
        <w:ind w:left="380" w:hanging="120"/>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notes are expected to price on or about March 27, 2012 and are expected to settle on or about March 30, 2012.</w:t>
      </w:r>
    </w:p>
    <w:p>
      <w:pPr>
        <w:sectPr>
          <w:pgSz w:w="11900" w:h="16871" w:orient="portrait"/>
          <w:cols w:equalWidth="0" w:num="1">
            <w:col w:w="11340"/>
          </w:cols>
          <w:pgMar w:left="240" w:top="220" w:right="319" w:bottom="0" w:gutter="0" w:footer="0" w:header="0"/>
          <w:type w:val="continuous"/>
        </w:sectPr>
      </w:pP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6E8E86"/>
        </w:rPr>
        <w:t>Key Terms</w:t>
      </w:r>
    </w:p>
    <w:p>
      <w:pPr>
        <w:spacing w:after="0" w:line="12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Index Fund:</w:t>
      </w:r>
    </w:p>
    <w:p>
      <w:pPr>
        <w:spacing w:after="0" w:line="32" w:lineRule="exact"/>
        <w:rPr>
          <w:sz w:val="24"/>
          <w:szCs w:val="24"/>
          <w:color w:val="auto"/>
        </w:rPr>
      </w:pPr>
    </w:p>
    <w:p>
      <w:pPr>
        <w:ind w:left="100"/>
        <w:spacing w:after="0"/>
        <w:rPr>
          <w:sz w:val="20"/>
          <w:szCs w:val="20"/>
          <w:color w:val="auto"/>
        </w:rPr>
      </w:pPr>
      <w:r>
        <w:rPr>
          <w:rFonts w:ascii="Arial" w:cs="Arial" w:eastAsia="Arial" w:hAnsi="Arial"/>
          <w:sz w:val="18"/>
          <w:szCs w:val="18"/>
          <w:color w:val="auto"/>
        </w:rPr>
        <w:t>Upside Leverage Factor:</w:t>
      </w:r>
    </w:p>
    <w:p>
      <w:pPr>
        <w:ind w:left="100"/>
        <w:spacing w:after="0"/>
        <w:rPr>
          <w:sz w:val="20"/>
          <w:szCs w:val="20"/>
          <w:color w:val="auto"/>
        </w:rPr>
      </w:pPr>
      <w:r>
        <w:rPr>
          <w:rFonts w:ascii="Arial" w:cs="Arial" w:eastAsia="Arial" w:hAnsi="Arial"/>
          <w:sz w:val="18"/>
          <w:szCs w:val="18"/>
          <w:color w:val="auto"/>
        </w:rPr>
        <w:t>Payment at Maturity:</w:t>
      </w:r>
    </w:p>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MSCI Emerging Markets Index Fund (“EEM”)</w:t>
      </w:r>
    </w:p>
    <w:p>
      <w:pPr>
        <w:spacing w:after="0" w:line="234" w:lineRule="auto"/>
        <w:rPr>
          <w:sz w:val="20"/>
          <w:szCs w:val="20"/>
          <w:color w:val="auto"/>
        </w:rPr>
      </w:pPr>
      <w:r>
        <w:rPr>
          <w:rFonts w:ascii="Arial" w:cs="Arial" w:eastAsia="Arial" w:hAnsi="Arial"/>
          <w:sz w:val="18"/>
          <w:szCs w:val="18"/>
          <w:color w:val="auto"/>
        </w:rPr>
        <w:t>2</w:t>
      </w:r>
    </w:p>
    <w:p>
      <w:pPr>
        <w:spacing w:after="0" w:line="1"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If the Final Share Price is greater than the Initial Share Price, you will receive a cash payment that provides you with a return per $ 1,000 principal amount note equal to the Fund Return multiplied by 2, subject to the Maximum Return that will not be less than 17%* or greater than 21%* at maturity. For example, assuming a Maximum Return of 17%*, if the Fund Return is equal to or greater than 8.50%, you will receive the Maximum Return of 17%*, which entitles you to a maximum payment at maturity of $1,170* for every $1,000 principal amount note that you hold. Accordingly, if the Fund Return is positive, your payment per $1,000 principal amount note will be calculated as follows, subject to the Maximum Return:</w:t>
      </w:r>
    </w:p>
    <w:p>
      <w:pPr>
        <w:spacing w:after="0" w:line="19"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$1,000 + ($1,000 × Fund Return × 2)</w:t>
      </w:r>
    </w:p>
    <w:p>
      <w:pPr>
        <w:spacing w:after="0" w:line="36" w:lineRule="exact"/>
        <w:rPr>
          <w:sz w:val="24"/>
          <w:szCs w:val="24"/>
          <w:color w:val="auto"/>
        </w:rPr>
      </w:pPr>
    </w:p>
    <w:p>
      <w:pPr>
        <w:sectPr>
          <w:pgSz w:w="11900" w:h="16871" w:orient="portrait"/>
          <w:cols w:equalWidth="0" w:num="2">
            <w:col w:w="2240" w:space="720"/>
            <w:col w:w="8380"/>
          </w:cols>
          <w:pgMar w:left="240" w:top="220" w:right="3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100"/>
        <w:spacing w:after="0"/>
        <w:rPr>
          <w:sz w:val="20"/>
          <w:szCs w:val="20"/>
          <w:color w:val="auto"/>
        </w:rPr>
      </w:pPr>
      <w:r>
        <w:rPr>
          <w:rFonts w:ascii="Arial" w:cs="Arial" w:eastAsia="Arial" w:hAnsi="Arial"/>
          <w:sz w:val="18"/>
          <w:szCs w:val="18"/>
          <w:color w:val="auto"/>
        </w:rPr>
        <w:t>Buffer Amount:</w:t>
      </w:r>
    </w:p>
    <w:p>
      <w:pPr>
        <w:ind w:left="100"/>
        <w:spacing w:after="0"/>
        <w:rPr>
          <w:sz w:val="20"/>
          <w:szCs w:val="20"/>
          <w:color w:val="auto"/>
        </w:rPr>
      </w:pPr>
      <w:r>
        <w:rPr>
          <w:rFonts w:ascii="Arial" w:cs="Arial" w:eastAsia="Arial" w:hAnsi="Arial"/>
          <w:sz w:val="18"/>
          <w:szCs w:val="18"/>
          <w:color w:val="auto"/>
        </w:rPr>
        <w:t>Fund Return:</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Initial Share Price:</w:t>
      </w:r>
    </w:p>
    <w:p>
      <w:pPr>
        <w:spacing w:after="0" w:line="19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Final Share Price:</w:t>
      </w:r>
    </w:p>
    <w:p>
      <w:pPr>
        <w:ind w:left="100"/>
        <w:spacing w:after="0"/>
        <w:rPr>
          <w:sz w:val="20"/>
          <w:szCs w:val="20"/>
          <w:color w:val="auto"/>
        </w:rPr>
      </w:pPr>
      <w:r>
        <w:rPr>
          <w:rFonts w:ascii="Arial" w:cs="Arial" w:eastAsia="Arial" w:hAnsi="Arial"/>
          <w:sz w:val="17"/>
          <w:szCs w:val="17"/>
          <w:color w:val="auto"/>
        </w:rPr>
        <w:t>Share Adjustment Factor:</w:t>
      </w:r>
    </w:p>
    <w:p>
      <w:pPr>
        <w:spacing w:after="0" w:line="200" w:lineRule="exact"/>
        <w:rPr>
          <w:sz w:val="24"/>
          <w:szCs w:val="24"/>
          <w:color w:val="auto"/>
        </w:rPr>
      </w:pPr>
    </w:p>
    <w:p>
      <w:pPr>
        <w:spacing w:after="0" w:line="35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Observation Date</w:t>
      </w:r>
      <w:r>
        <w:rPr>
          <w:rFonts w:ascii="Arial" w:cs="Arial" w:eastAsia="Arial" w:hAnsi="Arial"/>
          <w:sz w:val="30"/>
          <w:szCs w:val="30"/>
          <w:color w:val="auto"/>
          <w:vertAlign w:val="superscript"/>
        </w:rPr>
        <w:t>†</w:t>
      </w:r>
      <w:r>
        <w:rPr>
          <w:rFonts w:ascii="Arial" w:cs="Arial" w:eastAsia="Arial" w:hAnsi="Arial"/>
          <w:sz w:val="18"/>
          <w:szCs w:val="18"/>
          <w:color w:val="auto"/>
        </w:rPr>
        <w:t>:</w:t>
      </w:r>
    </w:p>
    <w:p>
      <w:pPr>
        <w:ind w:left="100"/>
        <w:spacing w:after="0" w:line="183" w:lineRule="auto"/>
        <w:rPr>
          <w:sz w:val="20"/>
          <w:szCs w:val="20"/>
          <w:color w:val="auto"/>
        </w:rPr>
      </w:pPr>
      <w:r>
        <w:rPr>
          <w:rFonts w:ascii="Arial" w:cs="Arial" w:eastAsia="Arial" w:hAnsi="Arial"/>
          <w:sz w:val="15"/>
          <w:szCs w:val="15"/>
          <w:color w:val="auto"/>
        </w:rPr>
        <w:t>Maturity Date</w:t>
      </w:r>
      <w:r>
        <w:rPr>
          <w:rFonts w:ascii="Arial" w:cs="Arial" w:eastAsia="Arial" w:hAnsi="Arial"/>
          <w:sz w:val="23"/>
          <w:szCs w:val="23"/>
          <w:color w:val="auto"/>
          <w:vertAlign w:val="superscript"/>
        </w:rPr>
        <w:t>†</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br w:type="column"/>
      </w:r>
    </w:p>
    <w:p>
      <w:pPr>
        <w:ind w:right="400" w:firstLine="8"/>
        <w:spacing w:after="0" w:line="234" w:lineRule="auto"/>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actual Maximum Return will be set on the pricing date and will not be less than 17% or greater than 21%.</w:t>
      </w:r>
    </w:p>
    <w:p>
      <w:pPr>
        <w:spacing w:after="0" w:line="1" w:lineRule="exact"/>
        <w:rPr>
          <w:rFonts w:ascii="Arial" w:cs="Arial" w:eastAsia="Arial" w:hAnsi="Arial"/>
          <w:sz w:val="18"/>
          <w:szCs w:val="18"/>
          <w:color w:val="auto"/>
        </w:rPr>
      </w:pPr>
    </w:p>
    <w:p>
      <w:pPr>
        <w:ind w:right="200"/>
        <w:spacing w:after="0" w:line="246" w:lineRule="auto"/>
        <w:rPr>
          <w:rFonts w:ascii="Arial" w:cs="Arial" w:eastAsia="Arial" w:hAnsi="Arial"/>
          <w:sz w:val="18"/>
          <w:szCs w:val="18"/>
          <w:color w:val="auto"/>
        </w:rPr>
      </w:pPr>
      <w:r>
        <w:rPr>
          <w:rFonts w:ascii="Arial" w:cs="Arial" w:eastAsia="Arial" w:hAnsi="Arial"/>
          <w:sz w:val="18"/>
          <w:szCs w:val="18"/>
          <w:color w:val="auto"/>
        </w:rPr>
        <w:t>If the Final Share Price is equal to or less than the Initial Share Price by up to 10%, you will receive the principal amount of your notes at maturity.</w:t>
      </w:r>
    </w:p>
    <w:p>
      <w:pPr>
        <w:spacing w:after="0" w:line="7" w:lineRule="exact"/>
        <w:rPr>
          <w:rFonts w:ascii="Arial" w:cs="Arial" w:eastAsia="Arial" w:hAnsi="Arial"/>
          <w:sz w:val="18"/>
          <w:szCs w:val="18"/>
          <w:color w:val="auto"/>
        </w:rPr>
      </w:pPr>
    </w:p>
    <w:p>
      <w:pPr>
        <w:ind w:right="100"/>
        <w:spacing w:after="0" w:line="238" w:lineRule="auto"/>
        <w:rPr>
          <w:rFonts w:ascii="Arial" w:cs="Arial" w:eastAsia="Arial" w:hAnsi="Arial"/>
          <w:sz w:val="18"/>
          <w:szCs w:val="18"/>
          <w:color w:val="auto"/>
        </w:rPr>
      </w:pPr>
      <w:r>
        <w:rPr>
          <w:rFonts w:ascii="Arial" w:cs="Arial" w:eastAsia="Arial" w:hAnsi="Arial"/>
          <w:sz w:val="18"/>
          <w:szCs w:val="18"/>
          <w:color w:val="auto"/>
        </w:rPr>
        <w:t>If the Final Share Price is less than the Initial Share Price by more than 10% you will lose 1% of the principal amount of your notes for every 1% that the Final Share Price is less than the Initial Share Price beyond 10% and your payment at maturity per $1,000 principal amount note will be calculated as follows:</w:t>
      </w:r>
    </w:p>
    <w:p>
      <w:pPr>
        <w:jc w:val="center"/>
        <w:ind w:right="20"/>
        <w:spacing w:after="0" w:line="238" w:lineRule="auto"/>
        <w:rPr>
          <w:sz w:val="20"/>
          <w:szCs w:val="20"/>
          <w:color w:val="auto"/>
        </w:rPr>
      </w:pPr>
      <w:r>
        <w:rPr>
          <w:rFonts w:ascii="Arial" w:cs="Arial" w:eastAsia="Arial" w:hAnsi="Arial"/>
          <w:sz w:val="18"/>
          <w:szCs w:val="18"/>
          <w:color w:val="auto"/>
        </w:rPr>
        <w:t>$1,000 + [$1,000 × (Fund Return + 10%)]</w:t>
      </w:r>
    </w:p>
    <w:p>
      <w:pPr>
        <w:ind w:right="180"/>
        <w:spacing w:after="0" w:line="234" w:lineRule="auto"/>
        <w:rPr>
          <w:sz w:val="20"/>
          <w:szCs w:val="20"/>
          <w:color w:val="auto"/>
        </w:rPr>
      </w:pPr>
      <w:r>
        <w:rPr>
          <w:rFonts w:ascii="Arial" w:cs="Arial" w:eastAsia="Arial" w:hAnsi="Arial"/>
          <w:sz w:val="18"/>
          <w:szCs w:val="18"/>
          <w:i w:val="1"/>
          <w:iCs w:val="1"/>
          <w:color w:val="auto"/>
        </w:rPr>
        <w:t>If the Final Share Price is less than the Initial Share Price by more than 10% you would lose up to $900 per $1,000 principal amount note at maturity.</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10%, which results in a minimum payment at maturity of $100 per $1,000 principal amount note.</w:t>
      </w:r>
    </w:p>
    <w:p>
      <w:pPr>
        <w:spacing w:after="0" w:line="23" w:lineRule="exact"/>
        <w:rPr>
          <w:sz w:val="24"/>
          <w:szCs w:val="24"/>
          <w:color w:val="auto"/>
        </w:rPr>
      </w:pPr>
    </w:p>
    <w:p>
      <w:pPr>
        <w:ind w:right="300"/>
        <w:spacing w:after="0" w:line="246" w:lineRule="auto"/>
        <w:rPr>
          <w:sz w:val="20"/>
          <w:szCs w:val="20"/>
          <w:color w:val="auto"/>
        </w:rPr>
      </w:pPr>
      <w:r>
        <w:rPr>
          <w:rFonts w:ascii="Arial" w:cs="Arial" w:eastAsia="Arial" w:hAnsi="Arial"/>
          <w:sz w:val="18"/>
          <w:szCs w:val="18"/>
          <w:color w:val="auto"/>
        </w:rPr>
        <w:t>The performance of the Index Fund from the Initial Share Price to the Final Share Price, calculated as follows: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Final Share Price – Initial Share Price</w:t>
      </w:r>
    </w:p>
    <w:p>
      <w:pPr>
        <w:jc w:val="center"/>
        <w:ind w:right="20"/>
        <w:spacing w:after="0" w:line="234" w:lineRule="auto"/>
        <w:rPr>
          <w:sz w:val="20"/>
          <w:szCs w:val="20"/>
          <w:color w:val="auto"/>
        </w:rPr>
      </w:pPr>
      <w:r>
        <w:rPr>
          <w:rFonts w:ascii="Arial" w:cs="Arial" w:eastAsia="Arial" w:hAnsi="Arial"/>
          <w:sz w:val="18"/>
          <w:szCs w:val="18"/>
          <w:color w:val="auto"/>
        </w:rPr>
        <w:t>Initial Share Price</w:t>
      </w:r>
    </w:p>
    <w:p>
      <w:pPr>
        <w:spacing w:after="0" w:line="1" w:lineRule="exact"/>
        <w:rPr>
          <w:sz w:val="24"/>
          <w:szCs w:val="24"/>
          <w:color w:val="auto"/>
        </w:rPr>
      </w:pPr>
    </w:p>
    <w:p>
      <w:pPr>
        <w:ind w:right="340"/>
        <w:spacing w:after="0" w:line="234" w:lineRule="auto"/>
        <w:rPr>
          <w:sz w:val="20"/>
          <w:szCs w:val="20"/>
          <w:color w:val="auto"/>
        </w:rPr>
      </w:pPr>
      <w:r>
        <w:rPr>
          <w:rFonts w:ascii="Arial" w:cs="Arial" w:eastAsia="Arial" w:hAnsi="Arial"/>
          <w:sz w:val="18"/>
          <w:szCs w:val="18"/>
          <w:color w:val="auto"/>
        </w:rPr>
        <w:t>The closing price of one share of the Index Fund on the pricing date divided by the Share Adjustment Factor.</w:t>
      </w:r>
    </w:p>
    <w:p>
      <w:pPr>
        <w:spacing w:after="0" w:line="236" w:lineRule="auto"/>
        <w:rPr>
          <w:sz w:val="20"/>
          <w:szCs w:val="20"/>
          <w:color w:val="auto"/>
        </w:rPr>
      </w:pPr>
      <w:r>
        <w:rPr>
          <w:rFonts w:ascii="Arial" w:cs="Arial" w:eastAsia="Arial" w:hAnsi="Arial"/>
          <w:sz w:val="18"/>
          <w:szCs w:val="18"/>
          <w:color w:val="auto"/>
        </w:rPr>
        <w:t>The closing price of one share of the Index Fund on the Observation Date.</w:t>
      </w:r>
    </w:p>
    <w:p>
      <w:pPr>
        <w:spacing w:after="0" w:line="1" w:lineRule="exact"/>
        <w:rPr>
          <w:sz w:val="24"/>
          <w:szCs w:val="24"/>
          <w:color w:val="auto"/>
        </w:rPr>
      </w:pPr>
    </w:p>
    <w:p>
      <w:pPr>
        <w:ind w:right="20"/>
        <w:spacing w:after="0" w:line="238" w:lineRule="auto"/>
        <w:rPr>
          <w:sz w:val="20"/>
          <w:szCs w:val="20"/>
          <w:color w:val="auto"/>
        </w:rPr>
      </w:pPr>
      <w:r>
        <w:rPr>
          <w:rFonts w:ascii="Arial" w:cs="Arial" w:eastAsia="Arial" w:hAnsi="Arial"/>
          <w:sz w:val="18"/>
          <w:szCs w:val="18"/>
          <w:color w:val="auto"/>
        </w:rPr>
        <w:t>1.0 on the pricing date and subject to adjustment under certain circumstances. See “Description of Notes – Payment at Maturity” and “General Terms of Notes – Additional Fund Provisions – A. Anti-Dilution Adjustments” in the accompanying product supplement no. 4-I for further information about these adjustments.</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September 25, 2013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September 30, 2013</w:t>
      </w:r>
    </w:p>
    <w:p>
      <w:pPr>
        <w:spacing w:after="0" w:line="36" w:lineRule="exact"/>
        <w:rPr>
          <w:sz w:val="24"/>
          <w:szCs w:val="24"/>
          <w:color w:val="auto"/>
        </w:rPr>
      </w:pPr>
    </w:p>
    <w:p>
      <w:pPr>
        <w:sectPr>
          <w:pgSz w:w="11900" w:h="16871" w:orient="portrait"/>
          <w:cols w:equalWidth="0" w:num="2">
            <w:col w:w="2240" w:space="720"/>
            <w:col w:w="8380"/>
          </w:cols>
          <w:pgMar w:left="240" w:top="220" w:right="319" w:bottom="0" w:gutter="0" w:footer="0" w:header="0"/>
          <w:type w:val="continuous"/>
        </w:sectPr>
      </w:pPr>
    </w:p>
    <w:p>
      <w:pPr>
        <w:ind w:left="100"/>
        <w:spacing w:after="0" w:line="235" w:lineRule="auto"/>
        <w:tabs>
          <w:tab w:leader="none" w:pos="294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48125VPQ7</w:t>
      </w:r>
    </w:p>
    <w:p>
      <w:pPr>
        <w:spacing w:after="0" w:line="1" w:lineRule="exact"/>
        <w:rPr>
          <w:sz w:val="24"/>
          <w:szCs w:val="24"/>
          <w:color w:val="auto"/>
        </w:rPr>
      </w:pPr>
    </w:p>
    <w:p>
      <w:pPr>
        <w:ind w:left="380" w:right="100" w:hanging="158"/>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8"/>
          <w:szCs w:val="18"/>
          <w:color w:val="auto"/>
        </w:rPr>
        <w:t>Subject to postponement in the event of a market disruption event and as described under “Description of Notes — Payment at Maturity” and “Description of Notes – Postponement of a Determination Date – A. Notes Linked to a Single Component” in the accompanying product supplement no. 4-I.</w:t>
      </w:r>
    </w:p>
    <w:p>
      <w:pPr>
        <w:spacing w:after="0" w:line="32"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b w:val="1"/>
          <w:bCs w:val="1"/>
          <w:color w:val="auto"/>
        </w:rPr>
        <w:t>Investing in the Buffered Return Enhanced Notes involves a number of risks. See “Risk Factors” beginning on page PS-21 of the accompanying product supplement no. 4-I, “Risk Factors” beginning on page US-1 of the accompanying underlying supplement no. 1-I and “Selected Risk Considerations” beginning on page TS-2 of this term sheet.</w:t>
      </w:r>
    </w:p>
    <w:p>
      <w:pPr>
        <w:spacing w:after="0" w:line="21" w:lineRule="exact"/>
        <w:rPr>
          <w:sz w:val="24"/>
          <w:szCs w:val="24"/>
          <w:color w:val="auto"/>
        </w:rPr>
      </w:pPr>
    </w:p>
    <w:p>
      <w:pPr>
        <w:spacing w:after="0" w:line="241"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U.S. Securities and Exchange Commission, or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SEC’s website at www.sec.gov. Alternatively, JPMorgan Chase &amp; Co., any agent or any dealer participating in this offering will arrange to send you the prospectus, each prospectus supplement, product supplement no. 4-I, underlying supplement no. 1-I and this term sheet if you so request by calling toll-free 866-535-9248.</w:t>
      </w:r>
    </w:p>
    <w:p>
      <w:pPr>
        <w:sectPr>
          <w:pgSz w:w="11900" w:h="16871" w:orient="portrait"/>
          <w:cols w:equalWidth="0" w:num="1">
            <w:col w:w="11340"/>
          </w:cols>
          <w:pgMar w:left="240" w:top="220" w:right="319" w:bottom="0" w:gutter="0" w:footer="0" w:header="0"/>
          <w:type w:val="continuous"/>
        </w:sectPr>
      </w:pPr>
    </w:p>
    <w:bookmarkStart w:id="1" w:name="page2"/>
    <w:bookmarkEnd w:id="1"/>
    <w:p>
      <w:pPr>
        <w:ind w:right="140"/>
        <w:spacing w:after="0" w:line="246"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50"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Neither the SEC nor any state securities commission has approved or disapproved of the notes or passed upon the accuracy or the adequacy of this term sheet, the accompanying product supplement no. 4-I, underlying supplement no. 1-I, prospectus supplement and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1680" w:type="dxa"/>
            <w:vAlign w:val="bottom"/>
            <w:tcBorders>
              <w:top w:val="single" w:sz="8" w:color="999999"/>
              <w:bottom w:val="single" w:sz="8" w:color="999999"/>
            </w:tcBorders>
          </w:tcPr>
          <w:p>
            <w:pPr>
              <w:spacing w:after="0"/>
              <w:rPr>
                <w:sz w:val="19"/>
                <w:szCs w:val="19"/>
                <w:color w:val="auto"/>
              </w:rPr>
            </w:pPr>
          </w:p>
        </w:tc>
        <w:tc>
          <w:tcPr>
            <w:tcW w:w="3100" w:type="dxa"/>
            <w:vAlign w:val="bottom"/>
            <w:tcBorders>
              <w:top w:val="single" w:sz="8" w:color="999999"/>
              <w:bottom w:val="single" w:sz="8" w:color="999999"/>
            </w:tcBorders>
          </w:tcPr>
          <w:p>
            <w:pPr>
              <w:ind w:left="900"/>
              <w:spacing w:after="0"/>
              <w:rPr>
                <w:sz w:val="20"/>
                <w:szCs w:val="20"/>
                <w:color w:val="auto"/>
              </w:rPr>
            </w:pPr>
            <w:r>
              <w:rPr>
                <w:rFonts w:ascii="Arial" w:cs="Arial" w:eastAsia="Arial" w:hAnsi="Arial"/>
                <w:sz w:val="18"/>
                <w:szCs w:val="18"/>
                <w:b w:val="1"/>
                <w:bCs w:val="1"/>
                <w:color w:val="auto"/>
              </w:rPr>
              <w:t>Price to Public (1)</w:t>
            </w:r>
          </w:p>
        </w:tc>
        <w:tc>
          <w:tcPr>
            <w:tcW w:w="3400" w:type="dxa"/>
            <w:vAlign w:val="bottom"/>
            <w:tcBorders>
              <w:top w:val="single" w:sz="8" w:color="999999"/>
              <w:bottom w:val="single" w:sz="8" w:color="999999"/>
            </w:tcBorders>
          </w:tcPr>
          <w:p>
            <w:pPr>
              <w:ind w:left="660"/>
              <w:spacing w:after="0"/>
              <w:rPr>
                <w:sz w:val="20"/>
                <w:szCs w:val="20"/>
                <w:color w:val="auto"/>
              </w:rPr>
            </w:pPr>
            <w:r>
              <w:rPr>
                <w:rFonts w:ascii="Arial" w:cs="Arial" w:eastAsia="Arial" w:hAnsi="Arial"/>
                <w:sz w:val="18"/>
                <w:szCs w:val="18"/>
                <w:b w:val="1"/>
                <w:bCs w:val="1"/>
                <w:color w:val="auto"/>
              </w:rPr>
              <w:t>Fees and Commissions (2)</w:t>
            </w:r>
          </w:p>
        </w:tc>
        <w:tc>
          <w:tcPr>
            <w:tcW w:w="3240" w:type="dxa"/>
            <w:vAlign w:val="bottom"/>
            <w:tcBorders>
              <w:top w:val="single" w:sz="8" w:color="999999"/>
              <w:bottom w:val="single" w:sz="8" w:color="999999"/>
            </w:tcBorders>
          </w:tcPr>
          <w:p>
            <w:pPr>
              <w:ind w:left="460"/>
              <w:spacing w:after="0"/>
              <w:rPr>
                <w:sz w:val="20"/>
                <w:szCs w:val="20"/>
                <w:color w:val="auto"/>
              </w:rPr>
            </w:pPr>
            <w:r>
              <w:rPr>
                <w:rFonts w:ascii="Arial" w:cs="Arial" w:eastAsia="Arial" w:hAnsi="Arial"/>
                <w:sz w:val="18"/>
                <w:szCs w:val="18"/>
                <w:b w:val="1"/>
                <w:bCs w:val="1"/>
                <w:color w:val="auto"/>
              </w:rPr>
              <w:t>Proceeds to Us</w:t>
            </w:r>
          </w:p>
        </w:tc>
      </w:tr>
      <w:tr>
        <w:trPr>
          <w:trHeight w:val="196"/>
        </w:trPr>
        <w:tc>
          <w:tcPr>
            <w:tcW w:w="1680" w:type="dxa"/>
            <w:vAlign w:val="bottom"/>
            <w:tcBorders>
              <w:bottom w:val="single" w:sz="8" w:color="999999"/>
            </w:tcBorders>
          </w:tcPr>
          <w:p>
            <w:pPr>
              <w:ind w:left="60"/>
              <w:spacing w:after="0" w:line="196" w:lineRule="exact"/>
              <w:rPr>
                <w:sz w:val="20"/>
                <w:szCs w:val="20"/>
                <w:color w:val="auto"/>
              </w:rPr>
            </w:pPr>
            <w:r>
              <w:rPr>
                <w:rFonts w:ascii="Arial" w:cs="Arial" w:eastAsia="Arial" w:hAnsi="Arial"/>
                <w:sz w:val="18"/>
                <w:szCs w:val="18"/>
                <w:b w:val="1"/>
                <w:bCs w:val="1"/>
                <w:color w:val="auto"/>
              </w:rPr>
              <w:t>Per note</w:t>
            </w:r>
          </w:p>
        </w:tc>
        <w:tc>
          <w:tcPr>
            <w:tcW w:w="3100" w:type="dxa"/>
            <w:vAlign w:val="bottom"/>
            <w:tcBorders>
              <w:bottom w:val="single" w:sz="8" w:color="999999"/>
            </w:tcBorders>
          </w:tcPr>
          <w:p>
            <w:pPr>
              <w:ind w:left="900"/>
              <w:spacing w:after="0" w:line="196" w:lineRule="exact"/>
              <w:rPr>
                <w:sz w:val="20"/>
                <w:szCs w:val="20"/>
                <w:color w:val="auto"/>
              </w:rPr>
            </w:pPr>
            <w:r>
              <w:rPr>
                <w:rFonts w:ascii="Arial" w:cs="Arial" w:eastAsia="Arial" w:hAnsi="Arial"/>
                <w:sz w:val="18"/>
                <w:szCs w:val="18"/>
                <w:color w:val="auto"/>
              </w:rPr>
              <w:t>$</w:t>
            </w:r>
          </w:p>
        </w:tc>
        <w:tc>
          <w:tcPr>
            <w:tcW w:w="3400" w:type="dxa"/>
            <w:vAlign w:val="bottom"/>
            <w:tcBorders>
              <w:bottom w:val="single" w:sz="8" w:color="999999"/>
            </w:tcBorders>
          </w:tcPr>
          <w:p>
            <w:pPr>
              <w:ind w:left="660"/>
              <w:spacing w:after="0" w:line="196" w:lineRule="exact"/>
              <w:rPr>
                <w:sz w:val="20"/>
                <w:szCs w:val="20"/>
                <w:color w:val="auto"/>
              </w:rPr>
            </w:pPr>
            <w:r>
              <w:rPr>
                <w:rFonts w:ascii="Arial" w:cs="Arial" w:eastAsia="Arial" w:hAnsi="Arial"/>
                <w:sz w:val="18"/>
                <w:szCs w:val="18"/>
                <w:color w:val="auto"/>
              </w:rPr>
              <w:t>$</w:t>
            </w:r>
          </w:p>
        </w:tc>
        <w:tc>
          <w:tcPr>
            <w:tcW w:w="3240" w:type="dxa"/>
            <w:vAlign w:val="bottom"/>
            <w:tcBorders>
              <w:bottom w:val="single" w:sz="8" w:color="999999"/>
            </w:tcBorders>
          </w:tcPr>
          <w:p>
            <w:pPr>
              <w:ind w:left="460"/>
              <w:spacing w:after="0" w:line="196" w:lineRule="exact"/>
              <w:rPr>
                <w:sz w:val="20"/>
                <w:szCs w:val="20"/>
                <w:color w:val="auto"/>
              </w:rPr>
            </w:pPr>
            <w:r>
              <w:rPr>
                <w:rFonts w:ascii="Arial" w:cs="Arial" w:eastAsia="Arial" w:hAnsi="Arial"/>
                <w:sz w:val="18"/>
                <w:szCs w:val="18"/>
                <w:color w:val="auto"/>
              </w:rPr>
              <w:t>$</w:t>
            </w:r>
          </w:p>
        </w:tc>
      </w:tr>
      <w:tr>
        <w:trPr>
          <w:trHeight w:val="209"/>
        </w:trPr>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ind w:left="900"/>
              <w:spacing w:after="0"/>
              <w:rPr>
                <w:sz w:val="20"/>
                <w:szCs w:val="20"/>
                <w:color w:val="auto"/>
              </w:rPr>
            </w:pPr>
            <w:r>
              <w:rPr>
                <w:rFonts w:ascii="Arial" w:cs="Arial" w:eastAsia="Arial" w:hAnsi="Arial"/>
                <w:sz w:val="18"/>
                <w:szCs w:val="18"/>
                <w:color w:val="auto"/>
              </w:rPr>
              <w:t>$</w:t>
            </w:r>
          </w:p>
        </w:tc>
        <w:tc>
          <w:tcPr>
            <w:tcW w:w="3400" w:type="dxa"/>
            <w:vAlign w:val="bottom"/>
          </w:tcPr>
          <w:p>
            <w:pPr>
              <w:ind w:left="660"/>
              <w:spacing w:after="0"/>
              <w:rPr>
                <w:sz w:val="20"/>
                <w:szCs w:val="20"/>
                <w:color w:val="auto"/>
              </w:rPr>
            </w:pPr>
            <w:r>
              <w:rPr>
                <w:rFonts w:ascii="Arial" w:cs="Arial" w:eastAsia="Arial" w:hAnsi="Arial"/>
                <w:sz w:val="18"/>
                <w:szCs w:val="18"/>
                <w:color w:val="auto"/>
              </w:rPr>
              <w:t>$</w:t>
            </w:r>
          </w:p>
        </w:tc>
        <w:tc>
          <w:tcPr>
            <w:tcW w:w="3240" w:type="dxa"/>
            <w:vAlign w:val="bottom"/>
          </w:tcPr>
          <w:p>
            <w:pPr>
              <w:ind w:left="460"/>
              <w:spacing w:after="0"/>
              <w:rPr>
                <w:sz w:val="20"/>
                <w:szCs w:val="20"/>
                <w:color w:val="auto"/>
              </w:rPr>
            </w:pPr>
            <w:r>
              <w:rPr>
                <w:rFonts w:ascii="Arial" w:cs="Arial" w:eastAsia="Arial" w:hAnsi="Arial"/>
                <w:sz w:val="18"/>
                <w:szCs w:val="18"/>
                <w:color w:val="auto"/>
              </w:rPr>
              <w:t>$</w:t>
            </w:r>
          </w:p>
        </w:tc>
      </w:tr>
    </w:tbl>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to the public includes the estimated cost of hedging our obligations under the notes through one or more of our affiliates.</w:t>
      </w:r>
    </w:p>
    <w:p>
      <w:pPr>
        <w:spacing w:after="0" w:line="103" w:lineRule="exact"/>
        <w:rPr>
          <w:rFonts w:ascii="Arial" w:cs="Arial" w:eastAsia="Arial" w:hAnsi="Arial"/>
          <w:sz w:val="18"/>
          <w:szCs w:val="18"/>
          <w:color w:val="auto"/>
        </w:rPr>
      </w:pPr>
    </w:p>
    <w:p>
      <w:pPr>
        <w:ind w:left="380" w:hanging="372"/>
        <w:spacing w:after="0" w:line="236"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notes priced today and assuming a Maximum Return of 17%, J.P. Morgan Securities LLC, which we refer to as JPMS, acting as agent for JPMorgan Chase &amp; Co., would receive a commission of approximately $21.00 per $1,000 principal amount note and may use a portion of that commission to pay selling concessions to other unaffiliated or affiliated dealers of approximately $2.50 per $1,000 principal amount note. The other dealers may forgo, in their sole discretion, some or all of their selling concessions. This commission includes the projected profits that our affiliates expect to realize, some of which may be allowed to other unaffiliated dealers, for assuming risks inherent in hedging our obligations under the notes. The actual commission received by JPMS may be more or less than $21.00 and will depend on market conditions on the pricing date. In no event will the commission received by JPMS exceed $40.00 per $1,000 principal amount note. See "Plan of Distribution (Conflicts of Interest)" beginning on page PS-77 of the accompanying product supplement no. 4-I.</w:t>
      </w:r>
    </w:p>
    <w:p>
      <w:pPr>
        <w:spacing w:after="0" w:line="8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45720</wp:posOffset>
            </wp:positionV>
            <wp:extent cx="1029335"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E8E86"/>
        </w:rPr>
        <w:t>Additional Terms Specific to the Notes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4-I dated November 14, 2011 and underlying supplement no. 1-I dated November 14, 2011. </w:t>
      </w:r>
      <w:r>
        <w:rPr>
          <w:rFonts w:ascii="Arial" w:cs="Arial" w:eastAsia="Arial" w:hAnsi="Arial"/>
          <w:sz w:val="18"/>
          <w:szCs w:val="18"/>
          <w:b w:val="1"/>
          <w:bCs w:val="1"/>
          <w:color w:val="auto"/>
        </w:rPr>
        <w:t>This term sheet,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among other things, the matters set forth in “Risk Factors” in the accompanying product supplement no. 4-I and the underlying supplement no. 1-I, as the notes involve risks not associated with conventional debt securities. We urge you to consult your investment, legal, tax, accounting and other advisers before you invest in the notes.</w:t>
      </w:r>
    </w:p>
    <w:p>
      <w:pPr>
        <w:spacing w:after="0" w:line="9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You may access these documents on the SEC’s website at www.sec.gov as follows (or if such address has changed, by reviewing our filings for the relevant date on the SEC website):</w:t>
      </w:r>
    </w:p>
    <w:p>
      <w:pPr>
        <w:spacing w:after="0" w:line="89" w:lineRule="exact"/>
        <w:rPr>
          <w:sz w:val="20"/>
          <w:szCs w:val="20"/>
          <w:color w:val="auto"/>
        </w:rPr>
      </w:pPr>
    </w:p>
    <w:p>
      <w:pPr>
        <w:ind w:left="380" w:right="3920" w:hanging="120"/>
        <w:spacing w:after="0" w:line="246" w:lineRule="auto"/>
        <w:tabs>
          <w:tab w:leader="none" w:pos="38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xml:space="preserve">Product supplement no. 4-I dated November 14, 2011: </w:t>
      </w:r>
      <w:hyperlink r:id="rId12">
        <w:r>
          <w:rPr>
            <w:rFonts w:ascii="Arial" w:cs="Arial" w:eastAsia="Arial" w:hAnsi="Arial"/>
            <w:sz w:val="18"/>
            <w:szCs w:val="18"/>
            <w:u w:val="single" w:color="auto"/>
            <w:color w:val="0000EE"/>
          </w:rPr>
          <w:t>http://www.sec.gov/Archives/edgar/data/19617/000089109211007593/e46160_424b2.pdf</w:t>
        </w:r>
      </w:hyperlink>
    </w:p>
    <w:p>
      <w:pPr>
        <w:spacing w:after="0" w:line="88" w:lineRule="exact"/>
        <w:rPr>
          <w:rFonts w:ascii="Arial" w:cs="Arial" w:eastAsia="Arial" w:hAnsi="Arial"/>
          <w:sz w:val="18"/>
          <w:szCs w:val="18"/>
          <w:u w:val="single" w:color="auto"/>
          <w:color w:val="0000EE"/>
        </w:rPr>
      </w:pPr>
    </w:p>
    <w:p>
      <w:pPr>
        <w:ind w:left="380" w:right="3920" w:hanging="120"/>
        <w:spacing w:after="0" w:line="246" w:lineRule="auto"/>
        <w:tabs>
          <w:tab w:leader="none" w:pos="38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xml:space="preserve">Underlying supplement no. 1-I dated November 14, 2011: </w:t>
      </w:r>
      <w:hyperlink r:id="rId13">
        <w:r>
          <w:rPr>
            <w:rFonts w:ascii="Arial" w:cs="Arial" w:eastAsia="Arial" w:hAnsi="Arial"/>
            <w:sz w:val="18"/>
            <w:szCs w:val="18"/>
            <w:u w:val="single" w:color="auto"/>
            <w:color w:val="0000EE"/>
          </w:rPr>
          <w:t>http://www.sec.gov/Archives/edgar/data/19617/000089109211007615/e46154_424b2.pdf</w:t>
        </w:r>
      </w:hyperlink>
    </w:p>
    <w:p>
      <w:pPr>
        <w:spacing w:after="0" w:line="88" w:lineRule="exact"/>
        <w:rPr>
          <w:rFonts w:ascii="Arial" w:cs="Arial" w:eastAsia="Arial" w:hAnsi="Arial"/>
          <w:sz w:val="18"/>
          <w:szCs w:val="18"/>
          <w:u w:val="single" w:color="auto"/>
          <w:color w:val="0000EE"/>
        </w:rPr>
      </w:pPr>
    </w:p>
    <w:p>
      <w:pPr>
        <w:ind w:left="380" w:right="3920" w:hanging="120"/>
        <w:spacing w:after="0" w:line="246" w:lineRule="auto"/>
        <w:tabs>
          <w:tab w:leader="none" w:pos="38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xml:space="preserve">Prospectus supplement dated November 14, 2011: </w:t>
      </w:r>
      <w:hyperlink r:id="rId14">
        <w:r>
          <w:rPr>
            <w:rFonts w:ascii="Arial" w:cs="Arial" w:eastAsia="Arial" w:hAnsi="Arial"/>
            <w:sz w:val="18"/>
            <w:szCs w:val="18"/>
            <w:u w:val="single" w:color="auto"/>
            <w:color w:val="0000EE"/>
          </w:rPr>
          <w:t>http://www.sec.gov/Archives/edgar/data/19617/000089109211007578/e46180_424b2.pdf</w:t>
        </w:r>
      </w:hyperlink>
    </w:p>
    <w:p>
      <w:pPr>
        <w:spacing w:after="0" w:line="88" w:lineRule="exact"/>
        <w:rPr>
          <w:rFonts w:ascii="Arial" w:cs="Arial" w:eastAsia="Arial" w:hAnsi="Arial"/>
          <w:sz w:val="18"/>
          <w:szCs w:val="18"/>
          <w:u w:val="single" w:color="auto"/>
          <w:color w:val="0000EE"/>
        </w:rPr>
      </w:pPr>
    </w:p>
    <w:p>
      <w:pPr>
        <w:ind w:left="380" w:right="3920" w:hanging="120"/>
        <w:spacing w:after="0" w:line="246" w:lineRule="auto"/>
        <w:tabs>
          <w:tab w:leader="none" w:pos="38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xml:space="preserve">Prospectus dated November 14, 2011: </w:t>
      </w:r>
      <w:hyperlink r:id="rId15">
        <w:r>
          <w:rPr>
            <w:rFonts w:ascii="Arial" w:cs="Arial" w:eastAsia="Arial" w:hAnsi="Arial"/>
            <w:sz w:val="18"/>
            <w:szCs w:val="18"/>
            <w:u w:val="single" w:color="auto"/>
            <w:color w:val="0000EE"/>
          </w:rPr>
          <w:t>http://www.sec.gov/Archives/edgar/data/19617/000089109211007568/e46179_424b2.pdf</w:t>
        </w:r>
      </w:hyperlink>
    </w:p>
    <w:p>
      <w:pPr>
        <w:spacing w:after="0" w:line="89" w:lineRule="exact"/>
        <w:rPr>
          <w:rFonts w:ascii="Arial" w:cs="Arial" w:eastAsia="Arial" w:hAnsi="Arial"/>
          <w:sz w:val="18"/>
          <w:szCs w:val="18"/>
          <w:color w:val="auto"/>
        </w:rPr>
      </w:pPr>
    </w:p>
    <w:p>
      <w:pPr>
        <w:ind w:right="840"/>
        <w:spacing w:after="0" w:line="246" w:lineRule="auto"/>
        <w:rPr>
          <w:sz w:val="20"/>
          <w:szCs w:val="20"/>
          <w:color w:val="auto"/>
        </w:rPr>
      </w:pPr>
      <w:r>
        <w:rPr>
          <w:rFonts w:ascii="Arial" w:cs="Arial" w:eastAsia="Arial" w:hAnsi="Arial"/>
          <w:sz w:val="18"/>
          <w:szCs w:val="18"/>
          <w:color w:val="auto"/>
        </w:rPr>
        <w:t>Our Central Index Key, or CIK, on the SEC’s website is 19617. As used in this term sheet, the “Company,” “we,” “us” or “our” refers to JPMorgan Chase &amp; Co.</w:t>
      </w:r>
    </w:p>
    <w:p>
      <w:pPr>
        <w:spacing w:after="0" w:line="10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104" w:lineRule="exact"/>
        <w:rPr>
          <w:rFonts w:ascii="Arial" w:cs="Arial" w:eastAsia="Arial" w:hAnsi="Arial"/>
          <w:sz w:val="18"/>
          <w:szCs w:val="18"/>
          <w:color w:val="auto"/>
        </w:rPr>
      </w:pPr>
    </w:p>
    <w:p>
      <w:pPr>
        <w:ind w:left="380" w:right="140" w:hanging="120"/>
        <w:spacing w:after="0" w:line="24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CAPPED APPRECIATION POTENTIAL </w:t>
      </w:r>
      <w:r>
        <w:rPr>
          <w:rFonts w:ascii="Arial" w:cs="Arial" w:eastAsia="Arial" w:hAnsi="Arial"/>
          <w:sz w:val="18"/>
          <w:szCs w:val="18"/>
          <w:color w:val="auto"/>
        </w:rPr>
        <w:t>— The notes provide the opportunity to enhance equity returns by multiplying a positive Fund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by 2, up to the Maximum Return on the notes. The actual Maximum Return will be set on the pricing date and will not be less than 17% or greater than 21% for a maximum payment at maturity that will not be less than $1,170 or greater than $1,210 for every $1,000 principal amount note. Because the notes are our senior unsecured debt obligations, payment of any amount at maturity is subject to our ability to pay our obligations as they become due.</w:t>
      </w:r>
    </w:p>
    <w:p>
      <w:pPr>
        <w:spacing w:after="0" w:line="68" w:lineRule="exact"/>
        <w:rPr>
          <w:rFonts w:ascii="Arial" w:cs="Arial" w:eastAsia="Arial" w:hAnsi="Arial"/>
          <w:sz w:val="18"/>
          <w:szCs w:val="18"/>
          <w:color w:val="auto"/>
        </w:rPr>
      </w:pPr>
    </w:p>
    <w:p>
      <w:pPr>
        <w:ind w:left="380" w:right="280" w:hanging="120"/>
        <w:spacing w:after="0" w:line="24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LIMITED BUFFER AGAINST LOSS </w:t>
      </w:r>
      <w:r>
        <w:rPr>
          <w:rFonts w:ascii="Arial" w:cs="Arial" w:eastAsia="Arial" w:hAnsi="Arial"/>
          <w:sz w:val="18"/>
          <w:szCs w:val="18"/>
          <w:color w:val="auto"/>
        </w:rPr>
        <w:t>— We will pay you your principal back at maturity if the Final Share Price is not less than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Price by more than 10%. If the Final Share Price is less than the Initial Share Price by more than 10% for every 1% that the Final Share Price is less than the Initial Share Price by more than 10%, you will lose an amount equal to 1% of the principal amount of your notes.</w:t>
      </w:r>
    </w:p>
    <w:p>
      <w:pPr>
        <w:spacing w:after="0" w:line="70" w:lineRule="exact"/>
        <w:rPr>
          <w:rFonts w:ascii="Arial" w:cs="Arial" w:eastAsia="Arial" w:hAnsi="Arial"/>
          <w:sz w:val="18"/>
          <w:szCs w:val="18"/>
          <w:color w:val="auto"/>
        </w:rPr>
      </w:pPr>
    </w:p>
    <w:p>
      <w:pPr>
        <w:ind w:left="380" w:right="100" w:hanging="120"/>
        <w:spacing w:after="0" w:line="199" w:lineRule="auto"/>
        <w:tabs>
          <w:tab w:leader="none" w:pos="38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b w:val="1"/>
          <w:bCs w:val="1"/>
          <w:color w:val="auto"/>
        </w:rPr>
        <w:t>DIVERSIFICATION OF THE iSHARES</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MSCI EMERGING MARKETS INDEX FUND — </w:t>
      </w:r>
      <w:r>
        <w:rPr>
          <w:rFonts w:ascii="Arial" w:cs="Arial" w:eastAsia="Arial" w:hAnsi="Arial"/>
          <w:sz w:val="18"/>
          <w:szCs w:val="18"/>
          <w:color w:val="auto"/>
        </w:rPr>
        <w:t>The iShares</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MSCI Emerging Markets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is an exchange-traded fund of iShares, Inc., which is a registered investment company that consists of numerous separate investment portfolios.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MSCI Emerging Markets Index Fund seeks to provide investment results that correspond generally to the price and yield performance, before fees and expenses, of publicly traded securities in emerging markets as measured by the MSCI Emerging Markets Index, which we refer to as the Underlying Index. The Underlying Index is a free-float adjusted average of the U.S. dollar values of all of the equity securities constituting the MSCI indices for selected emerging markets countries. For additional information about the Index Fund, see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MSCI Emerging Markets Index Fund” in the accompanying underlying supplement no. 1-I.</w:t>
      </w:r>
    </w:p>
    <w:p>
      <w:pPr>
        <w:spacing w:after="0" w:line="72" w:lineRule="exact"/>
        <w:rPr>
          <w:rFonts w:ascii="Arial" w:cs="Arial" w:eastAsia="Arial" w:hAnsi="Arial"/>
          <w:sz w:val="36"/>
          <w:szCs w:val="36"/>
          <w:color w:val="auto"/>
          <w:vertAlign w:val="superscript"/>
        </w:rPr>
      </w:pPr>
    </w:p>
    <w:p>
      <w:pPr>
        <w:ind w:left="380" w:hanging="120"/>
        <w:spacing w:after="0" w:line="23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CAPITAL GAINS TAX TREATMENT </w:t>
      </w:r>
      <w:r>
        <w:rPr>
          <w:rFonts w:ascii="Arial" w:cs="Arial" w:eastAsia="Arial" w:hAnsi="Arial"/>
          <w:sz w:val="18"/>
          <w:szCs w:val="18"/>
          <w:color w:val="auto"/>
        </w:rPr>
        <w:t>— You should review carefully the section entitled “Material U.S. Federal Income 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accompanying product supplement no. 4-I. As described therein, we and you will agree to characterize and treat the notes for U.S. federal income tax purposes as “open transactions.” Subject to the limitations described therein, and based on certain factual representations received from us, in the opinion of our special tax counsel, Sidley Austin </w:t>
      </w:r>
      <w:r>
        <w:rPr>
          <w:rFonts w:ascii="Arial" w:cs="Arial" w:eastAsia="Arial" w:hAnsi="Arial"/>
          <w:sz w:val="12"/>
          <w:szCs w:val="12"/>
          <w:color w:val="auto"/>
        </w:rPr>
        <w:t>LLP</w:t>
      </w:r>
      <w:r>
        <w:rPr>
          <w:rFonts w:ascii="Arial" w:cs="Arial" w:eastAsia="Arial" w:hAnsi="Arial"/>
          <w:sz w:val="18"/>
          <w:szCs w:val="18"/>
          <w:color w:val="auto"/>
        </w:rPr>
        <w:t>, it is reasonable to treat your purchase and ownership of the notes as “open transactions” for U.S. federal income tax purposes. Assuming this characterization is respected, your gain or loss on the notes should be treated as long-term capital gain or loss if you hold the notes for more than a year, whether or not you are an initial purchaser of notes at the issue price. However, the Internal Revenue Service (the “IRS”) or a court may not respect this characterization or treatment of the notes, in which case the timing and character of any income or loss on the notes could be significantly and adversely affected. For example, the notes could be treated either as subject (in whole or in part) to the “constructive ownership transaction” rules of Section 1260 of the Internal Revenue Code of 1986, as amended (the “Code”), as discussed in the section entitled “Material U.S. Federal Income Tax Consequences” in the accompanying product supplement no. 4-I, or as “contingent payment debt instruments.”</w:t>
      </w:r>
    </w:p>
    <w:p>
      <w:pPr>
        <w:spacing w:after="0" w:line="97" w:lineRule="exact"/>
        <w:rPr>
          <w:rFonts w:ascii="Arial" w:cs="Arial" w:eastAsia="Arial" w:hAnsi="Arial"/>
          <w:sz w:val="18"/>
          <w:szCs w:val="18"/>
          <w:color w:val="auto"/>
        </w:rPr>
      </w:pPr>
    </w:p>
    <w:p>
      <w:pPr>
        <w:ind w:left="380" w:right="20"/>
        <w:spacing w:after="0" w:line="236" w:lineRule="auto"/>
        <w:rPr>
          <w:rFonts w:ascii="Arial" w:cs="Arial" w:eastAsia="Arial" w:hAnsi="Arial"/>
          <w:sz w:val="18"/>
          <w:szCs w:val="18"/>
          <w:color w:val="auto"/>
        </w:rPr>
      </w:pPr>
      <w:r>
        <w:rPr>
          <w:rFonts w:ascii="Arial" w:cs="Arial" w:eastAsia="Arial" w:hAnsi="Arial"/>
          <w:sz w:val="18"/>
          <w:szCs w:val="18"/>
          <w:color w:val="auto"/>
        </w:rPr>
        <w:t>A “constructive ownership transaction” includes a contract under which an investor will receive payment equal to or credit for the future value of any equity interest in a regulated investment company (such as shares of the Index Fund (the “Underlying Shares”)). Under the “constructive ownership” rules, if an investment in the notes is treated as a “constructive ownership transaction,” any long-term capital gain recognized by a U.S. Holder in respect of a note will be recharacterized as ordinary income to the extent such gain exceeds the amount of “net underlying long-term capital gain” (as defined in Section 1260 of the Code) of the U.S. Holder, determined as if the U.S. Holder had acquired the Underlying Shares on the original issue date of the note at fair market value and sold them at fair market value on the maturity date (if the note was held until the maturity date) or on the date of sale or exchange of the note (if the note was sold or exchanged prior to the maturity date) (the “Excess Gain”). In addition, an interest charge will also apply to any deemed underpayment of tax in respect of any Excess Gain to the extent such gain would have resulted in gross income inclusion for the U.S. Holder in taxable years prior to the taxable year of the sale,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4" w:lineRule="exact"/>
        <w:rPr>
          <w:rFonts w:ascii="Arial" w:cs="Arial" w:eastAsia="Arial" w:hAnsi="Arial"/>
          <w:sz w:val="18"/>
          <w:szCs w:val="18"/>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TS-1</w:t>
      </w:r>
    </w:p>
    <w:p>
      <w:pPr>
        <w:spacing w:after="0" w:line="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78968E"/>
        </w:rPr>
        <w:t>Buffered Return Enhanced Notes Linked to the iShares</w:t>
      </w:r>
      <w:r>
        <w:rPr>
          <w:rFonts w:ascii="Arial" w:cs="Arial" w:eastAsia="Arial" w:hAnsi="Arial"/>
          <w:sz w:val="29"/>
          <w:szCs w:val="29"/>
          <w:b w:val="1"/>
          <w:bCs w:val="1"/>
          <w:color w:val="78968E"/>
          <w:vertAlign w:val="superscript"/>
        </w:rPr>
        <w:t>®</w:t>
      </w:r>
      <w:r>
        <w:rPr>
          <w:rFonts w:ascii="Arial" w:cs="Arial" w:eastAsia="Arial" w:hAnsi="Arial"/>
          <w:sz w:val="18"/>
          <w:szCs w:val="18"/>
          <w:b w:val="1"/>
          <w:bCs w:val="1"/>
          <w:color w:val="78968E"/>
        </w:rPr>
        <w:t xml:space="preserve"> MSCI Emerging Markets Index Fund</w:t>
      </w:r>
    </w:p>
    <w:p>
      <w:pPr>
        <w:sectPr>
          <w:pgSz w:w="11900" w:h="16838" w:orient="portrait"/>
          <w:cols w:equalWidth="0" w:num="1">
            <w:col w:w="11420"/>
          </w:cols>
          <w:pgMar w:left="240" w:top="468" w:right="239" w:bottom="920" w:gutter="0" w:footer="0" w:header="0"/>
        </w:sectPr>
      </w:pPr>
    </w:p>
    <w:bookmarkStart w:id="3" w:name="page4"/>
    <w:bookmarkEnd w:id="3"/>
    <w:p>
      <w:pPr>
        <w:ind w:left="380" w:right="200"/>
        <w:spacing w:after="0" w:line="246" w:lineRule="auto"/>
        <w:rPr>
          <w:sz w:val="20"/>
          <w:szCs w:val="20"/>
          <w:color w:val="auto"/>
        </w:rPr>
      </w:pPr>
      <w:r>
        <w:rPr>
          <w:rFonts w:ascii="Arial" w:cs="Arial" w:eastAsia="Arial" w:hAnsi="Arial"/>
          <w:sz w:val="18"/>
          <w:szCs w:val="18"/>
          <w:color w:val="auto"/>
        </w:rPr>
        <w:t>exchange, settlement or maturity of the note (assuming such income accrued at a constant rate equal to the applicable federal rate as of the date of sale, exchange, settlement or maturity of the note).</w:t>
      </w:r>
    </w:p>
    <w:p>
      <w:pPr>
        <w:spacing w:after="0" w:line="89" w:lineRule="exact"/>
        <w:rPr>
          <w:sz w:val="20"/>
          <w:szCs w:val="20"/>
          <w:color w:val="auto"/>
        </w:rPr>
      </w:pPr>
    </w:p>
    <w:p>
      <w:pPr>
        <w:ind w:left="380" w:right="20"/>
        <w:spacing w:after="0" w:line="236" w:lineRule="auto"/>
        <w:rPr>
          <w:sz w:val="20"/>
          <w:szCs w:val="20"/>
          <w:color w:val="auto"/>
        </w:rPr>
      </w:pPr>
      <w:r>
        <w:rPr>
          <w:rFonts w:ascii="Arial" w:cs="Arial" w:eastAsia="Arial" w:hAnsi="Arial"/>
          <w:sz w:val="18"/>
          <w:szCs w:val="18"/>
          <w:color w:val="auto"/>
        </w:rPr>
        <w:t>Although the matter is not clear, there exists a risk that an investment in the notes will be treated as a “constructive ownership transaction.” If such treatment applies, it is not entirely clear to what extent any long-term capital gain recognized by a U.S. Holder in respect of a note will be recharacterized as ordinary income. It is possible, for example, that the amount of the Excess Gain (if any) that would be recharacterized as ordinary income in respect of each note will equal the excess of (i) any long-term capital gain recognized by the U.S. Holder in respect of a note over (ii) the “net underlying long-term capital gain” such U.S. Holder would have had if such U.S. Holder had acquired a number of the Underlying Shares at fair market value on the original issue date of the note for an amount equal to the “issue price” of the note and, upon the date of sale, exchange, settlement or maturity of the note, sold such Underlying Shares at fair market value (which would reflect the percentage increase in the value of the Underlying Shares over the term of the note). Accordingly, U.S. Holders should consult their tax advisors regarding the potential application of the “constructive ownership” rules.</w:t>
      </w:r>
    </w:p>
    <w:p>
      <w:pPr>
        <w:spacing w:after="0" w:line="99"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Moreover, on December 7, 2007, the Treasury Department and the IRS released a notice requesting comments on the U.S. federal income tax treatment of “prepaid forward contracts” and similar instruments, such as the notes. The notice focuses in particular on whether to require holders of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Holders should be subject to withholding tax; and whether these instruments are or should be subject to the “constructive ownership” regime, which very generally can operate to recharacterize certain long-term capital gain as ordinary income that is subject to an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Both U.S. and Non-U.S. Holders should consult their tax advisers regarding the U.S. federal income tax consequences of an investment in the notes, including possible alternative treatments and the issues presented by this notice.</w:t>
      </w:r>
    </w:p>
    <w:p>
      <w:pPr>
        <w:spacing w:after="0" w:line="97" w:lineRule="exact"/>
        <w:rPr>
          <w:sz w:val="20"/>
          <w:szCs w:val="20"/>
          <w:color w:val="auto"/>
        </w:rPr>
      </w:pPr>
    </w:p>
    <w:p>
      <w:pPr>
        <w:ind w:left="380" w:right="60"/>
        <w:spacing w:after="0" w:line="239" w:lineRule="auto"/>
        <w:rPr>
          <w:sz w:val="20"/>
          <w:szCs w:val="20"/>
          <w:color w:val="auto"/>
        </w:rPr>
      </w:pPr>
      <w:r>
        <w:rPr>
          <w:rFonts w:ascii="Arial" w:cs="Arial" w:eastAsia="Arial" w:hAnsi="Arial"/>
          <w:sz w:val="18"/>
          <w:szCs w:val="18"/>
          <w:color w:val="auto"/>
        </w:rPr>
        <w:t xml:space="preserve">Subject to certain assumptions and representations received from us, the discussion in this section entitled “Capital Gains Tax Treatment,” when read in combination with the section entitled “Material U.S. Federal Income Tax Consequences” in the accompanying product supplement, constitutes the full opinion of Sidley Austin </w:t>
      </w:r>
      <w:r>
        <w:rPr>
          <w:rFonts w:ascii="Arial" w:cs="Arial" w:eastAsia="Arial" w:hAnsi="Arial"/>
          <w:sz w:val="12"/>
          <w:szCs w:val="12"/>
          <w:color w:val="auto"/>
        </w:rPr>
        <w:t>LLP</w:t>
      </w:r>
      <w:r>
        <w:rPr>
          <w:rFonts w:ascii="Arial" w:cs="Arial" w:eastAsia="Arial" w:hAnsi="Arial"/>
          <w:sz w:val="18"/>
          <w:szCs w:val="18"/>
          <w:color w:val="auto"/>
        </w:rPr>
        <w:t xml:space="preserve"> regarding the material U.S. federal income tax treatment of owning and disposing of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85"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the Index Fund or any of the equity securities held by the Index Fund. These risks are explained in more detail in the “Risk Factors” section of the accompanying product supplement no. 4-I dated November 14, 2011 and the accompanying underlying supplement no. 1-I dated November 14, 2011.</w:t>
      </w:r>
    </w:p>
    <w:p>
      <w:pPr>
        <w:spacing w:after="0" w:line="73" w:lineRule="exact"/>
        <w:rPr>
          <w:sz w:val="20"/>
          <w:szCs w:val="20"/>
          <w:color w:val="auto"/>
        </w:rPr>
      </w:pPr>
    </w:p>
    <w:p>
      <w:pPr>
        <w:ind w:left="380" w:right="140" w:hanging="120"/>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YOUR INVESTMENT IN THE NOTES MAY RESULT IN A LOSS </w:t>
      </w:r>
      <w:r>
        <w:rPr>
          <w:rFonts w:ascii="Arial" w:cs="Arial" w:eastAsia="Arial" w:hAnsi="Arial"/>
          <w:sz w:val="18"/>
          <w:szCs w:val="18"/>
          <w:color w:val="auto"/>
        </w:rPr>
        <w:t>— The notes do not guarantee the full return of the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notes. The return on the notes at maturity is linked to the performance of the Index Fund and will depend on whether, and the extent to which, the Fund Return is positive or negative. Your investment will be exposed to loss if the Final Share Price is less than the Initial Share Price by more than 10%.</w:t>
      </w:r>
    </w:p>
    <w:p>
      <w:pPr>
        <w:spacing w:after="0" w:line="66" w:lineRule="exact"/>
        <w:rPr>
          <w:rFonts w:ascii="Arial" w:cs="Arial" w:eastAsia="Arial" w:hAnsi="Arial"/>
          <w:sz w:val="18"/>
          <w:szCs w:val="18"/>
          <w:color w:val="auto"/>
        </w:rPr>
      </w:pPr>
    </w:p>
    <w:p>
      <w:pPr>
        <w:ind w:left="380" w:right="100" w:hanging="120"/>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YOUR MAXIMUM GAIN ON THE NOTES IS LIMITED TO THE MAXIMUM RETURN </w:t>
      </w:r>
      <w:r>
        <w:rPr>
          <w:rFonts w:ascii="Arial" w:cs="Arial" w:eastAsia="Arial" w:hAnsi="Arial"/>
          <w:sz w:val="18"/>
          <w:szCs w:val="18"/>
          <w:color w:val="auto"/>
        </w:rPr>
        <w:t>— If the Final Share Price is greater than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Price, for each $1,000 principal amount note, you will receive at maturity $1,000 plus an additional amount that will not exceed a predetermined percentage of the principal amount, regardless of the appreciation in the Index Fund, which may be significant. We refer to this percentage as the Maximum Return, which will be set on the pricing date and will not be less than 17% or greater than 21%.</w:t>
      </w:r>
    </w:p>
    <w:p>
      <w:pPr>
        <w:spacing w:after="0" w:line="66" w:lineRule="exact"/>
        <w:rPr>
          <w:rFonts w:ascii="Arial" w:cs="Arial" w:eastAsia="Arial" w:hAnsi="Arial"/>
          <w:sz w:val="18"/>
          <w:szCs w:val="18"/>
          <w:color w:val="auto"/>
        </w:rPr>
      </w:pPr>
    </w:p>
    <w:p>
      <w:pPr>
        <w:ind w:left="380" w:right="60" w:hanging="120"/>
        <w:spacing w:after="0" w:line="25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 ratings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credit spreads may adversely affect the market value of the notes. Investors are dependent on JPMorgan Chase &amp; Co.’s ability to pay all amounts due on the notes at maturity, and therefore investors are subject to our credit risk and to changes in the market’s view of our creditworthiness. Any decline in our credit ratings or increase in the credit spreads charged by the market for taking our credit risk is likely to affect adversely the value of the notes. If we were to default on our payment obligations, you may not receive any amounts owed to you under the notes and you could lose your entire investment.</w:t>
      </w:r>
    </w:p>
    <w:p>
      <w:pPr>
        <w:spacing w:after="0" w:line="74" w:lineRule="exact"/>
        <w:rPr>
          <w:rFonts w:ascii="Arial" w:cs="Arial" w:eastAsia="Arial" w:hAnsi="Arial"/>
          <w:sz w:val="18"/>
          <w:szCs w:val="18"/>
          <w:color w:val="auto"/>
        </w:rPr>
      </w:pPr>
    </w:p>
    <w:p>
      <w:pPr>
        <w:ind w:left="380" w:right="140" w:hanging="120"/>
        <w:spacing w:after="0" w:line="24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hedging our obligations under the notes. In performing these duties, the economic interests of the calculation agent and other affiliates of ours are potentially adverse to your interests as an investor in the notes. It is possible that such hedging or trading activities could result in substantial returns for us or our affiliates while the value of the notes declines. It is possible that these hedging activities or other trading activities of ours or our affiliates could result in substantial returns for us or our affiliates while the value of the notes declines.</w:t>
      </w:r>
    </w:p>
    <w:p>
      <w:pPr>
        <w:spacing w:after="0" w:line="71" w:lineRule="exact"/>
        <w:rPr>
          <w:rFonts w:ascii="Arial" w:cs="Arial" w:eastAsia="Arial" w:hAnsi="Arial"/>
          <w:sz w:val="18"/>
          <w:szCs w:val="18"/>
          <w:color w:val="auto"/>
        </w:rPr>
      </w:pPr>
    </w:p>
    <w:p>
      <w:pPr>
        <w:ind w:left="380" w:right="20" w:hanging="120"/>
        <w:spacing w:after="0" w:line="296"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CERTAIN BUILT-IN COSTS ARE LIKELY TO AFFECT ADVERSELY THE VALUE OF THE NOTES PRIOR TO MATURITY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While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at maturity, if any, described in this term sheet is based on the full principal amount of your notes, the original issue price of the notes includes the agent’s commission and the estimated cost of hedging our obligations under the notes. As a result, and as a general matter, the price, if any, at which JPMS will be willing to purchase notes from you in secondary market transactions, if at all, will likely be lower than the original issue price and any sale prior to the maturity date could result in a substantial loss to you. This secondary market price will also be affected by a number of factors aside from the agent’s commission and hedging costs, including those set forth under “Many Economic and Market Factors Will Impact the Value of the Notes”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39"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TS-2</w:t>
      </w:r>
    </w:p>
    <w:p>
      <w:pPr>
        <w:spacing w:after="0"/>
        <w:rPr>
          <w:sz w:val="20"/>
          <w:szCs w:val="20"/>
          <w:color w:val="auto"/>
        </w:rPr>
      </w:pPr>
      <w:r>
        <w:rPr>
          <w:rFonts w:ascii="Arial" w:cs="Arial" w:eastAsia="Arial" w:hAnsi="Arial"/>
          <w:sz w:val="18"/>
          <w:szCs w:val="18"/>
          <w:b w:val="1"/>
          <w:bCs w:val="1"/>
          <w:color w:val="78968E"/>
        </w:rPr>
        <w:t>Buffered Return Enhanced Notes Linked to the iShares</w:t>
      </w:r>
      <w:r>
        <w:rPr>
          <w:rFonts w:ascii="Arial" w:cs="Arial" w:eastAsia="Arial" w:hAnsi="Arial"/>
          <w:sz w:val="29"/>
          <w:szCs w:val="29"/>
          <w:b w:val="1"/>
          <w:bCs w:val="1"/>
          <w:color w:val="78968E"/>
          <w:vertAlign w:val="superscript"/>
        </w:rPr>
        <w:t>®</w:t>
      </w:r>
      <w:r>
        <w:rPr>
          <w:rFonts w:ascii="Arial" w:cs="Arial" w:eastAsia="Arial" w:hAnsi="Arial"/>
          <w:sz w:val="18"/>
          <w:szCs w:val="18"/>
          <w:b w:val="1"/>
          <w:bCs w:val="1"/>
          <w:color w:val="78968E"/>
        </w:rPr>
        <w:t xml:space="preserve"> MSCI Emerging Markets Index Fund</w:t>
      </w:r>
    </w:p>
    <w:p>
      <w:pPr>
        <w:sectPr>
          <w:pgSz w:w="11900" w:h="16838" w:orient="portrait"/>
          <w:cols w:equalWidth="0" w:num="1">
            <w:col w:w="11420"/>
          </w:cols>
          <w:pgMar w:left="240" w:top="679" w:right="239" w:bottom="1440" w:gutter="0" w:footer="0" w:header="0"/>
        </w:sectPr>
      </w:pPr>
    </w:p>
    <w:bookmarkStart w:id="4" w:name="page5"/>
    <w:bookmarkEnd w:id="4"/>
    <w:p>
      <w:pPr>
        <w:ind w:left="380"/>
        <w:spacing w:after="0"/>
        <w:rPr>
          <w:sz w:val="20"/>
          <w:szCs w:val="20"/>
          <w:color w:val="auto"/>
        </w:rPr>
      </w:pPr>
      <w:r>
        <w:rPr>
          <w:rFonts w:ascii="Arial" w:cs="Arial" w:eastAsia="Arial" w:hAnsi="Arial"/>
          <w:sz w:val="17"/>
          <w:szCs w:val="17"/>
          <w:color w:val="auto"/>
        </w:rPr>
        <w:t>The notes are not designed to be short-term trading instruments. Accordingly, you should be able and willing to hold your notes to maturity.</w:t>
      </w:r>
    </w:p>
    <w:p>
      <w:pPr>
        <w:spacing w:after="0" w:line="93" w:lineRule="exact"/>
        <w:rPr>
          <w:sz w:val="20"/>
          <w:szCs w:val="20"/>
          <w:color w:val="auto"/>
        </w:rPr>
      </w:pPr>
    </w:p>
    <w:p>
      <w:pPr>
        <w:ind w:left="380" w:right="140" w:hanging="120"/>
        <w:spacing w:after="0" w:line="242"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NOTES ARE SUBJECT TO CURRENCY EXCHANGE RISK — </w:t>
      </w:r>
      <w:r>
        <w:rPr>
          <w:rFonts w:ascii="Arial" w:cs="Arial" w:eastAsia="Arial" w:hAnsi="Arial"/>
          <w:sz w:val="18"/>
          <w:szCs w:val="18"/>
          <w:color w:val="auto"/>
        </w:rPr>
        <w:t>Because the prices of the equity securities held by the Index Fund</w:t>
      </w:r>
      <w:r>
        <w:rPr>
          <w:rFonts w:ascii="Arial" w:cs="Arial" w:eastAsia="Arial" w:hAnsi="Arial"/>
          <w:sz w:val="18"/>
          <w:szCs w:val="18"/>
          <w:b w:val="1"/>
          <w:bCs w:val="1"/>
          <w:color w:val="auto"/>
        </w:rPr>
        <w:t xml:space="preserve"> </w:t>
      </w:r>
      <w:r>
        <w:rPr>
          <w:rFonts w:ascii="Arial" w:cs="Arial" w:eastAsia="Arial" w:hAnsi="Arial"/>
          <w:sz w:val="18"/>
          <w:szCs w:val="18"/>
          <w:color w:val="auto"/>
        </w:rPr>
        <w:t>are converted into U.S. dollars for purposes of calculating the net asset value of the Index Fund, your notes will be exposed to currency exchange rate risk with respect to each of the currencies in which the equity securities held by the Index Fund trade. Your net exposure will depend on the extent to which such currencies strengthen or weaken against the U.S. dollar and the relative weight of the equity securities held by the Index Fund denominated in each such currency. If, taking into account such weighting, the U.S. dollar strengthens against such currencies, the value of the Index Fund will be adversely affected and the payment at maturity of the notes may be reduced.</w:t>
      </w:r>
    </w:p>
    <w:p>
      <w:pPr>
        <w:spacing w:after="0" w:line="71" w:lineRule="exact"/>
        <w:rPr>
          <w:rFonts w:ascii="Arial" w:cs="Arial" w:eastAsia="Arial" w:hAnsi="Arial"/>
          <w:sz w:val="18"/>
          <w:szCs w:val="18"/>
          <w:color w:val="auto"/>
        </w:rPr>
      </w:pPr>
    </w:p>
    <w:p>
      <w:pPr>
        <w:ind w:left="380" w:right="40" w:hanging="12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NON-U.S. SECURITIES RISK </w:t>
      </w:r>
      <w:r>
        <w:rPr>
          <w:rFonts w:ascii="Arial" w:cs="Arial" w:eastAsia="Arial" w:hAnsi="Arial"/>
          <w:sz w:val="18"/>
          <w:szCs w:val="18"/>
          <w:color w:val="auto"/>
        </w:rPr>
        <w:t>— The equity securities underlying the Index Fund have been issued by non-U.S. companies.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securities linked to the value of such non-U.S. equity securities involve risks associated with the securities markets in those countries, including risks of volatility in those markets, government intervention in those markets and cross shareholdings in companies in certain countries. Also, there is generally less publicly available information about companies in some of these jurisdictions than about U.S. companies that are subject to the reporting requirements of the SEC, and generally non-U.S. companies are subject to accounting, auditing and financial reporting standards and requirements and securities trading rules different from those applicable to U.S. reporting companies. The prices of securities in foreign markets may be affected by political, economic, financial and social factors in those countries, or global regions, including changes in government, economic and fiscal policies and currency exchange laws.</w:t>
      </w:r>
    </w:p>
    <w:p>
      <w:pPr>
        <w:spacing w:after="0" w:line="72" w:lineRule="exact"/>
        <w:rPr>
          <w:rFonts w:ascii="Arial" w:cs="Arial" w:eastAsia="Arial" w:hAnsi="Arial"/>
          <w:sz w:val="18"/>
          <w:szCs w:val="18"/>
          <w:color w:val="auto"/>
        </w:rPr>
      </w:pPr>
    </w:p>
    <w:p>
      <w:pPr>
        <w:ind w:left="380" w:hanging="120"/>
        <w:spacing w:after="0" w:line="23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EMERGING MARKETS RISK — </w:t>
      </w:r>
      <w:r>
        <w:rPr>
          <w:rFonts w:ascii="Arial" w:cs="Arial" w:eastAsia="Arial" w:hAnsi="Arial"/>
          <w:sz w:val="18"/>
          <w:szCs w:val="18"/>
          <w:color w:val="auto"/>
        </w:rPr>
        <w:t>The foreign equity securities held by the Index Fund have been issued by non-U.S. companies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emerging markets countries. Countries with emerging markets may have relatively unstable governments, may present the risks of nationalization of businesses, restrictions on foreign ownership and prohibitions on the repatriation of assets, and may have less protection of property rights than more developed countries. The economies of countries with emerging markets may be based on only a few industries, may be highly vulnerable to changes in local or global trade conditions, and may suffer from extreme and volatile debt burdens or inflation rates. Local securities markets may trade a small number of securities and may be unable to respond effectively to increases in trading volume, potentially making prompt liquidation of holdings difficult or impossible at times. Moreover, the economies in such countries may differ favorably or unfavorably from the economy in the United States in such respects as growth of gross national product, rate of inflation, capital reinvestment, resources and self-sufficiency. Any of the foregoing could adversely affect the market value of shares of the Index Fund and the notes.</w:t>
      </w:r>
    </w:p>
    <w:p>
      <w:pPr>
        <w:spacing w:after="0" w:line="72" w:lineRule="exact"/>
        <w:rPr>
          <w:rFonts w:ascii="Arial" w:cs="Arial" w:eastAsia="Arial" w:hAnsi="Arial"/>
          <w:sz w:val="18"/>
          <w:szCs w:val="18"/>
          <w:color w:val="auto"/>
        </w:rPr>
      </w:pPr>
    </w:p>
    <w:p>
      <w:pPr>
        <w:ind w:left="380" w:right="80" w:hanging="120"/>
        <w:spacing w:after="0" w:line="23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THERE ARE RISKS ASSOCIATED WITH THE INDEX FUND </w:t>
      </w:r>
      <w:r>
        <w:rPr>
          <w:rFonts w:ascii="Arial" w:cs="Arial" w:eastAsia="Arial" w:hAnsi="Arial"/>
          <w:sz w:val="18"/>
          <w:szCs w:val="18"/>
          <w:color w:val="auto"/>
        </w:rPr>
        <w:t>— Although shares of the Index Fund are listed for trading on NYSE Arca,</w:t>
      </w:r>
      <w:r>
        <w:rPr>
          <w:rFonts w:ascii="Arial" w:cs="Arial" w:eastAsia="Arial" w:hAnsi="Arial"/>
          <w:sz w:val="18"/>
          <w:szCs w:val="18"/>
          <w:b w:val="1"/>
          <w:bCs w:val="1"/>
          <w:color w:val="auto"/>
        </w:rPr>
        <w:t xml:space="preserve"> </w:t>
      </w:r>
      <w:r>
        <w:rPr>
          <w:rFonts w:ascii="Arial" w:cs="Arial" w:eastAsia="Arial" w:hAnsi="Arial"/>
          <w:sz w:val="18"/>
          <w:szCs w:val="18"/>
          <w:color w:val="auto"/>
        </w:rPr>
        <w:t>Inc. (“NYSE Arca”) and a number of similar products have been traded on various national securities exchanges for varying periods of time, there is no assurance that an active trading market will continue for the shares of the Index Fund or that there will be liquidity in the trading market. In addition, the Index Fund is subject to management risk, which is the risk that the strategy of BlackRock Fund Advisors (“BFA”), the Index Fund’s investment advisor, the implementation of which is subject to a number of constraints, may not produce the intended results. For example, BFA may select up to 10% of the Index Fund’s assets to be invested in securities not included in its Underlying Index but which BFA believes will help the Index Fund track its Underlying Index, and in futures contracts, options on futures contracts, options and swaps as well as cash and cash equivalents, including shares of money market funds advised by BFA. Any of such actions could adversely affect the market price of the shares of the Index Fund, and consequently, the value of the notes.</w:t>
      </w:r>
    </w:p>
    <w:p>
      <w:pPr>
        <w:spacing w:after="0" w:line="76" w:lineRule="exact"/>
        <w:rPr>
          <w:rFonts w:ascii="Arial" w:cs="Arial" w:eastAsia="Arial" w:hAnsi="Arial"/>
          <w:sz w:val="18"/>
          <w:szCs w:val="18"/>
          <w:color w:val="auto"/>
        </w:rPr>
      </w:pPr>
    </w:p>
    <w:p>
      <w:pPr>
        <w:ind w:left="380" w:right="60" w:hanging="12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DIFFERENCES BETWEEN THE INDEX FUND AND THE MSCI EMERGING MARKETS INDEX </w:t>
      </w:r>
      <w:r>
        <w:rPr>
          <w:rFonts w:ascii="Arial" w:cs="Arial" w:eastAsia="Arial" w:hAnsi="Arial"/>
          <w:sz w:val="18"/>
          <w:szCs w:val="18"/>
          <w:color w:val="auto"/>
        </w:rPr>
        <w:t>— The Index Fund does 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replicate the MSCI Emerging Markets Index, may hold securities not included in the Underlying Index and will reflect additional transaction costs and fees that are not included in the calculation of the Underlying Index, all of which may lead to a lack of correlation between the Index Fund and the Underlying Index. In addition, corporate actions with respect to the sample of equity securities (such as mergers and spin-offs) may impact the variance between the Index Fund and the Underlying Index. Finally, because the shares of the Index Fund are traded on the NYSE Arca and are subject to market supply and investor demand, the market value of one share of the Index Fund may differ from the net asset value per share of the Index Fund. For all of the foregoing reasons, the performance of the Index Fund may not correlate with the performance of the Underlying Index.</w:t>
      </w:r>
    </w:p>
    <w:p>
      <w:pPr>
        <w:spacing w:after="0" w:line="72" w:lineRule="exact"/>
        <w:rPr>
          <w:rFonts w:ascii="Arial" w:cs="Arial" w:eastAsia="Arial" w:hAnsi="Arial"/>
          <w:sz w:val="18"/>
          <w:szCs w:val="18"/>
          <w:color w:val="auto"/>
        </w:rPr>
      </w:pPr>
    </w:p>
    <w:p>
      <w:pPr>
        <w:ind w:left="380" w:right="120" w:hanging="120"/>
        <w:spacing w:after="0" w:line="25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 INTEREST OR DIVIDEND PAYMENTS OR VOTING RIGHTS </w:t>
      </w:r>
      <w:r>
        <w:rPr>
          <w:rFonts w:ascii="Arial" w:cs="Arial" w:eastAsia="Arial" w:hAnsi="Arial"/>
          <w:sz w:val="18"/>
          <w:szCs w:val="18"/>
          <w:color w:val="auto"/>
        </w:rPr>
        <w:t>— As a holder of the notes, you will not receive interest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have voting rights or rights to receive cash dividends or other distributions or other rights that holders of shares of the Index Fund or equity securities held by the Index Fund or included in the Underlying Index would have.</w:t>
      </w:r>
    </w:p>
    <w:p>
      <w:pPr>
        <w:spacing w:after="0" w:line="61" w:lineRule="exact"/>
        <w:rPr>
          <w:rFonts w:ascii="Arial" w:cs="Arial" w:eastAsia="Arial" w:hAnsi="Arial"/>
          <w:sz w:val="18"/>
          <w:szCs w:val="18"/>
          <w:color w:val="auto"/>
        </w:rPr>
      </w:pPr>
    </w:p>
    <w:p>
      <w:pPr>
        <w:ind w:left="380" w:right="20" w:hanging="12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66" w:lineRule="exact"/>
        <w:rPr>
          <w:rFonts w:ascii="Arial" w:cs="Arial" w:eastAsia="Arial" w:hAnsi="Arial"/>
          <w:sz w:val="18"/>
          <w:szCs w:val="18"/>
          <w:color w:val="auto"/>
        </w:rPr>
      </w:pPr>
    </w:p>
    <w:p>
      <w:pPr>
        <w:ind w:left="380" w:right="20" w:hanging="12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ANTI-DILUTION PROTECTION FOR THE INDEX FUND IS LIMITED </w:t>
      </w:r>
      <w:r>
        <w:rPr>
          <w:rFonts w:ascii="Arial" w:cs="Arial" w:eastAsia="Arial" w:hAnsi="Arial"/>
          <w:sz w:val="18"/>
          <w:szCs w:val="18"/>
          <w:color w:val="auto"/>
        </w:rPr>
        <w:t>— The calculation agent will make adjustments to the Share</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Factor for certain events affecting the shares of the Index Fund. However, the calculation agent will not make an adjustment in response to all events that could affect the shares of the Index Fund. If an event occurs that does not require the calculation agent to make an adjustment, the value of the notes may be materially and adversely affected.</w:t>
      </w:r>
    </w:p>
    <w:p>
      <w:pPr>
        <w:spacing w:after="0" w:line="66" w:lineRule="exact"/>
        <w:rPr>
          <w:rFonts w:ascii="Arial" w:cs="Arial" w:eastAsia="Arial" w:hAnsi="Arial"/>
          <w:sz w:val="18"/>
          <w:szCs w:val="18"/>
          <w:color w:val="auto"/>
        </w:rPr>
      </w:pPr>
    </w:p>
    <w:p>
      <w:pPr>
        <w:jc w:val="both"/>
        <w:ind w:left="380" w:right="100" w:hanging="120"/>
        <w:spacing w:after="0" w:line="25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MANY ECONOMIC AND MARKET FACTORS WILL IMPACT THE VALUE OF THE NOTES </w:t>
      </w:r>
      <w:r>
        <w:rPr>
          <w:rFonts w:ascii="Arial" w:cs="Arial" w:eastAsia="Arial" w:hAnsi="Arial"/>
          <w:sz w:val="18"/>
          <w:szCs w:val="18"/>
          <w:color w:val="auto"/>
        </w:rPr>
        <w:t>— In addition to the closing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Index Fund on any day, the value of the notes will be affected by a number of economic and market factors that may either offset or magnify each other, including:</w:t>
      </w:r>
    </w:p>
    <w:p>
      <w:pPr>
        <w:spacing w:after="0" w:line="83" w:lineRule="exact"/>
        <w:rPr>
          <w:rFonts w:ascii="Arial" w:cs="Arial" w:eastAsia="Arial" w:hAnsi="Arial"/>
          <w:sz w:val="18"/>
          <w:szCs w:val="18"/>
          <w:color w:val="auto"/>
        </w:rPr>
      </w:pPr>
    </w:p>
    <w:p>
      <w:pPr>
        <w:ind w:left="800" w:hanging="135"/>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actual and expected volatility of the Index Fund;</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time to maturity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91"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TS-3</w:t>
      </w:r>
    </w:p>
    <w:p>
      <w:pPr>
        <w:spacing w:after="0"/>
        <w:rPr>
          <w:sz w:val="20"/>
          <w:szCs w:val="20"/>
          <w:color w:val="auto"/>
        </w:rPr>
      </w:pPr>
      <w:r>
        <w:rPr>
          <w:rFonts w:ascii="Arial" w:cs="Arial" w:eastAsia="Arial" w:hAnsi="Arial"/>
          <w:sz w:val="18"/>
          <w:szCs w:val="18"/>
          <w:b w:val="1"/>
          <w:bCs w:val="1"/>
          <w:color w:val="78968E"/>
        </w:rPr>
        <w:t>Buffered Return Enhanced Notes Linked to the iShares</w:t>
      </w:r>
      <w:r>
        <w:rPr>
          <w:rFonts w:ascii="Arial" w:cs="Arial" w:eastAsia="Arial" w:hAnsi="Arial"/>
          <w:sz w:val="29"/>
          <w:szCs w:val="29"/>
          <w:b w:val="1"/>
          <w:bCs w:val="1"/>
          <w:color w:val="78968E"/>
          <w:vertAlign w:val="superscript"/>
        </w:rPr>
        <w:t>®</w:t>
      </w:r>
      <w:r>
        <w:rPr>
          <w:rFonts w:ascii="Arial" w:cs="Arial" w:eastAsia="Arial" w:hAnsi="Arial"/>
          <w:sz w:val="18"/>
          <w:szCs w:val="18"/>
          <w:b w:val="1"/>
          <w:bCs w:val="1"/>
          <w:color w:val="78968E"/>
        </w:rPr>
        <w:t xml:space="preserve"> MSCI Emerging Markets Index Fund</w:t>
      </w:r>
    </w:p>
    <w:p>
      <w:pPr>
        <w:sectPr>
          <w:pgSz w:w="11900" w:h="16838" w:orient="portrait"/>
          <w:cols w:equalWidth="0" w:num="1">
            <w:col w:w="11420"/>
          </w:cols>
          <w:pgMar w:left="240" w:top="679" w:right="239" w:bottom="1440" w:gutter="0" w:footer="0" w:header="0"/>
        </w:sectPr>
      </w:pPr>
    </w:p>
    <w:bookmarkStart w:id="5" w:name="page6"/>
    <w:bookmarkEnd w:id="5"/>
    <w:p>
      <w:pPr>
        <w:ind w:left="800" w:hanging="13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 on the equity securities held by the Index Fund;</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and yield rates in the market generally as well as in each of the markets of the equity securities held by the Index Fund;</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occurrence of certain events affecting the Index Fund that may or may not require an adjustment to the Share Adjustment Factor;</w:t>
      </w:r>
    </w:p>
    <w:p>
      <w:pPr>
        <w:spacing w:after="0" w:line="117" w:lineRule="exact"/>
        <w:rPr>
          <w:rFonts w:ascii="Arial" w:cs="Arial" w:eastAsia="Arial" w:hAnsi="Arial"/>
          <w:sz w:val="18"/>
          <w:szCs w:val="18"/>
          <w:color w:val="auto"/>
        </w:rPr>
      </w:pPr>
    </w:p>
    <w:p>
      <w:pPr>
        <w:ind w:left="800" w:right="160" w:hanging="135"/>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variety of economic, financial, political, regulatory and judicial events that affect the equity securities held by the Index Fund or the stock markets generally;</w:t>
      </w:r>
    </w:p>
    <w:p>
      <w:pPr>
        <w:spacing w:after="0" w:line="88" w:lineRule="exact"/>
        <w:rPr>
          <w:rFonts w:ascii="Arial" w:cs="Arial" w:eastAsia="Arial" w:hAnsi="Arial"/>
          <w:sz w:val="18"/>
          <w:szCs w:val="18"/>
          <w:color w:val="auto"/>
        </w:rPr>
      </w:pPr>
    </w:p>
    <w:p>
      <w:pPr>
        <w:jc w:val="both"/>
        <w:ind w:left="800" w:right="500" w:hanging="135"/>
        <w:spacing w:after="0" w:line="275"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exchange rate and the volatility of the exchange rate between the U.S. dollar and each of the currencies in which the equity securities held by the Index Fund trade and the correlation between those rates and the prices of shares of the Index Fund; and</w:t>
      </w:r>
    </w:p>
    <w:p>
      <w:pPr>
        <w:spacing w:after="0" w:line="65" w:lineRule="exact"/>
        <w:rPr>
          <w:rFonts w:ascii="Arial" w:cs="Arial" w:eastAsia="Arial" w:hAnsi="Arial"/>
          <w:sz w:val="17"/>
          <w:szCs w:val="17"/>
          <w:color w:val="auto"/>
        </w:rPr>
      </w:pPr>
    </w:p>
    <w:p>
      <w:pPr>
        <w:ind w:left="800" w:hanging="13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creditworthiness, including actual or anticipated downgrades in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91"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TS-4</w:t>
      </w:r>
    </w:p>
    <w:p>
      <w:pPr>
        <w:spacing w:after="0"/>
        <w:rPr>
          <w:sz w:val="20"/>
          <w:szCs w:val="20"/>
          <w:color w:val="auto"/>
        </w:rPr>
      </w:pPr>
      <w:r>
        <w:rPr>
          <w:rFonts w:ascii="Arial" w:cs="Arial" w:eastAsia="Arial" w:hAnsi="Arial"/>
          <w:sz w:val="18"/>
          <w:szCs w:val="18"/>
          <w:b w:val="1"/>
          <w:bCs w:val="1"/>
          <w:color w:val="78968E"/>
        </w:rPr>
        <w:t>Buffered Return Enhanced Notes Linked to the iShares</w:t>
      </w:r>
      <w:r>
        <w:rPr>
          <w:rFonts w:ascii="Arial" w:cs="Arial" w:eastAsia="Arial" w:hAnsi="Arial"/>
          <w:sz w:val="29"/>
          <w:szCs w:val="29"/>
          <w:b w:val="1"/>
          <w:bCs w:val="1"/>
          <w:color w:val="78968E"/>
          <w:vertAlign w:val="superscript"/>
        </w:rPr>
        <w:t>®</w:t>
      </w:r>
      <w:r>
        <w:rPr>
          <w:rFonts w:ascii="Arial" w:cs="Arial" w:eastAsia="Arial" w:hAnsi="Arial"/>
          <w:sz w:val="18"/>
          <w:szCs w:val="18"/>
          <w:b w:val="1"/>
          <w:bCs w:val="1"/>
          <w:color w:val="78968E"/>
        </w:rPr>
        <w:t xml:space="preserve"> MSCI Emerging Markets Index Fund</w:t>
      </w:r>
    </w:p>
    <w:p>
      <w:pPr>
        <w:sectPr>
          <w:pgSz w:w="11900" w:h="16838" w:orient="portrait"/>
          <w:cols w:equalWidth="0" w:num="1">
            <w:col w:w="11420"/>
          </w:cols>
          <w:pgMar w:left="240" w:top="67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48079"/>
        </w:rPr>
        <w:t>What Is the Total Return and Payment on the Notes at Maturity Assuming a Range of Performances for the Index Fund?</w:t>
      </w:r>
    </w:p>
    <w:p>
      <w:pPr>
        <w:spacing w:after="0" w:line="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following table illustrates the hypothetical total return at maturity and hypothetical payment at maturity on the notes. The “total return” as used in this term sheet is the number, expressed as a percentage, that results from comparing the payment at maturity per $1,000 principal amount note to $1,000. The hypothetical total returns and hypothetical payments at maturity set forth below reflect the Upside Leverage Factor of 2 and the Buffer Amount of 10% and assume a Maximum Return on the notes of 17% (the low point of the expected range on the cover of this term sheet) and an Initial Share Price of $40.00 (which is not the actual Initial Share Price applicable to the notes). </w:t>
      </w:r>
      <w:r>
        <w:rPr>
          <w:rFonts w:ascii="Arial" w:cs="Arial" w:eastAsia="Arial" w:hAnsi="Arial"/>
          <w:sz w:val="18"/>
          <w:szCs w:val="18"/>
          <w:b w:val="1"/>
          <w:bCs w:val="1"/>
          <w:color w:val="auto"/>
        </w:rPr>
        <w:t>The actual Maximum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Return will be set on the pricing date and will not be less than 17% or greater than 21%. </w:t>
      </w:r>
      <w:r>
        <w:rPr>
          <w:rFonts w:ascii="Arial" w:cs="Arial" w:eastAsia="Arial" w:hAnsi="Arial"/>
          <w:sz w:val="18"/>
          <w:szCs w:val="18"/>
          <w:color w:val="auto"/>
        </w:rPr>
        <w:t>The hypothetical total returns and hypothetical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at maturity set forth below are for illustrative purposes only and may not be the actual total returns or payments at maturity applicable to a purchaser of the notes. The numbers appearing in the following table and examples have been rounded for ease of analysis. These hypothetical returns do not reflect fees or expenses that would be associated with any sale in the secondary market. If these fees and expenses were included, the hypothetical total returns shown below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88900</wp:posOffset>
            </wp:positionV>
            <wp:extent cx="3747770" cy="3361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74777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The following graph demonstrates the hypothetical total return on the notes at maturity for a sub-set of the Fund Returns detailed above (-30% to 30%). </w:t>
      </w:r>
      <w:r>
        <w:rPr>
          <w:rFonts w:ascii="Arial" w:cs="Arial" w:eastAsia="Arial" w:hAnsi="Arial"/>
          <w:sz w:val="18"/>
          <w:szCs w:val="18"/>
          <w:b w:val="1"/>
          <w:bCs w:val="1"/>
          <w:color w:val="auto"/>
        </w:rPr>
        <w:t>Your investment may result in a loss of up to 90% of your principal at maturity.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Buffered Return Enhanced Notes Linked to the iShares</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MSCI Emerging Markets Index Fund</w:t>
      </w:r>
    </w:p>
    <w:p>
      <w:pPr>
        <w:jc w:val="center"/>
        <w:spacing w:after="0"/>
        <w:rPr>
          <w:sz w:val="20"/>
          <w:szCs w:val="20"/>
          <w:color w:val="auto"/>
        </w:rPr>
      </w:pPr>
      <w:r>
        <w:rPr>
          <w:rFonts w:ascii="Arial" w:cs="Arial" w:eastAsia="Arial" w:hAnsi="Arial"/>
          <w:sz w:val="18"/>
          <w:szCs w:val="18"/>
          <w:b w:val="1"/>
          <w:bCs w:val="1"/>
          <w:color w:val="auto"/>
        </w:rPr>
        <w:t>Total Return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263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24662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Buffered Return Enhanced Notes Linked to the iShares</w:t>
      </w:r>
      <w:r>
        <w:rPr>
          <w:rFonts w:ascii="Arial" w:cs="Arial" w:eastAsia="Arial" w:hAnsi="Arial"/>
          <w:sz w:val="29"/>
          <w:szCs w:val="29"/>
          <w:b w:val="1"/>
          <w:bCs w:val="1"/>
          <w:color w:val="78968E"/>
          <w:vertAlign w:val="superscript"/>
        </w:rPr>
        <w:t>®</w:t>
      </w:r>
      <w:r>
        <w:rPr>
          <w:rFonts w:ascii="Arial" w:cs="Arial" w:eastAsia="Arial" w:hAnsi="Arial"/>
          <w:sz w:val="18"/>
          <w:szCs w:val="18"/>
          <w:b w:val="1"/>
          <w:bCs w:val="1"/>
          <w:color w:val="78968E"/>
        </w:rPr>
        <w:t xml:space="preserve"> MSCI Emerging Markets Index Fund</w:t>
      </w:r>
    </w:p>
    <w:p>
      <w:pPr>
        <w:sectPr>
          <w:pgSz w:w="11900" w:h="16838" w:orient="portrait"/>
          <w:cols w:equalWidth="0" w:num="1">
            <w:col w:w="11420"/>
          </w:cols>
          <w:pgMar w:left="240" w:top="6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648079"/>
        </w:rPr>
        <w:t>Hypothetical Examples of Amounts Payable at Maturity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returns set forth in the table on the previous page are calculated.</w:t>
      </w:r>
    </w:p>
    <w:p>
      <w:pPr>
        <w:spacing w:after="0" w:line="5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Example 1: The closing price of one share of the Index Fund increases from the Initial Share Price of $40.00 to a Final Share Price of $42.00. </w:t>
      </w:r>
      <w:r>
        <w:rPr>
          <w:rFonts w:ascii="Arial" w:cs="Arial" w:eastAsia="Arial" w:hAnsi="Arial"/>
          <w:sz w:val="18"/>
          <w:szCs w:val="18"/>
          <w:color w:val="auto"/>
        </w:rPr>
        <w:t>Because the Final Share Price of $42.00 is greater than the Initial Share Price of $40.00 and the Fund Return of 5% multiplied by 2</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exceed the hypothetical Maximum Return of 17%, the investor receives a payment at maturity of $1,100 per $1,000 principal amount note, calculated as follows: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($1,000 × 5% × 2) = $1,100</w:t>
      </w:r>
    </w:p>
    <w:p>
      <w:pPr>
        <w:spacing w:after="0" w:line="4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color w:val="auto"/>
        </w:rPr>
        <w:t xml:space="preserve">Example 2: The closing price of one share of the Index Fund decreases from the Initial Share Price of $40.00 to a Final Share Price of $38.00. </w:t>
      </w:r>
      <w:r>
        <w:rPr>
          <w:rFonts w:ascii="Arial" w:cs="Arial" w:eastAsia="Arial" w:hAnsi="Arial"/>
          <w:sz w:val="18"/>
          <w:szCs w:val="18"/>
          <w:color w:val="auto"/>
        </w:rPr>
        <w:t>Because the Final Share Price of $38.00 is less than the Initial Share Price of $40.00 by not more than the Buffer Amount of 10%,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receives a payment at maturity of $1,000 per $1,000 principal amount note.</w:t>
      </w:r>
    </w:p>
    <w:p>
      <w:pPr>
        <w:spacing w:after="0" w:line="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Example 3: The closing price of one share of the Index Fund decreases from the Initial Share Price of $40.00 to a Final Share Price of $28.00. </w:t>
      </w:r>
      <w:r>
        <w:rPr>
          <w:rFonts w:ascii="Arial" w:cs="Arial" w:eastAsia="Arial" w:hAnsi="Arial"/>
          <w:sz w:val="18"/>
          <w:szCs w:val="18"/>
          <w:color w:val="auto"/>
        </w:rPr>
        <w:t>Because the Final Share Price of $28.00 is less than the Initial Share Price of $40.00 by more than the Buffer Amount of 10%,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receives a payment at maturity of $800 per $1,000 principal amount note, calculated as follows: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$1,000 + [$1,000 × (-30% + 10%)] = $800</w:t>
      </w:r>
    </w:p>
    <w:p>
      <w:pPr>
        <w:spacing w:after="0" w:line="4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Example 4: The closing price of one share of the Index Fund increases from the Initial Share Price of $40.00 to a Final Share Price of $48.00. </w:t>
      </w:r>
      <w:r>
        <w:rPr>
          <w:rFonts w:ascii="Arial" w:cs="Arial" w:eastAsia="Arial" w:hAnsi="Arial"/>
          <w:sz w:val="18"/>
          <w:szCs w:val="18"/>
          <w:color w:val="auto"/>
        </w:rPr>
        <w:t>Because the Final Share Price of $ 48.00 is greater than the Initial Share Price of $40.00, and the Fund Return of 20% multiplied by 2</w:t>
      </w:r>
      <w:r>
        <w:rPr>
          <w:rFonts w:ascii="Arial" w:cs="Arial" w:eastAsia="Arial" w:hAnsi="Arial"/>
          <w:sz w:val="18"/>
          <w:szCs w:val="18"/>
          <w:b w:val="1"/>
          <w:bCs w:val="1"/>
          <w:color w:val="auto"/>
        </w:rPr>
        <w:t xml:space="preserve"> </w:t>
      </w:r>
      <w:r>
        <w:rPr>
          <w:rFonts w:ascii="Arial" w:cs="Arial" w:eastAsia="Arial" w:hAnsi="Arial"/>
          <w:sz w:val="18"/>
          <w:szCs w:val="18"/>
          <w:color w:val="auto"/>
        </w:rPr>
        <w:t>exceeds the hypothetical Maximum Return of 17%, the investor receives a payment at maturity of $1,170 per $1,000 principal amount note, the maximum payment on the notes.</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Example 5: The closing price of one share of the Index Fund decreases from the Initial Share Price of $40.00 to a Final Share Price of $0.00. </w:t>
      </w:r>
      <w:r>
        <w:rPr>
          <w:rFonts w:ascii="Arial" w:cs="Arial" w:eastAsia="Arial" w:hAnsi="Arial"/>
          <w:sz w:val="18"/>
          <w:szCs w:val="18"/>
          <w:color w:val="auto"/>
        </w:rPr>
        <w:t>Because the Final Share Price of $ 0.00 is less than the Initial Share Price of $40.00 by more than the Buffer Amount of 10%,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receives a payment at maturity of $100 per $1,000 principal amount note calculated as follows: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$1,000 + [$1,000 × (-100% + 10%)] = $100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w:t>
      </w:r>
    </w:p>
    <w:p>
      <w:pPr>
        <w:spacing w:after="0" w:line="8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graph sets forth the historical weekly performance of the Index Fund from January 5, 2007 through February 24, 2012. The closing price of one share of the Index Fund on February 28, 2012 was $44.36. We obtained the Index Fund closing prices below from Bloomberg Financial Markets. We make no representation or warranty as to the accuracy or completeness of the information obtained from Bloomberg Financial Markets.</w:t>
      </w:r>
    </w:p>
    <w:p>
      <w:pPr>
        <w:spacing w:after="0" w:line="5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historical closing prices per share of the Index Fund should not be taken as an indication of future performance, and no assurance can be given as to the closing price per share of the Index Fund on the pricing date or the Observation Date. We cannot give you assurance that the performance of the Index Fund will result in the return of your initial investment in excess of $100 per $1,000 principal amount note, subject to the credit risk of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710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Buffered Return Enhanced Notes Linked to the iShares</w:t>
      </w:r>
      <w:r>
        <w:rPr>
          <w:rFonts w:ascii="Arial" w:cs="Arial" w:eastAsia="Arial" w:hAnsi="Arial"/>
          <w:sz w:val="29"/>
          <w:szCs w:val="29"/>
          <w:b w:val="1"/>
          <w:bCs w:val="1"/>
          <w:color w:val="78968E"/>
          <w:vertAlign w:val="superscript"/>
        </w:rPr>
        <w:t>®</w:t>
      </w:r>
      <w:r>
        <w:rPr>
          <w:rFonts w:ascii="Arial" w:cs="Arial" w:eastAsia="Arial" w:hAnsi="Arial"/>
          <w:sz w:val="18"/>
          <w:szCs w:val="18"/>
          <w:b w:val="1"/>
          <w:bCs w:val="1"/>
          <w:color w:val="78968E"/>
        </w:rPr>
        <w:t xml:space="preserve"> MSCI Emerging Markets Index Fund</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image" Target="media/image10.png"/><Relationship Id="rId22" Type="http://schemas.openxmlformats.org/officeDocument/2006/relationships/image" Target="media/image11.png"/><Relationship Id="rId12" Type="http://schemas.openxmlformats.org/officeDocument/2006/relationships/hyperlink" Target="http://www.sec.gov/Archives/edgar/data/19617/000089109211007593/e46160_424b2.pdf" TargetMode="External"/><Relationship Id="rId13" Type="http://schemas.openxmlformats.org/officeDocument/2006/relationships/hyperlink" Target="http://www.sec.gov/Archives/edgar/data/19617/000089109211007615/e46154_424b2.pdf" TargetMode="External"/><Relationship Id="rId14" Type="http://schemas.openxmlformats.org/officeDocument/2006/relationships/hyperlink" Target="http://www.sec.gov/Archives/edgar/data/19617/000089109211007578/e46180_424b2.pdf" TargetMode="External"/><Relationship Id="rId15"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2019-12-09T06:04:30Z</dcterms:created>
  <dcterms:modified xsi:type="dcterms:W3CDTF">2019-12-09T06:04:30Z</dcterms:modified>
</cp:coreProperties>
</file>