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12"/>
          <w:szCs w:val="12"/>
          <w:b w:val="1"/>
          <w:bCs w:val="1"/>
          <w:color w:val="auto"/>
        </w:rPr>
        <w:t>UNITED STATES</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124460</wp:posOffset>
            </wp:positionV>
            <wp:extent cx="28003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96" w:lineRule="exact"/>
        <w:rPr>
          <w:sz w:val="24"/>
          <w:szCs w:val="24"/>
          <w:color w:val="auto"/>
        </w:rPr>
      </w:pPr>
    </w:p>
    <w:p>
      <w:pPr>
        <w:ind w:left="5240"/>
        <w:spacing w:after="0"/>
        <w:rPr>
          <w:sz w:val="20"/>
          <w:szCs w:val="20"/>
          <w:color w:val="auto"/>
        </w:rPr>
      </w:pPr>
      <w:r>
        <w:rPr>
          <w:rFonts w:ascii="Arial" w:cs="Arial" w:eastAsia="Arial" w:hAnsi="Arial"/>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131445</wp:posOffset>
            </wp:positionV>
            <wp:extent cx="28003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82"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CURRENT REPORT</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66"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Date of Report (date of earliest event reported): May 19,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154940</wp:posOffset>
            </wp:positionV>
            <wp:extent cx="28003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70" w:lineRule="exact"/>
        <w:rPr>
          <w:sz w:val="24"/>
          <w:szCs w:val="24"/>
          <w:color w:val="auto"/>
        </w:rPr>
      </w:pPr>
    </w:p>
    <w:p>
      <w:pPr>
        <w:jc w:val="center"/>
        <w:ind w:right="-539"/>
        <w:spacing w:after="0"/>
        <w:rPr>
          <w:sz w:val="20"/>
          <w:szCs w:val="20"/>
          <w:color w:val="auto"/>
        </w:rPr>
      </w:pPr>
      <w:r>
        <w:rPr>
          <w:rFonts w:ascii="Arial" w:cs="Arial" w:eastAsia="Arial" w:hAnsi="Arial"/>
          <w:sz w:val="24"/>
          <w:szCs w:val="24"/>
          <w:b w:val="1"/>
          <w:bCs w:val="1"/>
          <w:color w:val="auto"/>
        </w:rPr>
        <w:t>JPMorgan Chase &amp; Co.</w:t>
      </w:r>
    </w:p>
    <w:p>
      <w:pPr>
        <w:spacing w:after="0" w:line="24" w:lineRule="exact"/>
        <w:rPr>
          <w:sz w:val="24"/>
          <w:szCs w:val="24"/>
          <w:color w:val="auto"/>
        </w:rPr>
      </w:pPr>
    </w:p>
    <w:p>
      <w:pPr>
        <w:ind w:left="4620"/>
        <w:spacing w:after="0"/>
        <w:rPr>
          <w:sz w:val="20"/>
          <w:szCs w:val="20"/>
          <w:color w:val="auto"/>
        </w:rPr>
      </w:pPr>
      <w:r>
        <w:rPr>
          <w:rFonts w:ascii="Arial" w:cs="Arial" w:eastAsia="Arial" w:hAnsi="Arial"/>
          <w:sz w:val="8"/>
          <w:szCs w:val="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127000</wp:posOffset>
            </wp:positionV>
            <wp:extent cx="28003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321" w:lineRule="exact"/>
        <w:rPr>
          <w:sz w:val="24"/>
          <w:szCs w:val="24"/>
          <w:color w:val="auto"/>
        </w:rPr>
      </w:pPr>
    </w:p>
    <w:tbl>
      <w:tblPr>
        <w:tblLayout w:type="fixed"/>
        <w:tblInd w:w="3540" w:type="dxa"/>
        <w:tblCellMar>
          <w:top w:w="0" w:type="dxa"/>
          <w:left w:w="0" w:type="dxa"/>
          <w:bottom w:w="0" w:type="dxa"/>
          <w:right w:w="0" w:type="dxa"/>
        </w:tblCellMar>
      </w:tblPr>
      <w:tr>
        <w:trPr>
          <w:trHeight w:val="114"/>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Delaware</w:t>
            </w:r>
          </w:p>
        </w:tc>
        <w:tc>
          <w:tcPr>
            <w:tcW w:w="1340" w:type="dxa"/>
            <w:vAlign w:val="bottom"/>
          </w:tcPr>
          <w:p>
            <w:pPr>
              <w:jc w:val="right"/>
              <w:ind w:right="578"/>
              <w:spacing w:after="0"/>
              <w:rPr>
                <w:sz w:val="20"/>
                <w:szCs w:val="20"/>
                <w:color w:val="auto"/>
              </w:rPr>
            </w:pPr>
            <w:r>
              <w:rPr>
                <w:rFonts w:ascii="Arial" w:cs="Arial" w:eastAsia="Arial" w:hAnsi="Arial"/>
                <w:sz w:val="8"/>
                <w:szCs w:val="8"/>
                <w:b w:val="1"/>
                <w:bCs w:val="1"/>
                <w:color w:val="auto"/>
              </w:rPr>
              <w:t>1-5805</w:t>
            </w:r>
          </w:p>
        </w:tc>
        <w:tc>
          <w:tcPr>
            <w:tcW w:w="920" w:type="dxa"/>
            <w:vAlign w:val="bottom"/>
          </w:tcPr>
          <w:p>
            <w:pPr>
              <w:jc w:val="right"/>
              <w:ind w:right="78"/>
              <w:spacing w:after="0"/>
              <w:rPr>
                <w:sz w:val="20"/>
                <w:szCs w:val="20"/>
                <w:color w:val="auto"/>
              </w:rPr>
            </w:pPr>
            <w:r>
              <w:rPr>
                <w:rFonts w:ascii="Arial" w:cs="Arial" w:eastAsia="Arial" w:hAnsi="Arial"/>
                <w:sz w:val="8"/>
                <w:szCs w:val="8"/>
                <w:b w:val="1"/>
                <w:bCs w:val="1"/>
                <w:color w:val="auto"/>
              </w:rPr>
              <w:t>13-2624428</w:t>
            </w:r>
          </w:p>
        </w:tc>
      </w:tr>
      <w:tr>
        <w:trPr>
          <w:trHeight w:val="87"/>
        </w:trPr>
        <w:tc>
          <w:tcPr>
            <w:tcW w:w="1620" w:type="dxa"/>
            <w:vAlign w:val="bottom"/>
          </w:tcPr>
          <w:p>
            <w:pPr>
              <w:jc w:val="center"/>
              <w:ind w:right="18"/>
              <w:spacing w:after="0" w:line="87" w:lineRule="exact"/>
              <w:rPr>
                <w:sz w:val="20"/>
                <w:szCs w:val="20"/>
                <w:color w:val="auto"/>
              </w:rPr>
            </w:pPr>
            <w:r>
              <w:rPr>
                <w:rFonts w:ascii="Arial" w:cs="Arial" w:eastAsia="Arial" w:hAnsi="Arial"/>
                <w:sz w:val="8"/>
                <w:szCs w:val="8"/>
                <w:b w:val="1"/>
                <w:bCs w:val="1"/>
                <w:color w:val="auto"/>
              </w:rPr>
              <w:t>(State or other jurisdiction of</w:t>
            </w:r>
          </w:p>
        </w:tc>
        <w:tc>
          <w:tcPr>
            <w:tcW w:w="1340" w:type="dxa"/>
            <w:vAlign w:val="bottom"/>
          </w:tcPr>
          <w:p>
            <w:pPr>
              <w:jc w:val="center"/>
              <w:ind w:right="118"/>
              <w:spacing w:after="0" w:line="87" w:lineRule="exact"/>
              <w:rPr>
                <w:sz w:val="20"/>
                <w:szCs w:val="20"/>
                <w:color w:val="auto"/>
              </w:rPr>
            </w:pPr>
            <w:r>
              <w:rPr>
                <w:rFonts w:ascii="Arial" w:cs="Arial" w:eastAsia="Arial" w:hAnsi="Arial"/>
                <w:sz w:val="8"/>
                <w:szCs w:val="8"/>
                <w:b w:val="1"/>
                <w:bCs w:val="1"/>
                <w:color w:val="auto"/>
              </w:rPr>
              <w:t>(Commission File Number)</w:t>
            </w:r>
          </w:p>
        </w:tc>
        <w:tc>
          <w:tcPr>
            <w:tcW w:w="920" w:type="dxa"/>
            <w:vAlign w:val="bottom"/>
          </w:tcPr>
          <w:p>
            <w:pPr>
              <w:jc w:val="center"/>
              <w:ind w:left="178"/>
              <w:spacing w:after="0" w:line="87" w:lineRule="exact"/>
              <w:rPr>
                <w:sz w:val="20"/>
                <w:szCs w:val="20"/>
                <w:color w:val="auto"/>
              </w:rPr>
            </w:pPr>
            <w:r>
              <w:rPr>
                <w:rFonts w:ascii="Arial" w:cs="Arial" w:eastAsia="Arial" w:hAnsi="Arial"/>
                <w:sz w:val="8"/>
                <w:szCs w:val="8"/>
                <w:b w:val="1"/>
                <w:bCs w:val="1"/>
                <w:color w:val="auto"/>
              </w:rPr>
              <w:t>(I.R.S. employer</w:t>
            </w:r>
          </w:p>
        </w:tc>
      </w:tr>
      <w:tr>
        <w:trPr>
          <w:trHeight w:val="114"/>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incorporation or organization)</w:t>
            </w:r>
          </w:p>
        </w:tc>
        <w:tc>
          <w:tcPr>
            <w:tcW w:w="1340" w:type="dxa"/>
            <w:vAlign w:val="bottom"/>
          </w:tcPr>
          <w:p>
            <w:pPr>
              <w:spacing w:after="0"/>
              <w:rPr>
                <w:sz w:val="9"/>
                <w:szCs w:val="9"/>
                <w:color w:val="auto"/>
              </w:rPr>
            </w:pPr>
          </w:p>
        </w:tc>
        <w:tc>
          <w:tcPr>
            <w:tcW w:w="920" w:type="dxa"/>
            <w:vAlign w:val="bottom"/>
          </w:tcPr>
          <w:p>
            <w:pPr>
              <w:jc w:val="center"/>
              <w:ind w:left="178"/>
              <w:spacing w:after="0"/>
              <w:rPr>
                <w:sz w:val="20"/>
                <w:szCs w:val="20"/>
                <w:color w:val="auto"/>
              </w:rPr>
            </w:pPr>
            <w:r>
              <w:rPr>
                <w:rFonts w:ascii="Arial" w:cs="Arial" w:eastAsia="Arial" w:hAnsi="Arial"/>
                <w:sz w:val="8"/>
                <w:szCs w:val="8"/>
                <w:b w:val="1"/>
                <w:bCs w:val="1"/>
                <w:color w:val="auto"/>
              </w:rPr>
              <w:t>identification no.)</w:t>
            </w:r>
          </w:p>
        </w:tc>
      </w:tr>
      <w:tr>
        <w:trPr>
          <w:trHeight w:val="222"/>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383 Madison Avenue,</w:t>
            </w:r>
          </w:p>
        </w:tc>
        <w:tc>
          <w:tcPr>
            <w:tcW w:w="1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17"/>
        </w:trPr>
        <w:tc>
          <w:tcPr>
            <w:tcW w:w="1620" w:type="dxa"/>
            <w:vAlign w:val="bottom"/>
          </w:tcPr>
          <w:p>
            <w:pPr>
              <w:ind w:left="360"/>
              <w:spacing w:after="0"/>
              <w:rPr>
                <w:sz w:val="20"/>
                <w:szCs w:val="20"/>
                <w:color w:val="auto"/>
              </w:rPr>
            </w:pPr>
            <w:r>
              <w:rPr>
                <w:rFonts w:ascii="Arial" w:cs="Arial" w:eastAsia="Arial" w:hAnsi="Arial"/>
                <w:sz w:val="8"/>
                <w:szCs w:val="8"/>
                <w:b w:val="1"/>
                <w:bCs w:val="1"/>
                <w:color w:val="auto"/>
              </w:rPr>
              <w:t>New York, New York</w:t>
            </w:r>
          </w:p>
        </w:tc>
        <w:tc>
          <w:tcPr>
            <w:tcW w:w="1340" w:type="dxa"/>
            <w:vAlign w:val="bottom"/>
          </w:tcPr>
          <w:p>
            <w:pPr>
              <w:spacing w:after="0"/>
              <w:rPr>
                <w:sz w:val="10"/>
                <w:szCs w:val="10"/>
                <w:color w:val="auto"/>
              </w:rPr>
            </w:pPr>
          </w:p>
        </w:tc>
        <w:tc>
          <w:tcPr>
            <w:tcW w:w="920" w:type="dxa"/>
            <w:vAlign w:val="bottom"/>
          </w:tcPr>
          <w:p>
            <w:pPr>
              <w:jc w:val="right"/>
              <w:ind w:right="198"/>
              <w:spacing w:after="0"/>
              <w:rPr>
                <w:sz w:val="20"/>
                <w:szCs w:val="20"/>
                <w:color w:val="auto"/>
              </w:rPr>
            </w:pPr>
            <w:r>
              <w:rPr>
                <w:rFonts w:ascii="Arial" w:cs="Arial" w:eastAsia="Arial" w:hAnsi="Arial"/>
                <w:sz w:val="8"/>
                <w:szCs w:val="8"/>
                <w:b w:val="1"/>
                <w:bCs w:val="1"/>
                <w:color w:val="auto"/>
              </w:rPr>
              <w:t>10179</w:t>
            </w:r>
          </w:p>
        </w:tc>
      </w:tr>
      <w:tr>
        <w:trPr>
          <w:trHeight w:val="144"/>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(Address of principal executive offices)</w:t>
            </w:r>
          </w:p>
        </w:tc>
        <w:tc>
          <w:tcPr>
            <w:tcW w:w="1340" w:type="dxa"/>
            <w:vAlign w:val="bottom"/>
          </w:tcPr>
          <w:p>
            <w:pPr>
              <w:spacing w:after="0"/>
              <w:rPr>
                <w:sz w:val="12"/>
                <w:szCs w:val="12"/>
                <w:color w:val="auto"/>
              </w:rPr>
            </w:pPr>
          </w:p>
        </w:tc>
        <w:tc>
          <w:tcPr>
            <w:tcW w:w="920" w:type="dxa"/>
            <w:vAlign w:val="bottom"/>
          </w:tcPr>
          <w:p>
            <w:pPr>
              <w:jc w:val="center"/>
              <w:ind w:left="178"/>
              <w:spacing w:after="0"/>
              <w:rPr>
                <w:sz w:val="20"/>
                <w:szCs w:val="20"/>
                <w:color w:val="auto"/>
              </w:rPr>
            </w:pPr>
            <w:r>
              <w:rPr>
                <w:rFonts w:ascii="Arial" w:cs="Arial" w:eastAsia="Arial" w:hAnsi="Arial"/>
                <w:sz w:val="8"/>
                <w:szCs w:val="8"/>
                <w:b w:val="1"/>
                <w:bCs w:val="1"/>
                <w:color w:val="auto"/>
              </w:rPr>
              <w:t>(Zip Code)</w:t>
            </w:r>
          </w:p>
        </w:tc>
      </w:tr>
    </w:tbl>
    <w:p>
      <w:pPr>
        <w:spacing w:after="0" w:line="53" w:lineRule="exact"/>
        <w:rPr>
          <w:sz w:val="24"/>
          <w:szCs w:val="24"/>
          <w:color w:val="auto"/>
        </w:rPr>
      </w:pPr>
    </w:p>
    <w:p>
      <w:pPr>
        <w:ind w:left="4100"/>
        <w:spacing w:after="0"/>
        <w:rPr>
          <w:sz w:val="20"/>
          <w:szCs w:val="20"/>
          <w:color w:val="auto"/>
        </w:rPr>
      </w:pPr>
      <w:r>
        <w:rPr>
          <w:rFonts w:ascii="Arial" w:cs="Arial" w:eastAsia="Arial" w:hAnsi="Arial"/>
          <w:sz w:val="10"/>
          <w:szCs w:val="10"/>
          <w:b w:val="1"/>
          <w:bCs w:val="1"/>
          <w:color w:val="auto"/>
        </w:rPr>
        <w:t>Registrant’s telephone number, including area code: (212) 270-6000</w:t>
      </w:r>
    </w:p>
    <w:p>
      <w:pPr>
        <w:spacing w:after="0" w:line="69"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Check the appropriate box below if the Form 8-K filing is intended to simultaneously satisfy the filing obligation of the registrant under any of the following provisions:</w:t>
      </w:r>
    </w:p>
    <w:p>
      <w:pPr>
        <w:spacing w:after="0" w:line="97"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Written communications pursuant to Rule 425 under the Securities Act (17 CFR 230.425)</w:t>
      </w:r>
    </w:p>
    <w:p>
      <w:pPr>
        <w:spacing w:after="0" w:line="106"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Soliciting material pursuant to Rule 14a-12 under the Exchange Act (17 CFR 240.14a-12)</w:t>
      </w:r>
    </w:p>
    <w:p>
      <w:pPr>
        <w:spacing w:after="0" w:line="97"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Pre-commencement communications pursuant to Rule 14d-2(b) under the Exchange Act (17 CFR 240.14d-2(b))</w:t>
      </w:r>
    </w:p>
    <w:p>
      <w:pPr>
        <w:spacing w:after="0" w:line="106"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Pre-commencement communications pursuant to Rule 13e-4(c) under the Exchange Act (17 CFR 240.13e-4(c))</w:t>
      </w:r>
    </w:p>
    <w:p>
      <w:pPr>
        <w:spacing w:after="0" w:line="84" w:lineRule="exact"/>
        <w:rPr>
          <w:sz w:val="24"/>
          <w:szCs w:val="24"/>
          <w:color w:val="auto"/>
        </w:rPr>
      </w:pPr>
    </w:p>
    <w:p>
      <w:pPr>
        <w:ind w:left="4320"/>
        <w:spacing w:after="0"/>
        <w:rPr>
          <w:sz w:val="20"/>
          <w:szCs w:val="20"/>
          <w:color w:val="auto"/>
        </w:rPr>
      </w:pPr>
      <w:r>
        <w:rPr>
          <w:rFonts w:ascii="Arial" w:cs="Arial" w:eastAsia="Arial" w:hAnsi="Arial"/>
          <w:sz w:val="10"/>
          <w:szCs w:val="10"/>
          <w:b w:val="1"/>
          <w:bCs w:val="1"/>
          <w:color w:val="auto"/>
        </w:rPr>
        <w:t>Securities registered pursuant to Section 12(b) of the Act:</w:t>
      </w:r>
    </w:p>
    <w:p>
      <w:pPr>
        <w:spacing w:after="0" w:line="78" w:lineRule="exact"/>
        <w:rPr>
          <w:sz w:val="24"/>
          <w:szCs w:val="24"/>
          <w:color w:val="auto"/>
        </w:rPr>
      </w:pPr>
    </w:p>
    <w:tbl>
      <w:tblPr>
        <w:tblLayout w:type="fixed"/>
        <w:tblInd w:w="60" w:type="dxa"/>
        <w:tblCellMar>
          <w:top w:w="0" w:type="dxa"/>
          <w:left w:w="0" w:type="dxa"/>
          <w:bottom w:w="0" w:type="dxa"/>
          <w:right w:w="0" w:type="dxa"/>
        </w:tblCellMar>
      </w:tblPr>
      <w:tr>
        <w:trPr>
          <w:trHeight w:val="93"/>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Title of each class</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Trading Symbol(s)</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Name of each exchange on which registered</w:t>
            </w:r>
          </w:p>
        </w:tc>
      </w:tr>
      <w:tr>
        <w:trPr>
          <w:trHeight w:val="20"/>
        </w:trPr>
        <w:tc>
          <w:tcPr>
            <w:tcW w:w="72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118"/>
        </w:trPr>
        <w:tc>
          <w:tcPr>
            <w:tcW w:w="720" w:type="dxa"/>
            <w:vAlign w:val="bottom"/>
          </w:tcPr>
          <w:p>
            <w:pPr>
              <w:spacing w:after="0"/>
              <w:rPr>
                <w:sz w:val="20"/>
                <w:szCs w:val="20"/>
                <w:color w:val="auto"/>
              </w:rPr>
            </w:pPr>
            <w:r>
              <w:rPr>
                <w:rFonts w:ascii="Arial" w:cs="Arial" w:eastAsia="Arial" w:hAnsi="Arial"/>
                <w:sz w:val="8"/>
                <w:szCs w:val="8"/>
                <w:b w:val="1"/>
                <w:bCs w:val="1"/>
                <w:color w:val="auto"/>
              </w:rPr>
              <w:t>Common stock</w:t>
            </w:r>
          </w:p>
        </w:tc>
        <w:tc>
          <w:tcPr>
            <w:tcW w:w="4920" w:type="dxa"/>
            <w:vAlign w:val="bottom"/>
          </w:tcPr>
          <w:p>
            <w:pPr>
              <w:spacing w:after="0"/>
              <w:rPr>
                <w:sz w:val="10"/>
                <w:szCs w:val="10"/>
                <w:color w:val="auto"/>
              </w:rPr>
            </w:pP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5.75% Non-Cumulative Preferred Stock, Series DD</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D</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6.00% Non-Cumulative Preferred Stock, Series EE</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C</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4.75% Non-Cumulative Preferred Stock, Series GG</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J</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4.55% Non-Cumulative Preferred Stock, Series JJ</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K</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4.625% Non-Cumulative Preferred Stock, Series LL</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L</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4.20% Non-Cumulative Preferred Stock, Series MM</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M</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Guarantee of Callable Fixed Rate Notes due June 10, 2032 of JPMorgan Chase Financial Company LLC</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JPM/32</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Guarantee of Alerian MLP Index ETNs due January 28, 2044 of JPMorgan Chase Financial Company LLC</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AMJB</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NYSE Arca, Inc.</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Guarantee of Inverse VIX Short-Term Futures ETNs due March 22, 2045 of JPMorgan Chase Financial Company LLC</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VYLD</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NYSE Arca, Inc.</w:t>
            </w:r>
          </w:p>
        </w:tc>
      </w:tr>
    </w:tbl>
    <w:p>
      <w:pPr>
        <w:spacing w:after="0" w:line="100" w:lineRule="exact"/>
        <w:rPr>
          <w:sz w:val="24"/>
          <w:szCs w:val="24"/>
          <w:color w:val="auto"/>
        </w:rPr>
      </w:pPr>
    </w:p>
    <w:p>
      <w:pPr>
        <w:ind w:right="580"/>
        <w:spacing w:after="0" w:line="146" w:lineRule="exact"/>
        <w:rPr>
          <w:sz w:val="20"/>
          <w:szCs w:val="20"/>
          <w:color w:val="auto"/>
        </w:rPr>
      </w:pPr>
      <w:r>
        <w:rPr>
          <w:rFonts w:ascii="Arial" w:cs="Arial" w:eastAsia="Arial" w:hAnsi="Arial"/>
          <w:sz w:val="10"/>
          <w:szCs w:val="10"/>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0"/>
          <w:szCs w:val="10"/>
          <w:color w:val="auto"/>
        </w:rPr>
        <w:t>☐</w:t>
      </w:r>
    </w:p>
    <w:p>
      <w:pPr>
        <w:spacing w:after="0" w:line="1" w:lineRule="exact"/>
        <w:rPr>
          <w:sz w:val="24"/>
          <w:szCs w:val="24"/>
          <w:color w:val="auto"/>
        </w:rPr>
      </w:pPr>
    </w:p>
    <w:p>
      <w:pPr>
        <w:spacing w:after="0" w:line="92" w:lineRule="exact"/>
        <w:rPr>
          <w:sz w:val="20"/>
          <w:szCs w:val="20"/>
          <w:color w:val="auto"/>
        </w:rPr>
      </w:pPr>
      <w:r>
        <w:rPr>
          <w:rFonts w:ascii="Arial" w:cs="Arial" w:eastAsia="Arial" w:hAnsi="Arial"/>
          <w:sz w:val="8"/>
          <w:szCs w:val="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381000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740"/>
          </w:cols>
          <w:pgMar w:left="300" w:top="712" w:right="859" w:bottom="1440" w:gutter="0" w:footer="0" w:header="0"/>
        </w:sectPr>
      </w:pPr>
    </w:p>
    <w:bookmarkStart w:id="1" w:name="page2"/>
    <w:bookmarkEnd w:id="1"/>
    <w:p>
      <w:pPr>
        <w:ind w:left="8"/>
        <w:spacing w:after="0"/>
        <w:rPr>
          <w:sz w:val="20"/>
          <w:szCs w:val="20"/>
          <w:color w:val="auto"/>
        </w:rPr>
      </w:pPr>
      <w:r>
        <w:rPr>
          <w:rFonts w:ascii="Arial" w:cs="Arial" w:eastAsia="Arial" w:hAnsi="Arial"/>
          <w:sz w:val="12"/>
          <w:szCs w:val="12"/>
          <w:b w:val="1"/>
          <w:bCs w:val="1"/>
          <w:color w:val="auto"/>
        </w:rPr>
        <w:t>Item 7.01 Regulation FD Disclosure</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May 19, 2025, JPMorgan Chase &amp; Co. (“JPMorganChase” or the “Firm”) held an Investor Day presentation during which it provided information to investors about the Firm and its various lines of business.</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Exhibit 99 is a copy of the slides furnished at, and posted on the Firm’s website in connection with, the presentation.</w:t>
      </w:r>
    </w:p>
    <w:p>
      <w:pPr>
        <w:spacing w:after="0" w:line="138" w:lineRule="exact"/>
        <w:rPr>
          <w:sz w:val="20"/>
          <w:szCs w:val="20"/>
          <w:color w:val="auto"/>
        </w:rPr>
      </w:pPr>
    </w:p>
    <w:p>
      <w:pPr>
        <w:ind w:left="8" w:right="40"/>
        <w:spacing w:after="0" w:line="286" w:lineRule="auto"/>
        <w:rPr>
          <w:sz w:val="20"/>
          <w:szCs w:val="20"/>
          <w:color w:val="auto"/>
        </w:rPr>
      </w:pPr>
      <w:r>
        <w:rPr>
          <w:rFonts w:ascii="Arial" w:cs="Arial" w:eastAsia="Arial" w:hAnsi="Arial"/>
          <w:sz w:val="12"/>
          <w:szCs w:val="12"/>
          <w:color w:val="auto"/>
        </w:rPr>
        <w:t>The slides are being furnished pursuant to Item 7.01, and the information contained therein shall not be deemed “filed” for purposes of Section 18 of the Securities Exchange Act of 1934, or otherwise subject to the liabilities under that Section. Furthermore, the information contained in Exhibit 99 shall not be deemed to be incorporated by reference into the filings of the Firm under the Securities Act of 1933.</w:t>
      </w:r>
    </w:p>
    <w:p>
      <w:pPr>
        <w:spacing w:after="0" w:line="105" w:lineRule="exact"/>
        <w:rPr>
          <w:sz w:val="20"/>
          <w:szCs w:val="20"/>
          <w:color w:val="auto"/>
        </w:rPr>
      </w:pPr>
    </w:p>
    <w:p>
      <w:pPr>
        <w:ind w:left="8" w:right="20"/>
        <w:spacing w:after="0" w:line="256" w:lineRule="auto"/>
        <w:rPr>
          <w:sz w:val="20"/>
          <w:szCs w:val="20"/>
          <w:color w:val="auto"/>
        </w:rPr>
      </w:pPr>
      <w:r>
        <w:rPr>
          <w:rFonts w:ascii="Arial" w:cs="Arial" w:eastAsia="Arial" w:hAnsi="Arial"/>
          <w:sz w:val="12"/>
          <w:szCs w:val="12"/>
          <w:i w:val="1"/>
          <w:iCs w:val="1"/>
          <w:color w:val="auto"/>
        </w:rPr>
        <w:t xml:space="preserve">This Current Report on Form 8-K (including the Exhibit hereto) contains forward-looking statements within the meaning of the Private Securities Litigation Reform Act of 1995. These statements are based on the current beliefs and expectations of JPMorganChase’s management and are subject to significant risks and uncertainties. Actual results may differ from those set forth in the forward-looking statements. Factors that could cause JPMorganChase’s actual results to differ materially from those described in the forward-looking statements can be found in JPMorganChase’s Annual Report on Form 10-K for the year ended December 31, 2024, and Quarterly Report on Form 10-Q for the quarter ended March 31, 2025, which have been filed with the Securities and Exchange Commission and are available on JPMorganChase’s website </w:t>
      </w:r>
      <w:r>
        <w:rPr>
          <w:rFonts w:ascii="Arial" w:cs="Arial" w:eastAsia="Arial" w:hAnsi="Arial"/>
          <w:sz w:val="12"/>
          <w:szCs w:val="12"/>
          <w:i w:val="1"/>
          <w:iCs w:val="1"/>
          <w:u w:val="single" w:color="auto"/>
          <w:color w:val="auto"/>
        </w:rPr>
        <w:t>(https://jpmorganchaseco.gcs-web.com/ir/sec-other-filings/overview</w:t>
      </w:r>
      <w:r>
        <w:rPr>
          <w:rFonts w:ascii="Arial" w:cs="Arial" w:eastAsia="Arial" w:hAnsi="Arial"/>
          <w:sz w:val="12"/>
          <w:szCs w:val="12"/>
          <w:i w:val="1"/>
          <w:iCs w:val="1"/>
          <w:color w:val="auto"/>
        </w:rPr>
        <w:t>) and on the Securities and Exchange Commission’s website (</w:t>
      </w:r>
      <w:r>
        <w:rPr>
          <w:rFonts w:ascii="Arial" w:cs="Arial" w:eastAsia="Arial" w:hAnsi="Arial"/>
          <w:sz w:val="12"/>
          <w:szCs w:val="12"/>
          <w:i w:val="1"/>
          <w:iCs w:val="1"/>
          <w:u w:val="single" w:color="auto"/>
          <w:color w:val="auto"/>
        </w:rPr>
        <w:t>www.sec.gov</w:t>
      </w:r>
      <w:r>
        <w:rPr>
          <w:rFonts w:ascii="Arial" w:cs="Arial" w:eastAsia="Arial" w:hAnsi="Arial"/>
          <w:sz w:val="12"/>
          <w:szCs w:val="12"/>
          <w:i w:val="1"/>
          <w:iCs w:val="1"/>
          <w:color w:val="auto"/>
        </w:rPr>
        <w:t>). JPMorganChase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68" w:lineRule="exact"/>
        <w:rPr>
          <w:sz w:val="20"/>
          <w:szCs w:val="20"/>
          <w:color w:val="auto"/>
        </w:rPr>
      </w:pPr>
    </w:p>
    <w:p>
      <w:pPr>
        <w:ind w:left="288" w:hanging="288"/>
        <w:spacing w:after="0"/>
        <w:tabs>
          <w:tab w:leader="none" w:pos="288" w:val="left"/>
        </w:tabs>
        <w:numPr>
          <w:ilvl w:val="0"/>
          <w:numId w:val="2"/>
        </w:numPr>
        <w:rPr>
          <w:rFonts w:ascii="Arial" w:cs="Arial" w:eastAsia="Arial" w:hAnsi="Arial"/>
          <w:sz w:val="12"/>
          <w:szCs w:val="12"/>
          <w:color w:val="auto"/>
        </w:rPr>
      </w:pPr>
      <w:r>
        <w:rPr>
          <w:rFonts w:ascii="Arial" w:cs="Arial" w:eastAsia="Arial" w:hAnsi="Arial"/>
          <w:sz w:val="12"/>
          <w:szCs w:val="12"/>
          <w:color w:val="auto"/>
        </w:rPr>
        <w:t>Exhibits</w:t>
      </w:r>
    </w:p>
    <w:p>
      <w:pPr>
        <w:spacing w:after="0" w:line="27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00" w:type="dxa"/>
            <w:vAlign w:val="bottom"/>
          </w:tcPr>
          <w:p>
            <w:pPr>
              <w:spacing w:after="0"/>
              <w:rPr>
                <w:sz w:val="13"/>
                <w:szCs w:val="13"/>
                <w:color w:val="auto"/>
              </w:rPr>
            </w:pPr>
          </w:p>
        </w:tc>
        <w:tc>
          <w:tcPr>
            <w:tcW w:w="148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Exhibit No.</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80" w:type="dxa"/>
            <w:vAlign w:val="bottom"/>
            <w:tcBorders>
              <w:bottom w:val="single" w:sz="8" w:color="auto"/>
            </w:tcBorders>
            <w:gridSpan w:val="2"/>
          </w:tcPr>
          <w:p>
            <w:pPr>
              <w:ind w:left="720"/>
              <w:spacing w:after="0"/>
              <w:rPr>
                <w:sz w:val="20"/>
                <w:szCs w:val="20"/>
                <w:color w:val="auto"/>
              </w:rPr>
            </w:pPr>
            <w:r>
              <w:rPr>
                <w:rFonts w:ascii="Arial" w:cs="Arial" w:eastAsia="Arial" w:hAnsi="Arial"/>
                <w:sz w:val="12"/>
                <w:szCs w:val="12"/>
                <w:b w:val="1"/>
                <w:bCs w:val="1"/>
                <w:color w:val="auto"/>
              </w:rPr>
              <w:t>Description of Exhibit</w:t>
            </w:r>
          </w:p>
        </w:tc>
        <w:tc>
          <w:tcPr>
            <w:tcW w:w="100" w:type="dxa"/>
            <w:vAlign w:val="bottom"/>
          </w:tcPr>
          <w:p>
            <w:pPr>
              <w:spacing w:after="0"/>
              <w:rPr>
                <w:sz w:val="13"/>
                <w:szCs w:val="13"/>
                <w:color w:val="auto"/>
              </w:rPr>
            </w:pPr>
          </w:p>
        </w:tc>
      </w:tr>
      <w:tr>
        <w:trPr>
          <w:trHeight w:val="214"/>
        </w:trPr>
        <w:tc>
          <w:tcPr>
            <w:tcW w:w="1580" w:type="dxa"/>
            <w:vAlign w:val="bottom"/>
            <w:gridSpan w:val="2"/>
          </w:tcPr>
          <w:p>
            <w:pPr>
              <w:ind w:left="100"/>
              <w:spacing w:after="0"/>
              <w:rPr>
                <w:sz w:val="20"/>
                <w:szCs w:val="20"/>
                <w:color w:val="auto"/>
              </w:rPr>
            </w:pPr>
            <w:r>
              <w:rPr>
                <w:rFonts w:ascii="Arial" w:cs="Arial" w:eastAsia="Arial" w:hAnsi="Arial"/>
                <w:sz w:val="12"/>
                <w:szCs w:val="12"/>
                <w:color w:val="auto"/>
              </w:rPr>
              <w:t>99.1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2"/>
                <w:szCs w:val="12"/>
                <w:color w:val="0000FF"/>
                <w:w w:val="99"/>
              </w:rPr>
              <w:t>JPMorgan Chase &amp; Co. 2025</w:t>
            </w:r>
          </w:p>
        </w:tc>
        <w:tc>
          <w:tcPr>
            <w:tcW w:w="7980" w:type="dxa"/>
            <w:vAlign w:val="bottom"/>
            <w:gridSpan w:val="5"/>
          </w:tcPr>
          <w:p>
            <w:pPr>
              <w:ind w:left="20"/>
              <w:spacing w:after="0"/>
              <w:rPr>
                <w:sz w:val="20"/>
                <w:szCs w:val="20"/>
                <w:color w:val="auto"/>
              </w:rPr>
            </w:pPr>
            <w:r>
              <w:rPr>
                <w:rFonts w:ascii="Arial" w:cs="Arial" w:eastAsia="Arial" w:hAnsi="Arial"/>
                <w:sz w:val="12"/>
                <w:szCs w:val="12"/>
                <w:color w:val="0000FF"/>
              </w:rPr>
              <w:t>Investor Day cover page, forward-looking statements and agenda</w:t>
            </w:r>
          </w:p>
        </w:tc>
      </w:tr>
      <w:tr>
        <w:trPr>
          <w:trHeight w:val="133"/>
        </w:trPr>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99.2</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Borders>
              <w:top w:val="single" w:sz="8" w:color="0000FF"/>
              <w:bottom w:val="single" w:sz="8" w:color="0000FF"/>
            </w:tcBorders>
          </w:tcPr>
          <w:p>
            <w:pPr>
              <w:spacing w:after="0" w:line="133" w:lineRule="exact"/>
              <w:rPr>
                <w:sz w:val="20"/>
                <w:szCs w:val="20"/>
                <w:color w:val="auto"/>
              </w:rPr>
            </w:pPr>
            <w:r>
              <w:rPr>
                <w:rFonts w:ascii="Arial" w:cs="Arial" w:eastAsia="Arial" w:hAnsi="Arial"/>
                <w:sz w:val="12"/>
                <w:szCs w:val="12"/>
                <w:color w:val="0000FF"/>
                <w:w w:val="99"/>
              </w:rPr>
              <w:t>JPMorgan Chase &amp; Co. 2025</w:t>
            </w:r>
          </w:p>
        </w:tc>
        <w:tc>
          <w:tcPr>
            <w:tcW w:w="1720" w:type="dxa"/>
            <w:vAlign w:val="bottom"/>
            <w:tcBorders>
              <w:top w:val="single" w:sz="8" w:color="0000FF"/>
              <w:bottom w:val="single" w:sz="8" w:color="0000FF"/>
            </w:tcBorders>
          </w:tcPr>
          <w:p>
            <w:pPr>
              <w:ind w:left="20"/>
              <w:spacing w:after="0" w:line="133" w:lineRule="exact"/>
              <w:rPr>
                <w:sz w:val="20"/>
                <w:szCs w:val="20"/>
                <w:color w:val="auto"/>
              </w:rPr>
            </w:pPr>
            <w:r>
              <w:rPr>
                <w:rFonts w:ascii="Arial" w:cs="Arial" w:eastAsia="Arial" w:hAnsi="Arial"/>
                <w:sz w:val="12"/>
                <w:szCs w:val="12"/>
                <w:color w:val="0000FF"/>
                <w:w w:val="98"/>
              </w:rPr>
              <w:t>Investor Day presentation slides</w:t>
            </w:r>
          </w:p>
        </w:tc>
        <w:tc>
          <w:tcPr>
            <w:tcW w:w="1760" w:type="dxa"/>
            <w:vAlign w:val="bottom"/>
            <w:tcBorders>
              <w:top w:val="single" w:sz="8" w:color="0000FF"/>
            </w:tcBorders>
            <w:gridSpan w:val="2"/>
          </w:tcPr>
          <w:p>
            <w:pPr>
              <w:spacing w:after="0"/>
              <w:rPr>
                <w:sz w:val="11"/>
                <w:szCs w:val="11"/>
                <w:color w:val="auto"/>
              </w:rPr>
            </w:pPr>
          </w:p>
        </w:tc>
        <w:tc>
          <w:tcPr>
            <w:tcW w:w="4500" w:type="dxa"/>
            <w:vAlign w:val="bottom"/>
            <w:gridSpan w:val="2"/>
          </w:tcPr>
          <w:p>
            <w:pPr>
              <w:spacing w:after="0"/>
              <w:rPr>
                <w:sz w:val="11"/>
                <w:szCs w:val="11"/>
                <w:color w:val="auto"/>
              </w:rPr>
            </w:pPr>
          </w:p>
        </w:tc>
      </w:tr>
      <w:tr>
        <w:trPr>
          <w:trHeight w:val="133"/>
        </w:trPr>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99.3</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Borders>
              <w:bottom w:val="single" w:sz="8" w:color="0000FF"/>
            </w:tcBorders>
          </w:tcPr>
          <w:p>
            <w:pPr>
              <w:spacing w:after="0" w:line="133" w:lineRule="exact"/>
              <w:rPr>
                <w:sz w:val="20"/>
                <w:szCs w:val="20"/>
                <w:color w:val="auto"/>
              </w:rPr>
            </w:pPr>
            <w:r>
              <w:rPr>
                <w:rFonts w:ascii="Arial" w:cs="Arial" w:eastAsia="Arial" w:hAnsi="Arial"/>
                <w:sz w:val="12"/>
                <w:szCs w:val="12"/>
                <w:color w:val="0000FF"/>
                <w:w w:val="99"/>
              </w:rPr>
              <w:t>JPMorgan Chase &amp; Co. 2025</w:t>
            </w:r>
          </w:p>
        </w:tc>
        <w:tc>
          <w:tcPr>
            <w:tcW w:w="1800" w:type="dxa"/>
            <w:vAlign w:val="bottom"/>
            <w:tcBorders>
              <w:bottom w:val="single" w:sz="8" w:color="0000FF"/>
            </w:tcBorders>
            <w:gridSpan w:val="2"/>
          </w:tcPr>
          <w:p>
            <w:pPr>
              <w:ind w:left="20"/>
              <w:spacing w:after="0" w:line="133" w:lineRule="exact"/>
              <w:rPr>
                <w:sz w:val="20"/>
                <w:szCs w:val="20"/>
                <w:color w:val="auto"/>
              </w:rPr>
            </w:pPr>
            <w:r>
              <w:rPr>
                <w:rFonts w:ascii="Arial" w:cs="Arial" w:eastAsia="Arial" w:hAnsi="Arial"/>
                <w:sz w:val="12"/>
                <w:szCs w:val="12"/>
                <w:color w:val="0000FF"/>
                <w:w w:val="98"/>
              </w:rPr>
              <w:t>Investor Day speaker biographies</w:t>
            </w:r>
          </w:p>
        </w:tc>
        <w:tc>
          <w:tcPr>
            <w:tcW w:w="6180" w:type="dxa"/>
            <w:vAlign w:val="bottom"/>
            <w:gridSpan w:val="3"/>
          </w:tcPr>
          <w:p>
            <w:pPr>
              <w:spacing w:after="0"/>
              <w:rPr>
                <w:sz w:val="11"/>
                <w:szCs w:val="11"/>
                <w:color w:val="auto"/>
              </w:rPr>
            </w:pPr>
          </w:p>
        </w:tc>
      </w:tr>
      <w:tr>
        <w:trPr>
          <w:trHeight w:val="156"/>
        </w:trPr>
        <w:tc>
          <w:tcPr>
            <w:tcW w:w="1580" w:type="dxa"/>
            <w:vAlign w:val="bottom"/>
            <w:gridSpan w:val="2"/>
          </w:tcPr>
          <w:p>
            <w:pPr>
              <w:ind w:left="100"/>
              <w:spacing w:after="0"/>
              <w:rPr>
                <w:sz w:val="20"/>
                <w:szCs w:val="20"/>
                <w:color w:val="auto"/>
              </w:rPr>
            </w:pPr>
            <w:r>
              <w:rPr>
                <w:rFonts w:ascii="Arial" w:cs="Arial" w:eastAsia="Arial" w:hAnsi="Arial"/>
                <w:sz w:val="12"/>
                <w:szCs w:val="12"/>
                <w:color w:val="auto"/>
              </w:rPr>
              <w:t>101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gridSpan w:val="6"/>
          </w:tcPr>
          <w:p>
            <w:pPr>
              <w:spacing w:after="0"/>
              <w:rPr>
                <w:sz w:val="20"/>
                <w:szCs w:val="20"/>
                <w:color w:val="auto"/>
              </w:rPr>
            </w:pPr>
            <w:r>
              <w:rPr>
                <w:rFonts w:ascii="Arial" w:cs="Arial" w:eastAsia="Arial" w:hAnsi="Arial"/>
                <w:sz w:val="12"/>
                <w:szCs w:val="12"/>
                <w:color w:val="auto"/>
              </w:rPr>
              <w:t>Pursuant to Rule 406 of Regulation S-T, the cover page is formatted in Inline XBRL (Inline eXtensible Business Reporting Language).</w:t>
            </w:r>
          </w:p>
        </w:tc>
      </w:tr>
      <w:tr>
        <w:trPr>
          <w:trHeight w:val="159"/>
        </w:trPr>
        <w:tc>
          <w:tcPr>
            <w:tcW w:w="1580" w:type="dxa"/>
            <w:vAlign w:val="bottom"/>
            <w:gridSpan w:val="2"/>
          </w:tcPr>
          <w:p>
            <w:pPr>
              <w:ind w:left="100"/>
              <w:spacing w:after="0"/>
              <w:rPr>
                <w:sz w:val="20"/>
                <w:szCs w:val="20"/>
                <w:color w:val="auto"/>
              </w:rPr>
            </w:pPr>
            <w:r>
              <w:rPr>
                <w:rFonts w:ascii="Arial" w:cs="Arial" w:eastAsia="Arial" w:hAnsi="Arial"/>
                <w:sz w:val="12"/>
                <w:szCs w:val="12"/>
                <w:color w:val="auto"/>
              </w:rPr>
              <w:t>104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gridSpan w:val="6"/>
          </w:tcPr>
          <w:p>
            <w:pPr>
              <w:spacing w:after="0"/>
              <w:rPr>
                <w:sz w:val="20"/>
                <w:szCs w:val="20"/>
                <w:color w:val="auto"/>
              </w:rPr>
            </w:pPr>
            <w:r>
              <w:rPr>
                <w:rFonts w:ascii="Arial" w:cs="Arial" w:eastAsia="Arial" w:hAnsi="Arial"/>
                <w:sz w:val="12"/>
                <w:szCs w:val="12"/>
                <w:color w:val="auto"/>
              </w:rPr>
              <w:t>Cover Page Interactive Data File (embedded within the Inline XBRL document and included in Exhibit 101).</w:t>
            </w:r>
          </w:p>
        </w:tc>
      </w:tr>
      <w:tr>
        <w:trPr>
          <w:trHeight w:val="729"/>
        </w:trPr>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80" w:type="dxa"/>
            <w:vAlign w:val="bottom"/>
            <w:gridSpan w:val="3"/>
          </w:tcPr>
          <w:p>
            <w:pPr>
              <w:jc w:val="right"/>
              <w:ind w:right="1060"/>
              <w:spacing w:after="0"/>
              <w:rPr>
                <w:sz w:val="20"/>
                <w:szCs w:val="20"/>
                <w:color w:val="auto"/>
              </w:rPr>
            </w:pPr>
            <w:r>
              <w:rPr>
                <w:rFonts w:ascii="Arial" w:cs="Arial" w:eastAsia="Arial" w:hAnsi="Arial"/>
                <w:sz w:val="12"/>
                <w:szCs w:val="12"/>
                <w:color w:val="auto"/>
              </w:rPr>
              <w:t>2</w:t>
            </w: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0"/>
        </w:trPr>
        <w:tc>
          <w:tcPr>
            <w:tcW w:w="10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44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u w:val="single" w:color="auto"/>
          <w:color w:val="auto"/>
        </w:rPr>
        <w:t>SIGNATURE</w:t>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14" w:lineRule="exact"/>
        <w:rPr>
          <w:sz w:val="20"/>
          <w:szCs w:val="20"/>
          <w:color w:val="auto"/>
        </w:rPr>
      </w:pPr>
    </w:p>
    <w:tbl>
      <w:tblPr>
        <w:tblLayout w:type="fixed"/>
        <w:tblInd w:w="5800" w:type="dxa"/>
        <w:tblCellMar>
          <w:top w:w="0" w:type="dxa"/>
          <w:left w:w="0" w:type="dxa"/>
          <w:bottom w:w="0" w:type="dxa"/>
          <w:right w:w="0" w:type="dxa"/>
        </w:tblCellMar>
      </w:tblPr>
      <w:tr>
        <w:trPr>
          <w:trHeight w:val="157"/>
        </w:trPr>
        <w:tc>
          <w:tcPr>
            <w:tcW w:w="520" w:type="dxa"/>
            <w:vAlign w:val="bottom"/>
          </w:tcPr>
          <w:p>
            <w:pPr>
              <w:spacing w:after="0"/>
              <w:rPr>
                <w:sz w:val="13"/>
                <w:szCs w:val="13"/>
                <w:color w:val="auto"/>
              </w:rPr>
            </w:pP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JPMorgan Chase &amp; Co.</w:t>
            </w:r>
          </w:p>
        </w:tc>
      </w:tr>
      <w:tr>
        <w:trPr>
          <w:trHeight w:val="148"/>
        </w:trPr>
        <w:tc>
          <w:tcPr>
            <w:tcW w:w="520" w:type="dxa"/>
            <w:vAlign w:val="bottom"/>
          </w:tcPr>
          <w:p>
            <w:pPr>
              <w:spacing w:after="0"/>
              <w:rPr>
                <w:sz w:val="12"/>
                <w:szCs w:val="12"/>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w w:val="98"/>
              </w:rPr>
              <w:t>(Registrant)</w:t>
            </w:r>
          </w:p>
        </w:tc>
      </w:tr>
      <w:tr>
        <w:trPr>
          <w:trHeight w:val="390"/>
        </w:trPr>
        <w:tc>
          <w:tcPr>
            <w:tcW w:w="520" w:type="dxa"/>
            <w:vAlign w:val="bottom"/>
          </w:tcPr>
          <w:p>
            <w:pPr>
              <w:spacing w:after="0"/>
              <w:rPr>
                <w:sz w:val="20"/>
                <w:szCs w:val="20"/>
                <w:color w:val="auto"/>
              </w:rPr>
            </w:pPr>
            <w:r>
              <w:rPr>
                <w:rFonts w:ascii="Arial" w:cs="Arial" w:eastAsia="Arial" w:hAnsi="Arial"/>
                <w:sz w:val="12"/>
                <w:szCs w:val="12"/>
                <w:color w:val="auto"/>
              </w:rPr>
              <w:t>By:</w:t>
            </w: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 Elena Korablina</w:t>
            </w:r>
          </w:p>
        </w:tc>
      </w:tr>
      <w:tr>
        <w:trPr>
          <w:trHeight w:val="138"/>
        </w:trPr>
        <w:tc>
          <w:tcPr>
            <w:tcW w:w="520" w:type="dxa"/>
            <w:vAlign w:val="bottom"/>
          </w:tcPr>
          <w:p>
            <w:pPr>
              <w:spacing w:after="0"/>
              <w:rPr>
                <w:sz w:val="12"/>
                <w:szCs w:val="12"/>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rPr>
              <w:t>Elena Korablina</w:t>
            </w:r>
          </w:p>
        </w:tc>
      </w:tr>
      <w:tr>
        <w:trPr>
          <w:trHeight w:val="153"/>
        </w:trPr>
        <w:tc>
          <w:tcPr>
            <w:tcW w:w="520" w:type="dxa"/>
            <w:vAlign w:val="bottom"/>
          </w:tcPr>
          <w:p>
            <w:pPr>
              <w:spacing w:after="0"/>
              <w:rPr>
                <w:sz w:val="13"/>
                <w:szCs w:val="13"/>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rPr>
              <w:t>Managing Director and Firmwide Controller</w:t>
            </w:r>
          </w:p>
        </w:tc>
      </w:tr>
      <w:tr>
        <w:trPr>
          <w:trHeight w:val="159"/>
        </w:trPr>
        <w:tc>
          <w:tcPr>
            <w:tcW w:w="520" w:type="dxa"/>
            <w:vAlign w:val="bottom"/>
          </w:tcPr>
          <w:p>
            <w:pPr>
              <w:spacing w:after="0"/>
              <w:rPr>
                <w:sz w:val="13"/>
                <w:szCs w:val="13"/>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w w:val="99"/>
              </w:rPr>
              <w:t>(Principal Accounting Officer)</w:t>
            </w:r>
          </w:p>
        </w:tc>
      </w:tr>
    </w:tbl>
    <w:p>
      <w:pPr>
        <w:spacing w:after="0" w:line="264"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color w:val="auto"/>
        </w:rPr>
        <w:t>Dated:</w:t>
        <w:tab/>
        <w:t>May 19, 2025</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775" w:right="29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2025-05-19T15:27:54Z</dcterms:created>
  <dcterms:modified xsi:type="dcterms:W3CDTF">2025-05-19T15:27:54Z</dcterms:modified>
</cp:coreProperties>
</file>