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2565400</wp:posOffset>
            </wp:positionH>
            <wp:positionV relativeFrom="page">
              <wp:posOffset>157480</wp:posOffset>
            </wp:positionV>
            <wp:extent cx="241744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17445" cy="257175"/>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333-263304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April 19,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April 19, 2022 to the Prospectus dated April 11, 2022 (the “Preliminary Prospectus Supplement”).</w:t>
      </w:r>
    </w:p>
    <w:p>
      <w:pPr>
        <w:sectPr>
          <w:pgSz w:w="11900" w:h="16838" w:orient="portrait"/>
          <w:cols w:equalWidth="0" w:num="1">
            <w:col w:w="11020"/>
          </w:cols>
          <w:pgMar w:left="440" w:top="850" w:right="439" w:bottom="1440" w:gutter="0" w:footer="0" w:header="0"/>
        </w:sectPr>
      </w:pPr>
    </w:p>
    <w:p>
      <w:pPr>
        <w:spacing w:after="0" w:line="18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JPMorgan Chase &amp; Co.</w:t>
      </w:r>
    </w:p>
    <w:p>
      <w:pPr>
        <w:spacing w:after="0" w:line="155"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 Senior Notes</w:t>
      </w:r>
    </w:p>
    <w:p>
      <w:pPr>
        <w:spacing w:after="0" w:line="156"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2026</w:t>
      </w:r>
    </w:p>
    <w:p>
      <w:pPr>
        <w:spacing w:after="0" w:line="155"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jc w:val="center"/>
        <w:ind w:right="4720"/>
        <w:spacing w:after="0"/>
        <w:rPr>
          <w:sz w:val="20"/>
          <w:szCs w:val="20"/>
          <w:color w:val="auto"/>
        </w:rPr>
      </w:pPr>
      <w:r>
        <w:rPr>
          <w:rFonts w:ascii="Times New Roman" w:cs="Times New Roman" w:eastAsia="Times New Roman" w:hAnsi="Times New Roman"/>
          <w:sz w:val="18"/>
          <w:szCs w:val="18"/>
          <w:color w:val="auto"/>
        </w:rPr>
        <w:t>USD</w:t>
      </w:r>
    </w:p>
    <w:p>
      <w:pPr>
        <w:spacing w:after="0" w:line="144"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$3,000,000,000</w:t>
      </w:r>
    </w:p>
    <w:p>
      <w:pPr>
        <w:spacing w:after="0" w:line="155"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26, 2026</w:t>
      </w:r>
    </w:p>
    <w:p>
      <w:pPr>
        <w:spacing w:after="0" w:line="144"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26, 2022 to but excluding April 26, 2025</w:t>
      </w:r>
    </w:p>
    <w:p>
      <w:pPr>
        <w:spacing w:after="0" w:line="155"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26, 2025 to but excluding Maturity</w:t>
      </w:r>
    </w:p>
    <w:p>
      <w:pPr>
        <w:spacing w:after="0" w:line="156"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67"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30/360 during the Fixed Rate Period, Actual/360 during the Floating Rate Period</w:t>
      </w:r>
    </w:p>
    <w:p>
      <w:pPr>
        <w:spacing w:after="0" w:line="67"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2.625% due April 15, 2025</w:t>
      </w:r>
    </w:p>
    <w:p>
      <w:pPr>
        <w:spacing w:after="0" w:line="156"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2.830%</w:t>
      </w:r>
    </w:p>
    <w:p>
      <w:pPr>
        <w:spacing w:after="0" w:line="144"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+125 basis points</w:t>
      </w:r>
    </w:p>
    <w:p>
      <w:pPr>
        <w:spacing w:after="0" w:line="155"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jc w:val="center"/>
        <w:ind w:right="4520"/>
        <w:spacing w:after="0"/>
        <w:rPr>
          <w:sz w:val="20"/>
          <w:szCs w:val="20"/>
          <w:color w:val="auto"/>
        </w:rPr>
      </w:pPr>
      <w:r>
        <w:rPr>
          <w:rFonts w:ascii="Times New Roman" w:cs="Times New Roman" w:eastAsia="Times New Roman" w:hAnsi="Times New Roman"/>
          <w:sz w:val="18"/>
          <w:szCs w:val="18"/>
          <w:color w:val="auto"/>
        </w:rPr>
        <w:t>4.080%</w:t>
      </w:r>
    </w:p>
    <w:p>
      <w:pPr>
        <w:spacing w:after="0" w:line="144" w:lineRule="exact"/>
        <w:rPr>
          <w:sz w:val="24"/>
          <w:szCs w:val="24"/>
          <w:color w:val="auto"/>
        </w:rPr>
      </w:pPr>
    </w:p>
    <w:p>
      <w:pPr>
        <w:sectPr>
          <w:pgSz w:w="11900" w:h="16838" w:orient="portrait"/>
          <w:cols w:equalWidth="0" w:num="2">
            <w:col w:w="5220" w:space="720"/>
            <w:col w:w="5080"/>
          </w:cols>
          <w:pgMar w:left="440" w:top="850"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20" w:lineRule="exact"/>
        <w:rPr>
          <w:sz w:val="24"/>
          <w:szCs w:val="24"/>
          <w:color w:val="auto"/>
        </w:rPr>
      </w:pPr>
      <w:r>
        <w:rPr>
          <w:sz w:val="24"/>
          <w:szCs w:val="24"/>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4.080%, payable semiannually in arrears during the Fixed Rate Period.</w:t>
      </w:r>
    </w:p>
    <w:p>
      <w:pPr>
        <w:sectPr>
          <w:pgSz w:w="11900" w:h="16838" w:orient="portrait"/>
          <w:cols w:equalWidth="0" w:num="2">
            <w:col w:w="5220" w:space="720"/>
            <w:col w:w="5080"/>
          </w:cols>
          <w:pgMar w:left="440" w:top="850"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Floating Rate Coupon: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Index: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Convention: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1.32% per annum, payable quarterly in arrears during the Floating Rate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-518795</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1"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Benchmark rate (expected to be Compounded SOFR as described under “Description of the Notes—Interest on the notes” in the Preliminary Prospectus Supplement.)</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Quarterly during the Floating Rate Period</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of face amount</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$2,992,500,000</w:t>
      </w:r>
    </w:p>
    <w:p>
      <w:pPr>
        <w:spacing w:after="0" w:line="144"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During the Fixed Rate Period, each April 26 and October 26, beginning October 26, 2022 and including April 26, 2025, and during the Floating Rate Period, each of July 26, 2025, October 26, 2025, January 26, 2026 and April 26, 2026.</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w:t>
      </w:r>
    </w:p>
    <w:p>
      <w:pPr>
        <w:spacing w:after="0" w:line="144"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pacing w:after="0" w:line="6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We may redeem the notes, at our option, in whole at any time or in part from time to time, on or after October 26, 2022 and prior to April 26, 2025 upon at least 5 days’ but no more than 60 days’ notice to holders of the notes, at a redemption price equal to the greater of:</w:t>
      </w:r>
    </w:p>
    <w:p>
      <w:pPr>
        <w:spacing w:after="0" w:line="3" w:lineRule="exact"/>
        <w:rPr>
          <w:sz w:val="20"/>
          <w:szCs w:val="20"/>
          <w:color w:val="auto"/>
        </w:rPr>
      </w:pPr>
    </w:p>
    <w:p>
      <w:pPr>
        <w:ind w:left="4" w:right="60" w:hanging="4"/>
        <w:spacing w:after="0" w:line="251"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matured on April 26, 2025) on a semi- annual basis (assuming a 360-day year consisting of twelve 30-day months) at the “Treasury Rate” plus 20 basis points less (b) interest accrued on those notes to the date of redemption; and (ii) 100% of the principal amount of the notes being redeemed; plus, in either case, accrued and unpaid interest on the notes to be redeemed to the redemption date.</w:t>
      </w:r>
    </w:p>
    <w:p>
      <w:pPr>
        <w:spacing w:after="0" w:line="9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addition, we may redeem the notes, at our option, in whole, but not in part, on April 26, 2025 upon at least 5 days’ but no more than 60 days’ notice to</w:t>
      </w:r>
    </w:p>
    <w:p>
      <w:pPr>
        <w:sectPr>
          <w:pgSz w:w="11900" w:h="16838" w:orient="portrait"/>
          <w:cols w:equalWidth="0" w:num="2">
            <w:col w:w="4676" w:space="720"/>
            <w:col w:w="5024"/>
          </w:cols>
          <w:pgMar w:left="980" w:top="270" w:right="499" w:bottom="1440" w:gutter="0" w:footer="0" w:header="0"/>
        </w:sectPr>
      </w:pPr>
    </w:p>
    <w:bookmarkStart w:id="2" w:name="page3"/>
    <w:bookmarkEnd w:id="2"/>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notes, at a redemption price equal to 100% of the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amount of the notes being redeemed plus accrued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p>
      <w:pPr>
        <w:spacing w:after="0" w:line="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at any</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time or in part from time to time, on or after March 26, 2026, upon at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least 5 days’ but no more than 60 days’ notice to holders of the notes,</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notes being redeemed plus accrued and unpaid interest thereon to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date.</w:t>
      </w:r>
    </w:p>
    <w:p>
      <w:pPr>
        <w:spacing w:after="0" w:line="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foregoing supplements and supersedes the information set forth</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under “Description of the Notes” in the Preliminary Prospectus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Supplement.</w:t>
      </w:r>
    </w:p>
    <w:p>
      <w:pPr>
        <w:sectPr>
          <w:pgSz w:w="11900" w:h="16838" w:orient="portrait"/>
          <w:cols w:equalWidth="0" w:num="1">
            <w:col w:w="10420"/>
          </w:cols>
          <w:pgMar w:left="980" w:top="270" w:right="49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46647PCZ7 / US46647PCZ71</w:t>
      </w:r>
    </w:p>
    <w:p>
      <w:pPr>
        <w:spacing w:after="0" w:line="156"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19, 2022</w:t>
      </w:r>
    </w:p>
    <w:p>
      <w:pPr>
        <w:spacing w:after="0" w:line="144"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26, 2022 (T+5)</w:t>
      </w:r>
    </w:p>
    <w:p>
      <w:pPr>
        <w:spacing w:after="0" w:line="156"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7"/>
          <w:szCs w:val="17"/>
          <w:color w:val="auto"/>
        </w:rPr>
        <w:t>$2,000 x $1,000</w:t>
      </w:r>
    </w:p>
    <w:p>
      <w:pPr>
        <w:spacing w:after="0" w:line="155"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Issuance: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In addition to the notes described in this term sheet, JPMorgan Chase &amp; Co. is concurrently offering $500,000,000 of floating rate notes due 2026, $3,000,000,000 of fixed-to-floating rate notes due 2028 and $2,000,000,000 of fixed-to-floating rate notes due 2033. The consummation of each of these offerings is not contingent on any other offering.</w:t>
      </w:r>
    </w:p>
    <w:p>
      <w:pPr>
        <w:spacing w:after="0" w:line="93"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55" w:lineRule="exact"/>
        <w:rPr>
          <w:sz w:val="20"/>
          <w:szCs w:val="20"/>
          <w:color w:val="auto"/>
        </w:rPr>
      </w:pPr>
    </w:p>
    <w:p>
      <w:pPr>
        <w:sectPr>
          <w:pgSz w:w="11900" w:h="16838" w:orient="portrait"/>
          <w:cols w:equalWidth="0" w:num="2">
            <w:col w:w="4680" w:space="720"/>
            <w:col w:w="5020"/>
          </w:cols>
          <w:pgMar w:left="98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ABN AMRO Securities (USA)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Bank of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Danske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ectPr>
          <w:pgSz w:w="11900" w:h="16838" w:orient="portrait"/>
          <w:cols w:equalWidth="0" w:num="2">
            <w:col w:w="4680" w:space="720"/>
            <w:col w:w="5020"/>
          </w:cols>
          <w:pgMar w:left="980" w:top="270" w:right="499" w:bottom="1440" w:gutter="0" w:footer="0" w:header="0"/>
          <w:type w:val="continuous"/>
        </w:sectPr>
      </w:pPr>
    </w:p>
    <w:bookmarkStart w:id="3" w:name="page4"/>
    <w:bookmarkEnd w:id="3"/>
    <w:p>
      <w:pPr>
        <w:ind w:left="5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Intesa Sanpaolo S.p.A.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nabSecurities,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National Bank of Canada Financial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Nordea Bank Abp</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RB International Markets (USA)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Santander Investment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UniCredit Capital Markets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Westpac Capital Markets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American Veterans Group, PBC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AmeriVet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Apto Partners,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C.L. King &amp; Associates,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Great Pacific Securities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Multi-Bank Securities, Inc.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Roberts &amp; Ryan Investments, Inc.</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April 26, 2022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w:t>
      </w:r>
    </w:p>
    <w:p>
      <w:pPr>
        <w:sectPr>
          <w:pgSz w:w="11900" w:h="16838" w:orient="portrait"/>
          <w:cols w:equalWidth="0" w:num="1">
            <w:col w:w="10880"/>
          </w:cols>
          <w:pgMar w:left="440" w:top="270" w:right="57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2022-04-20T09:16:28Z</dcterms:created>
  <dcterms:modified xsi:type="dcterms:W3CDTF">2022-04-20T09:16:28Z</dcterms:modified>
</cp:coreProperties>
</file>