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502-01_fwp.htm"/>
      <w:bookmarkStart w:id="1" w:name="ksea0304502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18-Month RSP Trigger PLUS</w:t>
      </w:r>
    </w:p>
    <w:p>
      <w:pPr>
        <w:pStyle w:val="TextBody"/>
        <w:bidi w:val="0"/>
        <w:spacing w:before="40" w:after="40"/>
        <w:ind w:left="86" w:right="4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81900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8190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22"/>
                              <w:gridCol w:w="848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72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8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83" w:type="dxa"/>
                                  <w:tcBorders/>
                                  <w:shd w:fill="DCEBF4" w:val="clear"/>
                                  <w:vAlign w:val="center"/>
                                </w:tcPr>
                                <w:p>
                                  <w:pPr>
                                    <w:pStyle w:val="TableContents"/>
                                    <w:bidi w:val="0"/>
                                    <w:spacing w:before="0" w:after="283"/>
                                    <w:jc w:val="left"/>
                                    <w:rPr>
                                      <w:sz w:val="16"/>
                                    </w:rPr>
                                  </w:pPr>
                                  <w:r>
                                    <w:rPr>
                                      <w:sz w:val="16"/>
                                    </w:rPr>
                                    <w:t>JPMorgan Chase &amp; Co.</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483" w:type="dxa"/>
                                  <w:tcBorders/>
                                  <w:vAlign w:val="center"/>
                                </w:tcPr>
                                <w:p>
                                  <w:pPr>
                                    <w:pStyle w:val="TableContents"/>
                                    <w:bidi w:val="0"/>
                                    <w:spacing w:before="0" w:after="283"/>
                                    <w:jc w:val="left"/>
                                    <w:rPr>
                                      <w:sz w:val="16"/>
                                    </w:rPr>
                                  </w:pPr>
                                  <w:r>
                                    <w:rPr>
                                      <w:sz w:val="16"/>
                                    </w:rPr>
                                    <w:t>Shares of the Invesco S&amp;P 500</w:t>
                                  </w:r>
                                  <w:r>
                                    <w:rPr>
                                      <w:position w:val="5"/>
                                      <w:sz w:val="13"/>
                                      <w:sz w:val="16"/>
                                    </w:rPr>
                                    <w:t>®</w:t>
                                  </w:r>
                                  <w:r>
                                    <w:rPr>
                                      <w:sz w:val="16"/>
                                    </w:rPr>
                                    <w:t xml:space="preserve"> Equal Weight ETF (Bloomberg ticker: RSP UP Equity)</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483"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share price,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 xml:space="preserve">the initial share price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 xml:space="preserve">less than </w:t>
                                  </w:r>
                                  <w:r>
                                    <w:rPr>
                                      <w:rFonts w:ascii="Arial;Helvetica;Sans-Serif" w:hAnsi="Arial;Helvetica;Sans-Serif"/>
                                      <w:b w:val="false"/>
                                      <w:i w:val="false"/>
                                      <w:caps w:val="false"/>
                                      <w:smallCaps w:val="false"/>
                                      <w:sz w:val="16"/>
                                    </w:rPr>
                                    <w:t>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share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10%, and possibly all, of your investment.</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483" w:type="dxa"/>
                                  <w:tcBorders/>
                                  <w:vAlign w:val="center"/>
                                </w:tcPr>
                                <w:p>
                                  <w:pPr>
                                    <w:pStyle w:val="TableContents"/>
                                    <w:bidi w:val="0"/>
                                    <w:spacing w:before="0" w:after="283"/>
                                    <w:jc w:val="left"/>
                                    <w:rPr>
                                      <w:sz w:val="16"/>
                                    </w:rPr>
                                  </w:pPr>
                                  <w:r>
                                    <w:rPr>
                                      <w:sz w:val="16"/>
                                    </w:rPr>
                                    <w:t>$1,000 × leverage factor × share percent increase</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increase:</w:t>
                                  </w:r>
                                </w:p>
                              </w:tc>
                              <w:tc>
                                <w:tcPr>
                                  <w:tcW w:w="8483" w:type="dxa"/>
                                  <w:tcBorders/>
                                  <w:shd w:fill="DCEBF4" w:val="clear"/>
                                  <w:vAlign w:val="center"/>
                                </w:tcPr>
                                <w:p>
                                  <w:pPr>
                                    <w:pStyle w:val="TableContents"/>
                                    <w:bidi w:val="0"/>
                                    <w:spacing w:before="0" w:after="283"/>
                                    <w:jc w:val="left"/>
                                    <w:rPr>
                                      <w:sz w:val="16"/>
                                    </w:rPr>
                                  </w:pPr>
                                  <w:r>
                                    <w:rPr>
                                      <w:sz w:val="16"/>
                                    </w:rPr>
                                    <w:t>(final share price – initial share price) / initial share price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483" w:type="dxa"/>
                                  <w:tcBorders/>
                                  <w:vAlign w:val="center"/>
                                </w:tcPr>
                                <w:p>
                                  <w:pPr>
                                    <w:pStyle w:val="TableContents"/>
                                    <w:bidi w:val="0"/>
                                    <w:spacing w:before="0" w:after="283"/>
                                    <w:jc w:val="left"/>
                                    <w:rPr>
                                      <w:sz w:val="16"/>
                                    </w:rPr>
                                  </w:pPr>
                                  <w:r>
                                    <w:rPr>
                                      <w:sz w:val="16"/>
                                    </w:rPr>
                                    <w:t>The closing price of one ETF Share on the pricing date</w:t>
                                  </w:r>
                                </w:p>
                              </w:tc>
                            </w:tr>
                            <w:tr>
                              <w:trPr/>
                              <w:tc>
                                <w:tcPr>
                                  <w:tcW w:w="1722"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483" w:type="dxa"/>
                                  <w:tcBorders/>
                                  <w:shd w:fill="DCEBF4" w:val="clear"/>
                                  <w:vAlign w:val="center"/>
                                </w:tcPr>
                                <w:p>
                                  <w:pPr>
                                    <w:pStyle w:val="TableContents"/>
                                    <w:bidi w:val="0"/>
                                    <w:spacing w:before="0" w:after="283"/>
                                    <w:jc w:val="left"/>
                                    <w:rPr>
                                      <w:sz w:val="16"/>
                                    </w:rPr>
                                  </w:pPr>
                                  <w:r>
                                    <w:rPr>
                                      <w:sz w:val="16"/>
                                    </w:rPr>
                                    <w:t>The closing price of one ETF Share on the valuation date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483" w:type="dxa"/>
                                  <w:tcBorders/>
                                  <w:vAlign w:val="center"/>
                                </w:tcPr>
                                <w:p>
                                  <w:pPr>
                                    <w:pStyle w:val="TableContents"/>
                                    <w:bidi w:val="0"/>
                                    <w:spacing w:before="0" w:after="283"/>
                                    <w:jc w:val="left"/>
                                    <w:rPr>
                                      <w:sz w:val="16"/>
                                    </w:rPr>
                                  </w:pPr>
                                  <w:r>
                                    <w:rPr>
                                      <w:sz w:val="16"/>
                                    </w:rPr>
                                    <w:t>90% of the initial share price</w:t>
                                  </w:r>
                                </w:p>
                              </w:tc>
                            </w:tr>
                            <w:tr>
                              <w:trPr/>
                              <w:tc>
                                <w:tcPr>
                                  <w:tcW w:w="1722" w:type="dxa"/>
                                  <w:tcBorders/>
                                  <w:shd w:fill="DCEBF4" w:val="clear"/>
                                  <w:vAlign w:val="center"/>
                                </w:tcPr>
                                <w:p>
                                  <w:pPr>
                                    <w:pStyle w:val="TableContents"/>
                                    <w:bidi w:val="0"/>
                                    <w:spacing w:before="0" w:after="283"/>
                                    <w:jc w:val="left"/>
                                    <w:rPr>
                                      <w:b/>
                                      <w:color w:val="296DC1"/>
                                      <w:sz w:val="15"/>
                                    </w:rPr>
                                  </w:pPr>
                                  <w:r>
                                    <w:rPr>
                                      <w:b/>
                                      <w:color w:val="296DC1"/>
                                      <w:sz w:val="15"/>
                                    </w:rPr>
                                    <w:t>Share adjustment factor:</w:t>
                                  </w:r>
                                </w:p>
                              </w:tc>
                              <w:tc>
                                <w:tcPr>
                                  <w:tcW w:w="8483" w:type="dxa"/>
                                  <w:tcBorders/>
                                  <w:shd w:fill="DCEBF4" w:val="clear"/>
                                  <w:vAlign w:val="center"/>
                                </w:tcPr>
                                <w:p>
                                  <w:pPr>
                                    <w:pStyle w:val="TableContents"/>
                                    <w:bidi w:val="0"/>
                                    <w:spacing w:before="0" w:after="283"/>
                                    <w:jc w:val="left"/>
                                    <w:rPr>
                                      <w:sz w:val="15"/>
                                    </w:rPr>
                                  </w:pPr>
                                  <w:r>
                                    <w:rPr>
                                      <w:sz w:val="15"/>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483" w:type="dxa"/>
                                  <w:tcBorders/>
                                  <w:vAlign w:val="center"/>
                                </w:tcPr>
                                <w:p>
                                  <w:pPr>
                                    <w:pStyle w:val="TableContents"/>
                                    <w:bidi w:val="0"/>
                                    <w:spacing w:before="0" w:after="283"/>
                                    <w:jc w:val="left"/>
                                    <w:rPr>
                                      <w:sz w:val="16"/>
                                    </w:rPr>
                                  </w:pPr>
                                  <w:r>
                                    <w:rPr>
                                      <w:sz w:val="16"/>
                                    </w:rPr>
                                    <w:t>200%</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483" w:type="dxa"/>
                                  <w:tcBorders/>
                                  <w:shd w:fill="DCEBF4" w:val="clear"/>
                                  <w:vAlign w:val="center"/>
                                </w:tcPr>
                                <w:p>
                                  <w:pPr>
                                    <w:pStyle w:val="TableContents"/>
                                    <w:bidi w:val="0"/>
                                    <w:spacing w:before="0" w:after="283"/>
                                    <w:jc w:val="left"/>
                                    <w:rPr>
                                      <w:sz w:val="16"/>
                                    </w:rPr>
                                  </w:pPr>
                                  <w:r>
                                    <w:rPr>
                                      <w:sz w:val="16"/>
                                    </w:rPr>
                                    <w:t>final share price / initial share price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8483" w:type="dxa"/>
                                  <w:tcBorders/>
                                  <w:vAlign w:val="center"/>
                                </w:tcPr>
                                <w:p>
                                  <w:pPr>
                                    <w:pStyle w:val="TableContents"/>
                                    <w:bidi w:val="0"/>
                                    <w:spacing w:before="0" w:after="283"/>
                                    <w:jc w:val="left"/>
                                    <w:rPr>
                                      <w:sz w:val="16"/>
                                    </w:rPr>
                                  </w:pPr>
                                  <w:r>
                                    <w:rPr>
                                      <w:sz w:val="16"/>
                                    </w:rPr>
                                    <w:t>At least $1,167.50 (at least 116.75% of the stated principal amount) per Trigger PLUS</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83" w:type="dxa"/>
                                  <w:tcBorders/>
                                  <w:shd w:fill="DCEBF4" w:val="clear"/>
                                  <w:vAlign w:val="center"/>
                                </w:tcPr>
                                <w:p>
                                  <w:pPr>
                                    <w:pStyle w:val="TableContents"/>
                                    <w:bidi w:val="0"/>
                                    <w:spacing w:before="0" w:after="283"/>
                                    <w:jc w:val="left"/>
                                    <w:rPr>
                                      <w:sz w:val="16"/>
                                    </w:rPr>
                                  </w:pPr>
                                  <w:r>
                                    <w:rPr>
                                      <w:sz w:val="16"/>
                                    </w:rPr>
                                    <w:t>$1,000 per Trigger PLUS</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83" w:type="dxa"/>
                                  <w:tcBorders/>
                                  <w:vAlign w:val="center"/>
                                </w:tcPr>
                                <w:p>
                                  <w:pPr>
                                    <w:pStyle w:val="TableContents"/>
                                    <w:bidi w:val="0"/>
                                    <w:spacing w:before="0" w:after="283"/>
                                    <w:jc w:val="left"/>
                                    <w:rPr>
                                      <w:sz w:val="16"/>
                                    </w:rPr>
                                  </w:pPr>
                                  <w:r>
                                    <w:rPr>
                                      <w:sz w:val="16"/>
                                    </w:rPr>
                                    <w:t>$1,000 per Trigger PLUS</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83" w:type="dxa"/>
                                  <w:tcBorders/>
                                  <w:shd w:fill="DCEBF4" w:val="clear"/>
                                  <w:vAlign w:val="center"/>
                                </w:tcPr>
                                <w:p>
                                  <w:pPr>
                                    <w:pStyle w:val="TableContents"/>
                                    <w:bidi w:val="0"/>
                                    <w:spacing w:before="0" w:after="283"/>
                                    <w:jc w:val="left"/>
                                    <w:rPr>
                                      <w:sz w:val="16"/>
                                    </w:rPr>
                                  </w:pPr>
                                  <w:r>
                                    <w:rPr>
                                      <w:sz w:val="16"/>
                                    </w:rPr>
                                    <w:t>Expected to be September 30, 2026</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83" w:type="dxa"/>
                                  <w:tcBorders/>
                                  <w:vAlign w:val="center"/>
                                </w:tcPr>
                                <w:p>
                                  <w:pPr>
                                    <w:pStyle w:val="TableContents"/>
                                    <w:bidi w:val="0"/>
                                    <w:spacing w:before="0" w:after="283"/>
                                    <w:jc w:val="left"/>
                                    <w:rPr>
                                      <w:sz w:val="16"/>
                                    </w:rPr>
                                  </w:pPr>
                                  <w:r>
                                    <w:rPr>
                                      <w:sz w:val="16"/>
                                    </w:rPr>
                                    <w:t>3 business days after the pricing date</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83" w:type="dxa"/>
                                  <w:tcBorders/>
                                  <w:shd w:fill="DCEBF4" w:val="clear"/>
                                  <w:vAlign w:val="center"/>
                                </w:tcPr>
                                <w:p>
                                  <w:pPr>
                                    <w:pStyle w:val="TableContents"/>
                                    <w:bidi w:val="0"/>
                                    <w:spacing w:before="0" w:after="283"/>
                                    <w:jc w:val="left"/>
                                    <w:rPr>
                                      <w:sz w:val="16"/>
                                    </w:rPr>
                                  </w:pPr>
                                  <w:r>
                                    <w:rPr>
                                      <w:sz w:val="16"/>
                                    </w:rPr>
                                    <w:t>March 30, 2028</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83" w:type="dxa"/>
                                  <w:tcBorders/>
                                  <w:vAlign w:val="center"/>
                                </w:tcPr>
                                <w:p>
                                  <w:pPr>
                                    <w:pStyle w:val="TableContents"/>
                                    <w:bidi w:val="0"/>
                                    <w:spacing w:before="0" w:after="283"/>
                                    <w:jc w:val="left"/>
                                    <w:rPr>
                                      <w:sz w:val="16"/>
                                    </w:rPr>
                                  </w:pPr>
                                  <w:r>
                                    <w:rPr>
                                      <w:sz w:val="16"/>
                                    </w:rPr>
                                    <w:t>April 4, 2028</w:t>
                                  </w:r>
                                </w:p>
                              </w:tc>
                            </w:tr>
                            <w:tr>
                              <w:trPr/>
                              <w:tc>
                                <w:tcPr>
                                  <w:tcW w:w="1722"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483" w:type="dxa"/>
                                  <w:tcBorders/>
                                  <w:shd w:fill="DCEBF4" w:val="clear"/>
                                  <w:vAlign w:val="center"/>
                                </w:tcPr>
                                <w:p>
                                  <w:pPr>
                                    <w:pStyle w:val="TableContents"/>
                                    <w:bidi w:val="0"/>
                                    <w:spacing w:before="0" w:after="283"/>
                                    <w:jc w:val="left"/>
                                    <w:rPr>
                                      <w:sz w:val="16"/>
                                    </w:rPr>
                                  </w:pPr>
                                  <w:r>
                                    <w:rPr>
                                      <w:sz w:val="16"/>
                                    </w:rPr>
                                    <w:t>46661MPU2 / US46661MPU26</w:t>
                                  </w:r>
                                </w:p>
                              </w:tc>
                            </w:tr>
                            <w:tr>
                              <w:trPr/>
                              <w:tc>
                                <w:tcPr>
                                  <w:tcW w:w="1722"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83" w:type="dxa"/>
                                  <w:tcBorders/>
                                  <w:vAlign w:val="center"/>
                                </w:tcPr>
                                <w:p>
                                  <w:pPr>
                                    <w:pStyle w:val="TableContents"/>
                                    <w:bidi w:val="0"/>
                                    <w:spacing w:before="0" w:after="283"/>
                                    <w:jc w:val="left"/>
                                    <w:rPr/>
                                  </w:pPr>
                                  <w:hyperlink r:id="rId2">
                                    <w:r>
                                      <w:rPr>
                                        <w:rStyle w:val="InternetLink"/>
                                        <w:sz w:val="16"/>
                                      </w:rPr>
                                      <w:t>http://www.sec.gov/Archives/edgar/data/</w:t>
                                      <w:br/>
                                      <w:t>19617/000121390026096797/ea0304457-01_424b2.htm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3.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722"/>
                        <w:gridCol w:w="848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72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8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83" w:type="dxa"/>
                            <w:tcBorders/>
                            <w:shd w:fill="DCEBF4" w:val="clear"/>
                            <w:vAlign w:val="center"/>
                          </w:tcPr>
                          <w:p>
                            <w:pPr>
                              <w:pStyle w:val="TableContents"/>
                              <w:bidi w:val="0"/>
                              <w:spacing w:before="0" w:after="283"/>
                              <w:jc w:val="left"/>
                              <w:rPr>
                                <w:sz w:val="16"/>
                              </w:rPr>
                            </w:pPr>
                            <w:r>
                              <w:rPr>
                                <w:sz w:val="16"/>
                              </w:rPr>
                              <w:t>JPMorgan Chase &amp; Co.</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483" w:type="dxa"/>
                            <w:tcBorders/>
                            <w:vAlign w:val="center"/>
                          </w:tcPr>
                          <w:p>
                            <w:pPr>
                              <w:pStyle w:val="TableContents"/>
                              <w:bidi w:val="0"/>
                              <w:spacing w:before="0" w:after="283"/>
                              <w:jc w:val="left"/>
                              <w:rPr>
                                <w:sz w:val="16"/>
                              </w:rPr>
                            </w:pPr>
                            <w:r>
                              <w:rPr>
                                <w:sz w:val="16"/>
                              </w:rPr>
                              <w:t>Shares of the Invesco S&amp;P 500</w:t>
                            </w:r>
                            <w:r>
                              <w:rPr>
                                <w:position w:val="5"/>
                                <w:sz w:val="13"/>
                                <w:sz w:val="16"/>
                              </w:rPr>
                              <w:t>®</w:t>
                            </w:r>
                            <w:r>
                              <w:rPr>
                                <w:sz w:val="16"/>
                              </w:rPr>
                              <w:t xml:space="preserve"> Equal Weight ETF (Bloomberg ticker: RSP UP Equity)</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483"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share price,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 xml:space="preserve">the initial share price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 xml:space="preserve">less than </w:t>
                            </w:r>
                            <w:r>
                              <w:rPr>
                                <w:rFonts w:ascii="Arial;Helvetica;Sans-Serif" w:hAnsi="Arial;Helvetica;Sans-Serif"/>
                                <w:b w:val="false"/>
                                <w:i w:val="false"/>
                                <w:caps w:val="false"/>
                                <w:smallCaps w:val="false"/>
                                <w:sz w:val="16"/>
                              </w:rPr>
                              <w:t>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share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10%, and possibly all, of your investment.</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483" w:type="dxa"/>
                            <w:tcBorders/>
                            <w:vAlign w:val="center"/>
                          </w:tcPr>
                          <w:p>
                            <w:pPr>
                              <w:pStyle w:val="TableContents"/>
                              <w:bidi w:val="0"/>
                              <w:spacing w:before="0" w:after="283"/>
                              <w:jc w:val="left"/>
                              <w:rPr>
                                <w:sz w:val="16"/>
                              </w:rPr>
                            </w:pPr>
                            <w:r>
                              <w:rPr>
                                <w:sz w:val="16"/>
                              </w:rPr>
                              <w:t>$1,000 × leverage factor × share percent increase</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increase:</w:t>
                            </w:r>
                          </w:p>
                        </w:tc>
                        <w:tc>
                          <w:tcPr>
                            <w:tcW w:w="8483" w:type="dxa"/>
                            <w:tcBorders/>
                            <w:shd w:fill="DCEBF4" w:val="clear"/>
                            <w:vAlign w:val="center"/>
                          </w:tcPr>
                          <w:p>
                            <w:pPr>
                              <w:pStyle w:val="TableContents"/>
                              <w:bidi w:val="0"/>
                              <w:spacing w:before="0" w:after="283"/>
                              <w:jc w:val="left"/>
                              <w:rPr>
                                <w:sz w:val="16"/>
                              </w:rPr>
                            </w:pPr>
                            <w:r>
                              <w:rPr>
                                <w:sz w:val="16"/>
                              </w:rPr>
                              <w:t>(final share price – initial share price) / initial share price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483" w:type="dxa"/>
                            <w:tcBorders/>
                            <w:vAlign w:val="center"/>
                          </w:tcPr>
                          <w:p>
                            <w:pPr>
                              <w:pStyle w:val="TableContents"/>
                              <w:bidi w:val="0"/>
                              <w:spacing w:before="0" w:after="283"/>
                              <w:jc w:val="left"/>
                              <w:rPr>
                                <w:sz w:val="16"/>
                              </w:rPr>
                            </w:pPr>
                            <w:r>
                              <w:rPr>
                                <w:sz w:val="16"/>
                              </w:rPr>
                              <w:t>The closing price of one ETF Share on the pricing date</w:t>
                            </w:r>
                          </w:p>
                        </w:tc>
                      </w:tr>
                      <w:tr>
                        <w:trPr/>
                        <w:tc>
                          <w:tcPr>
                            <w:tcW w:w="1722"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483" w:type="dxa"/>
                            <w:tcBorders/>
                            <w:shd w:fill="DCEBF4" w:val="clear"/>
                            <w:vAlign w:val="center"/>
                          </w:tcPr>
                          <w:p>
                            <w:pPr>
                              <w:pStyle w:val="TableContents"/>
                              <w:bidi w:val="0"/>
                              <w:spacing w:before="0" w:after="283"/>
                              <w:jc w:val="left"/>
                              <w:rPr>
                                <w:sz w:val="16"/>
                              </w:rPr>
                            </w:pPr>
                            <w:r>
                              <w:rPr>
                                <w:sz w:val="16"/>
                              </w:rPr>
                              <w:t>The closing price of one ETF Share on the valuation date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483" w:type="dxa"/>
                            <w:tcBorders/>
                            <w:vAlign w:val="center"/>
                          </w:tcPr>
                          <w:p>
                            <w:pPr>
                              <w:pStyle w:val="TableContents"/>
                              <w:bidi w:val="0"/>
                              <w:spacing w:before="0" w:after="283"/>
                              <w:jc w:val="left"/>
                              <w:rPr>
                                <w:sz w:val="16"/>
                              </w:rPr>
                            </w:pPr>
                            <w:r>
                              <w:rPr>
                                <w:sz w:val="16"/>
                              </w:rPr>
                              <w:t>90% of the initial share price</w:t>
                            </w:r>
                          </w:p>
                        </w:tc>
                      </w:tr>
                      <w:tr>
                        <w:trPr/>
                        <w:tc>
                          <w:tcPr>
                            <w:tcW w:w="1722" w:type="dxa"/>
                            <w:tcBorders/>
                            <w:shd w:fill="DCEBF4" w:val="clear"/>
                            <w:vAlign w:val="center"/>
                          </w:tcPr>
                          <w:p>
                            <w:pPr>
                              <w:pStyle w:val="TableContents"/>
                              <w:bidi w:val="0"/>
                              <w:spacing w:before="0" w:after="283"/>
                              <w:jc w:val="left"/>
                              <w:rPr>
                                <w:b/>
                                <w:color w:val="296DC1"/>
                                <w:sz w:val="15"/>
                              </w:rPr>
                            </w:pPr>
                            <w:r>
                              <w:rPr>
                                <w:b/>
                                <w:color w:val="296DC1"/>
                                <w:sz w:val="15"/>
                              </w:rPr>
                              <w:t>Share adjustment factor:</w:t>
                            </w:r>
                          </w:p>
                        </w:tc>
                        <w:tc>
                          <w:tcPr>
                            <w:tcW w:w="8483" w:type="dxa"/>
                            <w:tcBorders/>
                            <w:shd w:fill="DCEBF4" w:val="clear"/>
                            <w:vAlign w:val="center"/>
                          </w:tcPr>
                          <w:p>
                            <w:pPr>
                              <w:pStyle w:val="TableContents"/>
                              <w:bidi w:val="0"/>
                              <w:spacing w:before="0" w:after="283"/>
                              <w:jc w:val="left"/>
                              <w:rPr>
                                <w:sz w:val="15"/>
                              </w:rPr>
                            </w:pPr>
                            <w:r>
                              <w:rPr>
                                <w:sz w:val="15"/>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483" w:type="dxa"/>
                            <w:tcBorders/>
                            <w:vAlign w:val="center"/>
                          </w:tcPr>
                          <w:p>
                            <w:pPr>
                              <w:pStyle w:val="TableContents"/>
                              <w:bidi w:val="0"/>
                              <w:spacing w:before="0" w:after="283"/>
                              <w:jc w:val="left"/>
                              <w:rPr>
                                <w:sz w:val="16"/>
                              </w:rPr>
                            </w:pPr>
                            <w:r>
                              <w:rPr>
                                <w:sz w:val="16"/>
                              </w:rPr>
                              <w:t>200%</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483" w:type="dxa"/>
                            <w:tcBorders/>
                            <w:shd w:fill="DCEBF4" w:val="clear"/>
                            <w:vAlign w:val="center"/>
                          </w:tcPr>
                          <w:p>
                            <w:pPr>
                              <w:pStyle w:val="TableContents"/>
                              <w:bidi w:val="0"/>
                              <w:spacing w:before="0" w:after="283"/>
                              <w:jc w:val="left"/>
                              <w:rPr>
                                <w:sz w:val="16"/>
                              </w:rPr>
                            </w:pPr>
                            <w:r>
                              <w:rPr>
                                <w:sz w:val="16"/>
                              </w:rPr>
                              <w:t>final share price / initial share price</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8483" w:type="dxa"/>
                            <w:tcBorders/>
                            <w:vAlign w:val="center"/>
                          </w:tcPr>
                          <w:p>
                            <w:pPr>
                              <w:pStyle w:val="TableContents"/>
                              <w:bidi w:val="0"/>
                              <w:spacing w:before="0" w:after="283"/>
                              <w:jc w:val="left"/>
                              <w:rPr>
                                <w:sz w:val="16"/>
                              </w:rPr>
                            </w:pPr>
                            <w:r>
                              <w:rPr>
                                <w:sz w:val="16"/>
                              </w:rPr>
                              <w:t>At least $1,167.50 (at least 116.75% of the stated principal amount) per Trigger PLUS</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83" w:type="dxa"/>
                            <w:tcBorders/>
                            <w:shd w:fill="DCEBF4" w:val="clear"/>
                            <w:vAlign w:val="center"/>
                          </w:tcPr>
                          <w:p>
                            <w:pPr>
                              <w:pStyle w:val="TableContents"/>
                              <w:bidi w:val="0"/>
                              <w:spacing w:before="0" w:after="283"/>
                              <w:jc w:val="left"/>
                              <w:rPr>
                                <w:sz w:val="16"/>
                              </w:rPr>
                            </w:pPr>
                            <w:r>
                              <w:rPr>
                                <w:sz w:val="16"/>
                              </w:rPr>
                              <w:t>$1,000 per Trigger PLUS</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83" w:type="dxa"/>
                            <w:tcBorders/>
                            <w:vAlign w:val="center"/>
                          </w:tcPr>
                          <w:p>
                            <w:pPr>
                              <w:pStyle w:val="TableContents"/>
                              <w:bidi w:val="0"/>
                              <w:spacing w:before="0" w:after="283"/>
                              <w:jc w:val="left"/>
                              <w:rPr>
                                <w:sz w:val="16"/>
                              </w:rPr>
                            </w:pPr>
                            <w:r>
                              <w:rPr>
                                <w:sz w:val="16"/>
                              </w:rPr>
                              <w:t>$1,000 per Trigger PLUS</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83" w:type="dxa"/>
                            <w:tcBorders/>
                            <w:shd w:fill="DCEBF4" w:val="clear"/>
                            <w:vAlign w:val="center"/>
                          </w:tcPr>
                          <w:p>
                            <w:pPr>
                              <w:pStyle w:val="TableContents"/>
                              <w:bidi w:val="0"/>
                              <w:spacing w:before="0" w:after="283"/>
                              <w:jc w:val="left"/>
                              <w:rPr>
                                <w:sz w:val="16"/>
                              </w:rPr>
                            </w:pPr>
                            <w:r>
                              <w:rPr>
                                <w:sz w:val="16"/>
                              </w:rPr>
                              <w:t>Expected to be September 30, 2026</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83" w:type="dxa"/>
                            <w:tcBorders/>
                            <w:vAlign w:val="center"/>
                          </w:tcPr>
                          <w:p>
                            <w:pPr>
                              <w:pStyle w:val="TableContents"/>
                              <w:bidi w:val="0"/>
                              <w:spacing w:before="0" w:after="283"/>
                              <w:jc w:val="left"/>
                              <w:rPr>
                                <w:sz w:val="16"/>
                              </w:rPr>
                            </w:pPr>
                            <w:r>
                              <w:rPr>
                                <w:sz w:val="16"/>
                              </w:rPr>
                              <w:t>3 business days after the pricing date</w:t>
                            </w:r>
                          </w:p>
                        </w:tc>
                      </w:tr>
                      <w:tr>
                        <w:trPr/>
                        <w:tc>
                          <w:tcPr>
                            <w:tcW w:w="172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83" w:type="dxa"/>
                            <w:tcBorders/>
                            <w:shd w:fill="DCEBF4" w:val="clear"/>
                            <w:vAlign w:val="center"/>
                          </w:tcPr>
                          <w:p>
                            <w:pPr>
                              <w:pStyle w:val="TableContents"/>
                              <w:bidi w:val="0"/>
                              <w:spacing w:before="0" w:after="283"/>
                              <w:jc w:val="left"/>
                              <w:rPr>
                                <w:sz w:val="16"/>
                              </w:rPr>
                            </w:pPr>
                            <w:r>
                              <w:rPr>
                                <w:sz w:val="16"/>
                              </w:rPr>
                              <w:t>March 30, 2028</w:t>
                            </w:r>
                          </w:p>
                        </w:tc>
                      </w:tr>
                      <w:tr>
                        <w:trPr/>
                        <w:tc>
                          <w:tcPr>
                            <w:tcW w:w="172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83" w:type="dxa"/>
                            <w:tcBorders/>
                            <w:vAlign w:val="center"/>
                          </w:tcPr>
                          <w:p>
                            <w:pPr>
                              <w:pStyle w:val="TableContents"/>
                              <w:bidi w:val="0"/>
                              <w:spacing w:before="0" w:after="283"/>
                              <w:jc w:val="left"/>
                              <w:rPr>
                                <w:sz w:val="16"/>
                              </w:rPr>
                            </w:pPr>
                            <w:r>
                              <w:rPr>
                                <w:sz w:val="16"/>
                              </w:rPr>
                              <w:t>April 4, 2028</w:t>
                            </w:r>
                          </w:p>
                        </w:tc>
                      </w:tr>
                      <w:tr>
                        <w:trPr/>
                        <w:tc>
                          <w:tcPr>
                            <w:tcW w:w="1722"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483" w:type="dxa"/>
                            <w:tcBorders/>
                            <w:shd w:fill="DCEBF4" w:val="clear"/>
                            <w:vAlign w:val="center"/>
                          </w:tcPr>
                          <w:p>
                            <w:pPr>
                              <w:pStyle w:val="TableContents"/>
                              <w:bidi w:val="0"/>
                              <w:spacing w:before="0" w:after="283"/>
                              <w:jc w:val="left"/>
                              <w:rPr>
                                <w:sz w:val="16"/>
                              </w:rPr>
                            </w:pPr>
                            <w:r>
                              <w:rPr>
                                <w:sz w:val="16"/>
                              </w:rPr>
                              <w:t>46661MPU2 / US46661MPU26</w:t>
                            </w:r>
                          </w:p>
                        </w:tc>
                      </w:tr>
                      <w:tr>
                        <w:trPr/>
                        <w:tc>
                          <w:tcPr>
                            <w:tcW w:w="1722"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83" w:type="dxa"/>
                            <w:tcBorders/>
                            <w:vAlign w:val="center"/>
                          </w:tcPr>
                          <w:p>
                            <w:pPr>
                              <w:pStyle w:val="TableContents"/>
                              <w:bidi w:val="0"/>
                              <w:spacing w:before="0" w:after="283"/>
                              <w:jc w:val="left"/>
                              <w:rPr/>
                            </w:pPr>
                            <w:hyperlink r:id="rId3">
                              <w:r>
                                <w:rPr>
                                  <w:rStyle w:val="InternetLink"/>
                                  <w:sz w:val="16"/>
                                </w:rPr>
                                <w:t>http://www.sec.gov/Archives/edgar/data/</w:t>
                                <w:br/>
                                <w:t>19617/000121390026096797/ea0304457-01_424b2.htm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62850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628505"/>
                        </a:xfrm>
                        <a:prstGeom prst="rect"/>
                        <a:solidFill>
                          <a:srgbClr val="FFFFFF"/>
                        </a:solidFill>
                      </wps:spPr>
                      <wps:txbx>
                        <w:txbxContent>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7485" w:type="dxa"/>
                              <w:jc w:val="center"/>
                              <w:tblInd w:w="0" w:type="dxa"/>
                              <w:tblLayout w:type="fixed"/>
                              <w:tblCellMar>
                                <w:top w:w="0" w:type="dxa"/>
                                <w:left w:w="0" w:type="dxa"/>
                                <w:bottom w:w="0" w:type="dxa"/>
                                <w:right w:w="0" w:type="dxa"/>
                              </w:tblCellMar>
                            </w:tblPr>
                            <w:tblGrid>
                              <w:gridCol w:w="7485"/>
                            </w:tblGrid>
                            <w:tr>
                              <w:trPr/>
                              <w:tc>
                                <w:tcPr>
                                  <w:tcW w:w="7485"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748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4733925" cy="24288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733925" cy="2428875"/>
                                                </a:xfrm>
                                                <a:prstGeom prst="rect">
                                                  <a:avLst/>
                                                </a:prstGeom>
                                              </pic:spPr>
                                            </pic:pic>
                                          </a:graphicData>
                                        </a:graphic>
                                      </wp:inline>
                                    </w:drawing>
                                  </w:r>
                                </w:p>
                              </w:tc>
                            </w:tr>
                          </w:tbl>
                          <w:tbl>
                            <w:tblPr>
                              <w:tblW w:w="4075" w:type="dxa"/>
                              <w:jc w:val="center"/>
                              <w:tblInd w:w="0" w:type="dxa"/>
                              <w:tblLayout w:type="fixed"/>
                              <w:tblCellMar>
                                <w:top w:w="0" w:type="dxa"/>
                                <w:left w:w="0" w:type="dxa"/>
                                <w:bottom w:w="0" w:type="dxa"/>
                                <w:right w:w="0" w:type="dxa"/>
                              </w:tblCellMar>
                            </w:tblPr>
                            <w:tblGrid>
                              <w:gridCol w:w="1790"/>
                              <w:gridCol w:w="2285"/>
                            </w:tblGrid>
                            <w:tr>
                              <w:trPr/>
                              <w:tc>
                                <w:tcPr>
                                  <w:tcW w:w="179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ETF Shares</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8.375%</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 maximum payment at maturity of $1,167.50 per Trigger PLUS. The actual maximum payment at maturity will be provided in the pricing supplement and will not be less than $1,167.50 per Trigger PLUS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8.1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7485" w:type="dxa"/>
                        <w:jc w:val="center"/>
                        <w:tblInd w:w="0" w:type="dxa"/>
                        <w:tblLayout w:type="fixed"/>
                        <w:tblCellMar>
                          <w:top w:w="0" w:type="dxa"/>
                          <w:left w:w="0" w:type="dxa"/>
                          <w:bottom w:w="0" w:type="dxa"/>
                          <w:right w:w="0" w:type="dxa"/>
                        </w:tblCellMar>
                      </w:tblPr>
                      <w:tblGrid>
                        <w:gridCol w:w="7485"/>
                      </w:tblGrid>
                      <w:tr>
                        <w:trPr/>
                        <w:tc>
                          <w:tcPr>
                            <w:tcW w:w="7485"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748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4733925" cy="2428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733925" cy="2428875"/>
                                          </a:xfrm>
                                          <a:prstGeom prst="rect">
                                            <a:avLst/>
                                          </a:prstGeom>
                                        </pic:spPr>
                                      </pic:pic>
                                    </a:graphicData>
                                  </a:graphic>
                                </wp:inline>
                              </w:drawing>
                            </w:r>
                          </w:p>
                        </w:tc>
                      </w:tr>
                    </w:tbl>
                    <w:tbl>
                      <w:tblPr>
                        <w:tblW w:w="4075" w:type="dxa"/>
                        <w:jc w:val="center"/>
                        <w:tblInd w:w="0" w:type="dxa"/>
                        <w:tblLayout w:type="fixed"/>
                        <w:tblCellMar>
                          <w:top w:w="0" w:type="dxa"/>
                          <w:left w:w="0" w:type="dxa"/>
                          <w:bottom w:w="0" w:type="dxa"/>
                          <w:right w:w="0" w:type="dxa"/>
                        </w:tblCellMar>
                      </w:tblPr>
                      <w:tblGrid>
                        <w:gridCol w:w="1790"/>
                        <w:gridCol w:w="2285"/>
                      </w:tblGrid>
                      <w:tr>
                        <w:trPr/>
                        <w:tc>
                          <w:tcPr>
                            <w:tcW w:w="179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ETF Shares</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8.375%</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16.75%</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-10.01%</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 maximum payment at maturity of $1,167.50 per Trigger PLUS. The actual maximum payment at maturity will be provided in the pricing supplement and will not be less than $1,167.50 per Trigger PLUS</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18-Year RSP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ETF Shares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ETF Shares,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1" w:type="dxa"/>
            <w:tcBorders/>
            <w:vAlign w:val="center"/>
          </w:tcPr>
          <w:p>
            <w:pPr>
              <w:pStyle w:val="TableContents"/>
              <w:bidi w:val="0"/>
              <w:spacing w:before="0" w:after="283"/>
              <w:jc w:val="left"/>
              <w:rPr>
                <w:sz w:val="18"/>
              </w:rPr>
            </w:pPr>
            <w:r>
              <w:rPr>
                <w:sz w:val="18"/>
              </w:rPr>
              <w:t>The Trigger PLUS do not pay interest or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6" w:type="dxa"/>
            <w:tcBorders/>
            <w:vAlign w:val="center"/>
          </w:tcPr>
          <w:p>
            <w:pPr>
              <w:pStyle w:val="TableContents"/>
              <w:bidi w:val="0"/>
              <w:spacing w:before="0" w:after="283"/>
              <w:jc w:val="left"/>
              <w:rPr>
                <w:sz w:val="18"/>
              </w:rPr>
            </w:pPr>
            <w:r>
              <w:rPr>
                <w:sz w:val="18"/>
              </w:rPr>
              <w:t>The appreciation potential of the Trigger PLUS is limited by the maximum payment at maturity.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ETF Shares</w:t>
      </w:r>
    </w:p>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6" w:type="dxa"/>
            <w:tcBorders/>
            <w:vAlign w:val="center"/>
          </w:tcPr>
          <w:p>
            <w:pPr>
              <w:pStyle w:val="TableContents"/>
              <w:bidi w:val="0"/>
              <w:spacing w:before="0" w:after="283"/>
              <w:jc w:val="left"/>
              <w:rPr>
                <w:sz w:val="18"/>
                <w:shd w:fill="FFFFFF" w:val="clear"/>
              </w:rPr>
            </w:pPr>
            <w:r>
              <w:rPr>
                <w:sz w:val="18"/>
                <w:shd w:fill="FFFFFF" w:val="clear"/>
              </w:rPr>
              <w:t>JPMorgan Chase &amp; Co. is currently one of the companies that make up the Invesco S&amp;P 500</w:t>
            </w:r>
            <w:r>
              <w:rPr>
                <w:position w:val="6"/>
                <w:sz w:val="14"/>
                <w:sz w:val="18"/>
                <w:shd w:fill="FFFFFF" w:val="clear"/>
              </w:rPr>
              <w:t>®</w:t>
            </w:r>
            <w:r>
              <w:rPr>
                <w:sz w:val="18"/>
                <w:shd w:fill="FFFFFF" w:val="clear"/>
              </w:rPr>
              <w:t xml:space="preserve"> Equal Weight ETF.</w:t>
            </w:r>
          </w:p>
        </w:tc>
      </w:tr>
    </w:tbl>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9" w:type="dxa"/>
            <w:tcBorders/>
            <w:vAlign w:val="center"/>
          </w:tcPr>
          <w:p>
            <w:pPr>
              <w:pStyle w:val="TableContents"/>
              <w:bidi w:val="0"/>
              <w:spacing w:before="0" w:after="283"/>
              <w:jc w:val="left"/>
              <w:rPr>
                <w:sz w:val="18"/>
                <w:shd w:fill="FFFFFF" w:val="clear"/>
              </w:rPr>
            </w:pPr>
            <w:r>
              <w:rPr>
                <w:sz w:val="18"/>
                <w:shd w:fill="FFFFFF" w:val="clear"/>
              </w:rPr>
              <w:t>Investing in the Trigger PLUS is not equivalent to investing in the ETF Shares.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shd w:fill="FFFFFF" w:val="clear"/>
              </w:rPr>
            </w:pPr>
            <w:r>
              <w:rPr>
                <w:sz w:val="18"/>
                <w:shd w:fill="FFFFFF" w:val="clear"/>
              </w:rPr>
              <w:t>Adjustments to the ETF Shares or the underlying index could adversely affect the value of the Trigger PLUS.</w:t>
            </w:r>
          </w:p>
        </w:tc>
      </w:tr>
    </w:tbl>
    <w:tbl>
      <w:tblPr>
        <w:tblW w:w="5000" w:type="pct"/>
        <w:jc w:val="left"/>
        <w:tblInd w:w="0" w:type="dxa"/>
        <w:tblLayout w:type="fixed"/>
        <w:tblCellMar>
          <w:top w:w="0" w:type="dxa"/>
          <w:left w:w="0" w:type="dxa"/>
          <w:bottom w:w="0" w:type="dxa"/>
          <w:right w:w="0" w:type="dxa"/>
        </w:tblCellMar>
      </w:tblPr>
      <w:tblGrid>
        <w:gridCol w:w="108"/>
        <w:gridCol w:w="359"/>
        <w:gridCol w:w="9738"/>
      </w:tblGrid>
      <w:tr>
        <w:trPr/>
        <w:tc>
          <w:tcPr>
            <w:tcW w:w="1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38" w:type="dxa"/>
            <w:tcBorders/>
            <w:vAlign w:val="center"/>
          </w:tcPr>
          <w:p>
            <w:pPr>
              <w:pStyle w:val="TableContents"/>
              <w:bidi w:val="0"/>
              <w:spacing w:before="0" w:after="283"/>
              <w:jc w:val="left"/>
              <w:rPr>
                <w:sz w:val="18"/>
              </w:rPr>
            </w:pPr>
            <w:r>
              <w:rPr>
                <w:sz w:val="18"/>
              </w:rPr>
              <w:t>There are risks associated with the ETF Shares.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performance and market value of the ETF Shares, particularly during periods of market volatility, may not correlate with the performance of the underlying index as well as the net asset value per ETF Share.</w:t>
            </w:r>
          </w:p>
        </w:tc>
      </w:tr>
    </w:tbl>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ETF Shares is limited.</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6" w:color="000000"/>
        </w:pBdr>
        <w:bidi w:val="0"/>
        <w:spacing w:before="12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jc w:val="center"/>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6797/ea0304457-01_424b2.htm" TargetMode="External"/><Relationship Id="rId3" Type="http://schemas.openxmlformats.org/officeDocument/2006/relationships/hyperlink" Target="http://www.sec.gov/Archives/edgar/data/19617/000121390026096797/ea0304457-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1399</Words>
  <Characters>7418</Characters>
  <CharactersWithSpaces>8681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