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147320</wp:posOffset>
            </wp:positionV>
            <wp:extent cx="27889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158115</wp:posOffset>
            </wp:positionV>
            <wp:extent cx="27889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CURRENT REPORT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7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Report (date of earliest event reported): 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179070</wp:posOffset>
            </wp:positionV>
            <wp:extent cx="2788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JPMorgan Chase &amp; Co.</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145415</wp:posOffset>
            </wp:positionV>
            <wp:extent cx="27889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62" w:lineRule="exact"/>
        <w:rPr>
          <w:sz w:val="24"/>
          <w:szCs w:val="24"/>
          <w:color w:val="auto"/>
        </w:rPr>
      </w:pPr>
    </w:p>
    <w:tbl>
      <w:tblPr>
        <w:tblLayout w:type="fixed"/>
        <w:tblInd w:w="3160" w:type="dxa"/>
        <w:tblCellMar>
          <w:top w:w="0" w:type="dxa"/>
          <w:left w:w="0" w:type="dxa"/>
          <w:bottom w:w="0" w:type="dxa"/>
          <w:right w:w="0" w:type="dxa"/>
        </w:tblCellMar>
      </w:tblPr>
      <w:tr>
        <w:trPr>
          <w:trHeight w:val="130"/>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rPr>
              <w:t>Delaware</w:t>
            </w:r>
          </w:p>
        </w:tc>
        <w:tc>
          <w:tcPr>
            <w:tcW w:w="1580" w:type="dxa"/>
            <w:vAlign w:val="bottom"/>
          </w:tcPr>
          <w:p>
            <w:pPr>
              <w:jc w:val="right"/>
              <w:ind w:right="691"/>
              <w:spacing w:after="0"/>
              <w:rPr>
                <w:sz w:val="20"/>
                <w:szCs w:val="20"/>
                <w:color w:val="auto"/>
              </w:rPr>
            </w:pPr>
            <w:r>
              <w:rPr>
                <w:rFonts w:ascii="Arial" w:cs="Arial" w:eastAsia="Arial" w:hAnsi="Arial"/>
                <w:sz w:val="10"/>
                <w:szCs w:val="10"/>
                <w:b w:val="1"/>
                <w:bCs w:val="1"/>
                <w:color w:val="auto"/>
              </w:rPr>
              <w:t>1-5805</w:t>
            </w:r>
          </w:p>
        </w:tc>
        <w:tc>
          <w:tcPr>
            <w:tcW w:w="1080" w:type="dxa"/>
            <w:vAlign w:val="bottom"/>
          </w:tcPr>
          <w:p>
            <w:pPr>
              <w:jc w:val="right"/>
              <w:ind w:right="111"/>
              <w:spacing w:after="0"/>
              <w:rPr>
                <w:sz w:val="20"/>
                <w:szCs w:val="20"/>
                <w:color w:val="auto"/>
              </w:rPr>
            </w:pPr>
            <w:r>
              <w:rPr>
                <w:rFonts w:ascii="Arial" w:cs="Arial" w:eastAsia="Arial" w:hAnsi="Arial"/>
                <w:sz w:val="10"/>
                <w:szCs w:val="10"/>
                <w:b w:val="1"/>
                <w:bCs w:val="1"/>
                <w:color w:val="auto"/>
              </w:rPr>
              <w:t>13-2624428</w:t>
            </w:r>
          </w:p>
        </w:tc>
      </w:tr>
      <w:tr>
        <w:trPr>
          <w:trHeight w:val="110"/>
        </w:trPr>
        <w:tc>
          <w:tcPr>
            <w:tcW w:w="1920" w:type="dxa"/>
            <w:vAlign w:val="bottom"/>
          </w:tcPr>
          <w:p>
            <w:pPr>
              <w:jc w:val="center"/>
              <w:ind w:right="31"/>
              <w:spacing w:after="0" w:line="110" w:lineRule="exact"/>
              <w:rPr>
                <w:sz w:val="20"/>
                <w:szCs w:val="20"/>
                <w:color w:val="auto"/>
              </w:rPr>
            </w:pPr>
            <w:r>
              <w:rPr>
                <w:rFonts w:ascii="Arial" w:cs="Arial" w:eastAsia="Arial" w:hAnsi="Arial"/>
                <w:sz w:val="10"/>
                <w:szCs w:val="10"/>
                <w:b w:val="1"/>
                <w:bCs w:val="1"/>
                <w:color w:val="auto"/>
                <w:w w:val="99"/>
              </w:rPr>
              <w:t>(State or other jurisdiction of</w:t>
            </w:r>
          </w:p>
        </w:tc>
        <w:tc>
          <w:tcPr>
            <w:tcW w:w="1580" w:type="dxa"/>
            <w:vAlign w:val="bottom"/>
          </w:tcPr>
          <w:p>
            <w:pPr>
              <w:jc w:val="center"/>
              <w:ind w:right="151"/>
              <w:spacing w:after="0" w:line="110" w:lineRule="exact"/>
              <w:rPr>
                <w:sz w:val="20"/>
                <w:szCs w:val="20"/>
                <w:color w:val="auto"/>
              </w:rPr>
            </w:pPr>
            <w:r>
              <w:rPr>
                <w:rFonts w:ascii="Arial" w:cs="Arial" w:eastAsia="Arial" w:hAnsi="Arial"/>
                <w:sz w:val="10"/>
                <w:szCs w:val="10"/>
                <w:b w:val="1"/>
                <w:bCs w:val="1"/>
                <w:color w:val="auto"/>
                <w:w w:val="98"/>
              </w:rPr>
              <w:t>(Commission File Number)</w:t>
            </w:r>
          </w:p>
        </w:tc>
        <w:tc>
          <w:tcPr>
            <w:tcW w:w="1080" w:type="dxa"/>
            <w:vAlign w:val="bottom"/>
          </w:tcPr>
          <w:p>
            <w:pPr>
              <w:jc w:val="center"/>
              <w:ind w:left="211"/>
              <w:spacing w:after="0" w:line="110" w:lineRule="exact"/>
              <w:rPr>
                <w:sz w:val="20"/>
                <w:szCs w:val="20"/>
                <w:color w:val="auto"/>
              </w:rPr>
            </w:pPr>
            <w:r>
              <w:rPr>
                <w:rFonts w:ascii="Arial" w:cs="Arial" w:eastAsia="Arial" w:hAnsi="Arial"/>
                <w:sz w:val="10"/>
                <w:szCs w:val="10"/>
                <w:b w:val="1"/>
                <w:bCs w:val="1"/>
                <w:color w:val="auto"/>
                <w:w w:val="97"/>
              </w:rPr>
              <w:t>(I.R.S. employer</w:t>
            </w:r>
          </w:p>
        </w:tc>
      </w:tr>
      <w:tr>
        <w:trPr>
          <w:trHeight w:val="130"/>
        </w:trPr>
        <w:tc>
          <w:tcPr>
            <w:tcW w:w="1920" w:type="dxa"/>
            <w:vAlign w:val="bottom"/>
          </w:tcPr>
          <w:p>
            <w:pPr>
              <w:jc w:val="center"/>
              <w:ind w:right="11"/>
              <w:spacing w:after="0"/>
              <w:rPr>
                <w:sz w:val="20"/>
                <w:szCs w:val="20"/>
                <w:color w:val="auto"/>
              </w:rPr>
            </w:pPr>
            <w:r>
              <w:rPr>
                <w:rFonts w:ascii="Arial" w:cs="Arial" w:eastAsia="Arial" w:hAnsi="Arial"/>
                <w:sz w:val="10"/>
                <w:szCs w:val="10"/>
                <w:b w:val="1"/>
                <w:bCs w:val="1"/>
                <w:color w:val="auto"/>
                <w:w w:val="99"/>
              </w:rPr>
              <w:t>incorporation or organization)</w:t>
            </w:r>
          </w:p>
        </w:tc>
        <w:tc>
          <w:tcPr>
            <w:tcW w:w="1580" w:type="dxa"/>
            <w:vAlign w:val="bottom"/>
          </w:tcPr>
          <w:p>
            <w:pPr>
              <w:spacing w:after="0"/>
              <w:rPr>
                <w:sz w:val="11"/>
                <w:szCs w:val="11"/>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w w:val="98"/>
              </w:rPr>
              <w:t>identification no.)</w:t>
            </w:r>
          </w:p>
        </w:tc>
      </w:tr>
      <w:tr>
        <w:trPr>
          <w:trHeight w:val="259"/>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383 Madison Avenue,</w:t>
            </w: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38"/>
        </w:trPr>
        <w:tc>
          <w:tcPr>
            <w:tcW w:w="1920" w:type="dxa"/>
            <w:vAlign w:val="bottom"/>
          </w:tcPr>
          <w:p>
            <w:pPr>
              <w:ind w:left="440"/>
              <w:spacing w:after="0"/>
              <w:rPr>
                <w:sz w:val="20"/>
                <w:szCs w:val="20"/>
                <w:color w:val="auto"/>
              </w:rPr>
            </w:pPr>
            <w:r>
              <w:rPr>
                <w:rFonts w:ascii="Arial" w:cs="Arial" w:eastAsia="Arial" w:hAnsi="Arial"/>
                <w:sz w:val="10"/>
                <w:szCs w:val="10"/>
                <w:b w:val="1"/>
                <w:bCs w:val="1"/>
                <w:color w:val="auto"/>
              </w:rPr>
              <w:t>New York, New York</w:t>
            </w:r>
          </w:p>
        </w:tc>
        <w:tc>
          <w:tcPr>
            <w:tcW w:w="1580" w:type="dxa"/>
            <w:vAlign w:val="bottom"/>
          </w:tcPr>
          <w:p>
            <w:pPr>
              <w:spacing w:after="0"/>
              <w:rPr>
                <w:sz w:val="11"/>
                <w:szCs w:val="11"/>
                <w:color w:val="auto"/>
              </w:rPr>
            </w:pPr>
          </w:p>
        </w:tc>
        <w:tc>
          <w:tcPr>
            <w:tcW w:w="1080" w:type="dxa"/>
            <w:vAlign w:val="bottom"/>
          </w:tcPr>
          <w:p>
            <w:pPr>
              <w:jc w:val="right"/>
              <w:ind w:right="231"/>
              <w:spacing w:after="0"/>
              <w:rPr>
                <w:sz w:val="20"/>
                <w:szCs w:val="20"/>
                <w:color w:val="auto"/>
              </w:rPr>
            </w:pPr>
            <w:r>
              <w:rPr>
                <w:rFonts w:ascii="Arial" w:cs="Arial" w:eastAsia="Arial" w:hAnsi="Arial"/>
                <w:sz w:val="10"/>
                <w:szCs w:val="10"/>
                <w:b w:val="1"/>
                <w:bCs w:val="1"/>
                <w:color w:val="auto"/>
              </w:rPr>
              <w:t>10179</w:t>
            </w:r>
          </w:p>
        </w:tc>
      </w:tr>
      <w:tr>
        <w:trPr>
          <w:trHeight w:val="170"/>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(Address of principal executive offices)</w:t>
            </w:r>
          </w:p>
        </w:tc>
        <w:tc>
          <w:tcPr>
            <w:tcW w:w="1580" w:type="dxa"/>
            <w:vAlign w:val="bottom"/>
          </w:tcPr>
          <w:p>
            <w:pPr>
              <w:spacing w:after="0"/>
              <w:rPr>
                <w:sz w:val="14"/>
                <w:szCs w:val="14"/>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rPr>
              <w:t>(Zip Code)</w:t>
            </w:r>
          </w:p>
        </w:tc>
      </w:tr>
    </w:tbl>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Registrant’s telephone number, including area code: (212) 270-6000</w:t>
      </w:r>
    </w:p>
    <w:p>
      <w:pPr>
        <w:spacing w:after="0" w:line="7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Written communications pursuant to Rule 425 under the Securities Act (17 CFR 230.425)</w:t>
      </w:r>
    </w:p>
    <w:p>
      <w:pPr>
        <w:spacing w:after="0" w:line="107"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Soliciting material pursuant to Rule 14a-12 under the Exchange Act (17 CFR 240.14a-12)</w:t>
      </w:r>
    </w:p>
    <w:p>
      <w:pPr>
        <w:spacing w:after="0" w:line="192"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Pre-commencement communications pursuant to Rule 14d-2(b) under the Exchange Act (17 CFR 240.14d-2(b))</w:t>
      </w:r>
    </w:p>
    <w:p>
      <w:pPr>
        <w:spacing w:after="0" w:line="107"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Pre-commencement communications pursuant to Rule 13e-4(c) under the Exchange Act (17 CFR 240.13e-4(c))</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15"/>
        </w:trPr>
        <w:tc>
          <w:tcPr>
            <w:tcW w:w="860" w:type="dxa"/>
            <w:vAlign w:val="bottom"/>
          </w:tcPr>
          <w:p>
            <w:pPr>
              <w:spacing w:after="0"/>
              <w:rPr>
                <w:sz w:val="20"/>
                <w:szCs w:val="20"/>
                <w:color w:val="auto"/>
              </w:rPr>
            </w:pPr>
            <w:r>
              <w:rPr>
                <w:rFonts w:ascii="Arial" w:cs="Arial" w:eastAsia="Arial" w:hAnsi="Arial"/>
                <w:sz w:val="10"/>
                <w:szCs w:val="10"/>
                <w:b w:val="1"/>
                <w:bCs w:val="1"/>
                <w:color w:val="auto"/>
                <w:w w:val="97"/>
              </w:rPr>
              <w:t>Title of each class</w:t>
            </w:r>
          </w:p>
        </w:tc>
        <w:tc>
          <w:tcPr>
            <w:tcW w:w="5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2"/>
          </w:tcPr>
          <w:p>
            <w:pPr>
              <w:spacing w:after="0"/>
              <w:rPr>
                <w:sz w:val="20"/>
                <w:szCs w:val="20"/>
                <w:color w:val="auto"/>
              </w:rPr>
            </w:pPr>
            <w:r>
              <w:rPr>
                <w:rFonts w:ascii="Arial" w:cs="Arial" w:eastAsia="Arial" w:hAnsi="Arial"/>
                <w:sz w:val="10"/>
                <w:szCs w:val="10"/>
                <w:b w:val="1"/>
                <w:bCs w:val="1"/>
                <w:color w:val="auto"/>
              </w:rPr>
              <w:t>Trading Symbol(s)</w:t>
            </w:r>
          </w:p>
        </w:tc>
        <w:tc>
          <w:tcPr>
            <w:tcW w:w="2080" w:type="dxa"/>
            <w:vAlign w:val="bottom"/>
          </w:tcPr>
          <w:p>
            <w:pPr>
              <w:spacing w:after="0"/>
              <w:rPr>
                <w:sz w:val="20"/>
                <w:szCs w:val="20"/>
                <w:color w:val="auto"/>
              </w:rPr>
            </w:pPr>
            <w:r>
              <w:rPr>
                <w:rFonts w:ascii="Arial" w:cs="Arial" w:eastAsia="Arial" w:hAnsi="Arial"/>
                <w:sz w:val="10"/>
                <w:szCs w:val="10"/>
                <w:b w:val="1"/>
                <w:bCs w:val="1"/>
                <w:color w:val="auto"/>
                <w:w w:val="97"/>
              </w:rPr>
              <w:t>Name of each exchange on which registered</w:t>
            </w:r>
          </w:p>
        </w:tc>
      </w:tr>
      <w:tr>
        <w:trPr>
          <w:trHeight w:val="135"/>
        </w:trPr>
        <w:tc>
          <w:tcPr>
            <w:tcW w:w="8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Common stock</w:t>
            </w:r>
          </w:p>
        </w:tc>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JPM</w:t>
            </w:r>
          </w:p>
        </w:tc>
        <w:tc>
          <w:tcPr>
            <w:tcW w:w="1340" w:type="dxa"/>
            <w:vAlign w:val="bottom"/>
          </w:tcPr>
          <w:p>
            <w:pPr>
              <w:spacing w:after="0"/>
              <w:rPr>
                <w:sz w:val="11"/>
                <w:szCs w:val="11"/>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The New York Stock Exchange</w:t>
            </w:r>
          </w:p>
        </w:tc>
      </w:tr>
      <w:tr>
        <w:trPr>
          <w:trHeight w:val="110"/>
        </w:trPr>
        <w:tc>
          <w:tcPr>
            <w:tcW w:w="588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5.75% Non-Cumulative Preferred Stock,</w:t>
            </w:r>
          </w:p>
        </w:tc>
        <w:tc>
          <w:tcPr>
            <w:tcW w:w="2320" w:type="dxa"/>
            <w:vAlign w:val="bottom"/>
            <w:gridSpan w:val="3"/>
          </w:tcPr>
          <w:p>
            <w:pPr>
              <w:ind w:left="120"/>
              <w:spacing w:after="0" w:line="110" w:lineRule="exact"/>
              <w:rPr>
                <w:sz w:val="20"/>
                <w:szCs w:val="20"/>
                <w:color w:val="auto"/>
              </w:rPr>
            </w:pPr>
            <w:r>
              <w:rPr>
                <w:rFonts w:ascii="Arial" w:cs="Arial" w:eastAsia="Arial" w:hAnsi="Arial"/>
                <w:sz w:val="10"/>
                <w:szCs w:val="10"/>
                <w:b w:val="1"/>
                <w:bCs w:val="1"/>
                <w:color w:val="auto"/>
              </w:rPr>
              <w:t>JPM PR D</w:t>
            </w:r>
          </w:p>
        </w:tc>
        <w:tc>
          <w:tcPr>
            <w:tcW w:w="2080" w:type="dxa"/>
            <w:vAlign w:val="bottom"/>
          </w:tcPr>
          <w:p>
            <w:pPr>
              <w:spacing w:after="0" w:line="110"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DD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6.00%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C</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EE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4.75%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J</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GG</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4.55%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K</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Series JJ</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4.625%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L</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Series LL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32"/>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Alerian MLP Index ETNs due May 24, 2024</w:t>
            </w:r>
          </w:p>
        </w:tc>
        <w:tc>
          <w:tcPr>
            <w:tcW w:w="2320" w:type="dxa"/>
            <w:vAlign w:val="bottom"/>
            <w:gridSpan w:val="3"/>
          </w:tcPr>
          <w:p>
            <w:pPr>
              <w:ind w:left="120"/>
              <w:spacing w:after="0"/>
              <w:rPr>
                <w:sz w:val="20"/>
                <w:szCs w:val="20"/>
                <w:color w:val="auto"/>
              </w:rPr>
            </w:pPr>
            <w:r>
              <w:rPr>
                <w:rFonts w:ascii="Arial" w:cs="Arial" w:eastAsia="Arial" w:hAnsi="Arial"/>
                <w:sz w:val="10"/>
                <w:szCs w:val="10"/>
                <w:b w:val="1"/>
                <w:bCs w:val="1"/>
                <w:color w:val="auto"/>
              </w:rPr>
              <w:t>AMJ</w:t>
            </w:r>
          </w:p>
        </w:tc>
        <w:tc>
          <w:tcPr>
            <w:tcW w:w="2080" w:type="dxa"/>
            <w:vAlign w:val="bottom"/>
          </w:tcPr>
          <w:p>
            <w:pPr>
              <w:spacing w:after="0"/>
              <w:rPr>
                <w:sz w:val="20"/>
                <w:szCs w:val="20"/>
                <w:color w:val="auto"/>
              </w:rPr>
            </w:pPr>
            <w:r>
              <w:rPr>
                <w:rFonts w:ascii="Arial" w:cs="Arial" w:eastAsia="Arial" w:hAnsi="Arial"/>
                <w:sz w:val="10"/>
                <w:szCs w:val="10"/>
                <w:b w:val="1"/>
                <w:bCs w:val="1"/>
                <w:color w:val="auto"/>
              </w:rPr>
              <w:t>NYSE Arca, Inc.</w:t>
            </w:r>
          </w:p>
        </w:tc>
      </w:tr>
      <w:tr>
        <w:trPr>
          <w:trHeight w:val="138"/>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Guarantee of Callable Step-Up Fixed Rate Notes due April 26, 2028 of JPMorgan Chase Financial Company LLC</w:t>
            </w:r>
          </w:p>
        </w:tc>
        <w:tc>
          <w:tcPr>
            <w:tcW w:w="2320" w:type="dxa"/>
            <w:vAlign w:val="bottom"/>
            <w:gridSpan w:val="3"/>
          </w:tcPr>
          <w:p>
            <w:pPr>
              <w:ind w:left="120"/>
              <w:spacing w:after="0"/>
              <w:rPr>
                <w:sz w:val="20"/>
                <w:szCs w:val="20"/>
                <w:color w:val="auto"/>
              </w:rPr>
            </w:pPr>
            <w:r>
              <w:rPr>
                <w:rFonts w:ascii="Arial" w:cs="Arial" w:eastAsia="Arial" w:hAnsi="Arial"/>
                <w:sz w:val="10"/>
                <w:szCs w:val="10"/>
                <w:b w:val="1"/>
                <w:bCs w:val="1"/>
                <w:color w:val="auto"/>
              </w:rPr>
              <w:t>JPM/28</w:t>
            </w:r>
          </w:p>
        </w:tc>
        <w:tc>
          <w:tcPr>
            <w:tcW w:w="2080" w:type="dxa"/>
            <w:vAlign w:val="bottom"/>
          </w:tcPr>
          <w:p>
            <w:pPr>
              <w:spacing w:after="0"/>
              <w:rPr>
                <w:sz w:val="20"/>
                <w:szCs w:val="20"/>
                <w:color w:val="auto"/>
              </w:rPr>
            </w:pPr>
            <w:r>
              <w:rPr>
                <w:rFonts w:ascii="Arial" w:cs="Arial" w:eastAsia="Arial" w:hAnsi="Arial"/>
                <w:sz w:val="10"/>
                <w:szCs w:val="10"/>
                <w:b w:val="1"/>
                <w:bCs w:val="1"/>
                <w:color w:val="auto"/>
              </w:rPr>
              <w:t>The New York Stock Exchange</w:t>
            </w:r>
          </w:p>
        </w:tc>
      </w:tr>
      <w:tr>
        <w:trPr>
          <w:trHeight w:val="138"/>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Guarantee of Callable Fixed Rate Notes due June 10, 2032 of JPMorgan Chase Financial Company LLC</w:t>
            </w:r>
          </w:p>
        </w:tc>
        <w:tc>
          <w:tcPr>
            <w:tcW w:w="2320" w:type="dxa"/>
            <w:vAlign w:val="bottom"/>
            <w:gridSpan w:val="3"/>
          </w:tcPr>
          <w:p>
            <w:pPr>
              <w:ind w:left="120"/>
              <w:spacing w:after="0"/>
              <w:rPr>
                <w:sz w:val="20"/>
                <w:szCs w:val="20"/>
                <w:color w:val="auto"/>
              </w:rPr>
            </w:pPr>
            <w:r>
              <w:rPr>
                <w:rFonts w:ascii="Arial" w:cs="Arial" w:eastAsia="Arial" w:hAnsi="Arial"/>
                <w:sz w:val="10"/>
                <w:szCs w:val="10"/>
                <w:b w:val="1"/>
                <w:bCs w:val="1"/>
                <w:color w:val="auto"/>
              </w:rPr>
              <w:t>JPM/32</w:t>
            </w:r>
          </w:p>
        </w:tc>
        <w:tc>
          <w:tcPr>
            <w:tcW w:w="2080" w:type="dxa"/>
            <w:vAlign w:val="bottom"/>
          </w:tcPr>
          <w:p>
            <w:pPr>
              <w:spacing w:after="0"/>
              <w:rPr>
                <w:sz w:val="20"/>
                <w:szCs w:val="20"/>
                <w:color w:val="auto"/>
              </w:rPr>
            </w:pPr>
            <w:r>
              <w:rPr>
                <w:rFonts w:ascii="Arial" w:cs="Arial" w:eastAsia="Arial" w:hAnsi="Arial"/>
                <w:sz w:val="10"/>
                <w:szCs w:val="10"/>
                <w:b w:val="1"/>
                <w:bCs w:val="1"/>
                <w:color w:val="auto"/>
              </w:rPr>
              <w:t>The New York Stock Exchange</w:t>
            </w:r>
          </w:p>
        </w:tc>
      </w:tr>
    </w:tbl>
    <w:p>
      <w:pPr>
        <w:spacing w:after="0" w:line="124" w:lineRule="exact"/>
        <w:rPr>
          <w:sz w:val="24"/>
          <w:szCs w:val="24"/>
          <w:color w:val="auto"/>
        </w:rPr>
      </w:pPr>
    </w:p>
    <w:p>
      <w:pPr>
        <w:spacing w:after="0" w:line="254"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72" w:lineRule="exact"/>
        <w:rPr>
          <w:sz w:val="24"/>
          <w:szCs w:val="24"/>
          <w:color w:val="auto"/>
        </w:rPr>
      </w:pPr>
    </w:p>
    <w:p>
      <w:pPr>
        <w:spacing w:after="0" w:line="13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409575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10" w:right="4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(e) Departure of Directors or Certain officers; Election of Directors; Appointment of Certain Officers; Compensatory Arrangements of Certain Officers.</w:t>
      </w:r>
    </w:p>
    <w:p>
      <w:pPr>
        <w:spacing w:after="0" w:line="112" w:lineRule="exact"/>
        <w:rPr>
          <w:sz w:val="20"/>
          <w:szCs w:val="20"/>
          <w:color w:val="auto"/>
        </w:rPr>
      </w:pPr>
    </w:p>
    <w:p>
      <w:pPr>
        <w:ind w:right="200"/>
        <w:spacing w:after="0" w:line="266" w:lineRule="auto"/>
        <w:rPr>
          <w:sz w:val="20"/>
          <w:szCs w:val="20"/>
          <w:color w:val="auto"/>
        </w:rPr>
      </w:pPr>
      <w:r>
        <w:rPr>
          <w:rFonts w:ascii="Arial" w:cs="Arial" w:eastAsia="Arial" w:hAnsi="Arial"/>
          <w:sz w:val="14"/>
          <w:szCs w:val="14"/>
          <w:color w:val="auto"/>
        </w:rPr>
        <w:t>On July 20, 2021, the independent members of the Board of Directors (the “Board”) of JPMorgan Chase &amp; Co. (the “Firm”) awarded Chairman and Chief Executive Officer James Dimon 1,500,000 options in the form of stock appreciation rights.</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This special award reflects the Board’s desire for Mr. Dimon to continue to lead the Firm for a further significant number of years. In making the special award, the Board considered the importance of Mr. Dimon's continuing, long-term stewardship of the Firm, leadership continuity, and management succession planning amidst a highly competitive landscape for executive leadership talent. The Board also took into account other factors, including the Firm's strong performance under Mr. Dimon’s stewardship since 2005, his exemplary leadership, and his significant contributions to the Firm’s success during his tenure.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options are not part of Mr. Dimon's regular annual compensation and will not be awarded on a regularly recurring basis.</w:t>
      </w:r>
    </w:p>
    <w:p>
      <w:pPr>
        <w:spacing w:after="0" w:line="200"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auto"/>
        </w:rPr>
        <w:t>The terms of the grant are distinct from, and are generally more restrictive than, other equity grants regularly awarded by the Firm. The options will have an exercise price equal to the average of the high and low prices of JPMorgan Chase &amp; Co. common stock on July 20, 2021 (the “Effective Date”). The options have a ten-year term, will become exercisable no earlier than July 20, 2026, or five years after the Effective Date, and are subject to clawback and recovery provisions</w:t>
      </w:r>
      <w:r>
        <w:rPr>
          <w:rFonts w:ascii="Arial" w:cs="Arial" w:eastAsia="Arial" w:hAnsi="Arial"/>
          <w:sz w:val="18"/>
          <w:szCs w:val="18"/>
          <w:color w:val="auto"/>
          <w:vertAlign w:val="superscript"/>
        </w:rPr>
        <w:t>1</w:t>
      </w:r>
      <w:r>
        <w:rPr>
          <w:rFonts w:ascii="Arial" w:cs="Arial" w:eastAsia="Arial" w:hAnsi="Arial"/>
          <w:sz w:val="14"/>
          <w:szCs w:val="14"/>
          <w:color w:val="auto"/>
        </w:rPr>
        <w:t>. Vesting is subject to continuous leadership of the Firm, with certain limited exceptions.</w:t>
      </w:r>
    </w:p>
    <w:p>
      <w:pPr>
        <w:spacing w:after="0" w:line="192" w:lineRule="exact"/>
        <w:rPr>
          <w:sz w:val="20"/>
          <w:szCs w:val="20"/>
          <w:color w:val="auto"/>
        </w:rPr>
      </w:pPr>
    </w:p>
    <w:p>
      <w:pPr>
        <w:ind w:right="500"/>
        <w:spacing w:after="0" w:line="266" w:lineRule="auto"/>
        <w:rPr>
          <w:sz w:val="20"/>
          <w:szCs w:val="20"/>
          <w:color w:val="auto"/>
        </w:rPr>
      </w:pPr>
      <w:r>
        <w:rPr>
          <w:rFonts w:ascii="Arial" w:cs="Arial" w:eastAsia="Arial" w:hAnsi="Arial"/>
          <w:sz w:val="14"/>
          <w:szCs w:val="14"/>
          <w:color w:val="auto"/>
        </w:rPr>
        <w:t>Moreover, net shares delivered from the exercise of the options must be held until July 20, 2031, which coincides with the end of the ten-year term of the options. Net shares received from exercise are also subject to the Firm’s stock ownership guideline and retention requirements applicable to the Firm’s Operating Committee members.</w:t>
      </w:r>
    </w:p>
    <w:p>
      <w:pPr>
        <w:spacing w:after="0" w:line="176" w:lineRule="exact"/>
        <w:rPr>
          <w:sz w:val="20"/>
          <w:szCs w:val="20"/>
          <w:color w:val="auto"/>
        </w:rPr>
      </w:pPr>
    </w:p>
    <w:p>
      <w:pPr>
        <w:ind w:right="240" w:firstLine="5"/>
        <w:spacing w:after="0"/>
        <w:tabs>
          <w:tab w:leader="none" w:pos="72" w:val="left"/>
        </w:tabs>
        <w:numPr>
          <w:ilvl w:val="0"/>
          <w:numId w:val="2"/>
        </w:numPr>
        <w:rPr>
          <w:rFonts w:ascii="Arial" w:cs="Arial" w:eastAsia="Arial" w:hAnsi="Arial"/>
          <w:sz w:val="7"/>
          <w:szCs w:val="7"/>
          <w:color w:val="auto"/>
        </w:rPr>
      </w:pPr>
      <w:r>
        <w:rPr>
          <w:rFonts w:ascii="Arial" w:cs="Arial" w:eastAsia="Arial" w:hAnsi="Arial"/>
          <w:sz w:val="13"/>
          <w:szCs w:val="13"/>
          <w:color w:val="auto"/>
        </w:rPr>
        <w:t>Equity incentives are subject to the JPMorgan Chase Bonus Recoupment Policy which applies in the event of a material restatement of the Firm's financial results. In addition, all equity awards granted in 2021 contain recapture provisions that enable the Firm to cancel outstanding awards and/or recover the value of certain stock distributed under the award in specified circumstances. In addition to recapture provisions, portions of equity awards awarded to the Chairman and Chief Executive Officer are also subject to Protection-based Vesting provisions under which awards may be cancelled as determined by the Compensation &amp; Management Development Committee of the Board of Directors and ratified by the Board of Directors.</w:t>
      </w:r>
    </w:p>
    <w:p>
      <w:pPr>
        <w:spacing w:after="0" w:line="164" w:lineRule="exact"/>
        <w:rPr>
          <w:sz w:val="20"/>
          <w:szCs w:val="20"/>
          <w:color w:val="auto"/>
        </w:rPr>
      </w:pPr>
    </w:p>
    <w:p>
      <w:pPr>
        <w:ind w:right="520"/>
        <w:spacing w:after="0" w:line="266" w:lineRule="auto"/>
        <w:rPr>
          <w:sz w:val="20"/>
          <w:szCs w:val="20"/>
          <w:color w:val="auto"/>
        </w:rPr>
      </w:pPr>
      <w:r>
        <w:rPr>
          <w:rFonts w:ascii="Arial" w:cs="Arial" w:eastAsia="Arial" w:hAnsi="Arial"/>
          <w:sz w:val="14"/>
          <w:szCs w:val="14"/>
          <w:color w:val="auto"/>
        </w:rPr>
        <w:t>A copy of the Terms and Conditions of the award is attached as Exhibit 99. The information set forth in Exhibit 99 shall be deemed to be “filed” for purposes of the Securities Exchange Act of 1934, as amended.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gridSpan w:val="3"/>
          </w:tcPr>
          <w:p>
            <w:pPr>
              <w:spacing w:after="0"/>
              <w:rPr>
                <w:sz w:val="20"/>
                <w:szCs w:val="20"/>
                <w:color w:val="auto"/>
              </w:rPr>
            </w:pPr>
            <w:r>
              <w:rPr>
                <w:rFonts w:ascii="Arial" w:cs="Arial" w:eastAsia="Arial" w:hAnsi="Arial"/>
                <w:sz w:val="14"/>
                <w:szCs w:val="14"/>
                <w:color w:val="auto"/>
              </w:rPr>
              <w:t>(d)  Exhibit</w:t>
            </w:r>
          </w:p>
        </w:tc>
        <w:tc>
          <w:tcPr>
            <w:tcW w:w="6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88"/>
        </w:trPr>
        <w:tc>
          <w:tcPr>
            <w:tcW w:w="580" w:type="dxa"/>
            <w:vAlign w:val="bottom"/>
          </w:tcPr>
          <w:p>
            <w:pPr>
              <w:spacing w:after="0"/>
              <w:rPr>
                <w:sz w:val="24"/>
                <w:szCs w:val="24"/>
                <w:color w:val="auto"/>
              </w:rPr>
            </w:pP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8500" w:type="dxa"/>
            <w:vAlign w:val="bottom"/>
            <w:tcBorders>
              <w:bottom w:val="single" w:sz="8" w:color="auto"/>
            </w:tcBorders>
            <w:gridSpan w:val="2"/>
          </w:tcPr>
          <w:p>
            <w:pPr>
              <w:ind w:left="3520"/>
              <w:spacing w:after="0"/>
              <w:rPr>
                <w:sz w:val="20"/>
                <w:szCs w:val="20"/>
                <w:color w:val="auto"/>
              </w:rPr>
            </w:pPr>
            <w:r>
              <w:rPr>
                <w:rFonts w:ascii="Arial" w:cs="Arial" w:eastAsia="Arial" w:hAnsi="Arial"/>
                <w:sz w:val="14"/>
                <w:szCs w:val="14"/>
                <w:b w:val="1"/>
                <w:bCs w:val="1"/>
                <w:color w:val="auto"/>
              </w:rPr>
              <w:t>Description of Exhibit</w:t>
            </w:r>
          </w:p>
        </w:tc>
        <w:tc>
          <w:tcPr>
            <w:tcW w:w="560" w:type="dxa"/>
            <w:vAlign w:val="bottom"/>
          </w:tcPr>
          <w:p>
            <w:pPr>
              <w:spacing w:after="0"/>
              <w:rPr>
                <w:sz w:val="24"/>
                <w:szCs w:val="24"/>
                <w:color w:val="auto"/>
              </w:rPr>
            </w:pPr>
          </w:p>
        </w:tc>
      </w:tr>
      <w:tr>
        <w:trPr>
          <w:trHeight w:val="256"/>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99</w:t>
            </w:r>
          </w:p>
        </w:tc>
        <w:tc>
          <w:tcPr>
            <w:tcW w:w="160" w:type="dxa"/>
            <w:vAlign w:val="bottom"/>
          </w:tcPr>
          <w:p>
            <w:pPr>
              <w:spacing w:after="0"/>
              <w:rPr>
                <w:sz w:val="22"/>
                <w:szCs w:val="22"/>
                <w:color w:val="auto"/>
              </w:rPr>
            </w:pPr>
          </w:p>
        </w:tc>
        <w:tc>
          <w:tcPr>
            <w:tcW w:w="9060" w:type="dxa"/>
            <w:vAlign w:val="bottom"/>
            <w:gridSpan w:val="3"/>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Terms and Conditions of July 20, 2021 Stock Appreciation Rights - Chairman/Chief Executive Officer</w:t>
              </w:r>
            </w:hyperlink>
          </w:p>
        </w:tc>
      </w:tr>
      <w:tr>
        <w:trPr>
          <w:trHeight w:val="20"/>
        </w:trPr>
        <w:tc>
          <w:tcPr>
            <w:tcW w:w="2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8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r>
      <w:tr>
        <w:trPr>
          <w:trHeight w:val="192"/>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6"/>
                <w:szCs w:val="16"/>
                <w:color w:val="auto"/>
              </w:rPr>
            </w:pPr>
          </w:p>
        </w:tc>
        <w:tc>
          <w:tcPr>
            <w:tcW w:w="9060" w:type="dxa"/>
            <w:vAlign w:val="bottom"/>
            <w:gridSpan w:val="3"/>
          </w:tcPr>
          <w:p>
            <w:pPr>
              <w:spacing w:after="0"/>
              <w:rPr>
                <w:sz w:val="20"/>
                <w:szCs w:val="20"/>
                <w:color w:val="auto"/>
              </w:rPr>
            </w:pPr>
            <w:r>
              <w:rPr>
                <w:rFonts w:ascii="Arial" w:cs="Arial" w:eastAsia="Arial" w:hAnsi="Arial"/>
                <w:sz w:val="14"/>
                <w:szCs w:val="14"/>
                <w:color w:val="auto"/>
              </w:rPr>
              <w:t>Pursuant to Rule 406 of Regulation S-T, the cover page is formatted in Inline XBRL (Inline eXtensible Business Reporting Language).</w:t>
            </w:r>
          </w:p>
        </w:tc>
      </w:tr>
      <w:tr>
        <w:trPr>
          <w:trHeight w:val="180"/>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5"/>
                <w:szCs w:val="15"/>
                <w:color w:val="auto"/>
              </w:rPr>
            </w:pPr>
          </w:p>
        </w:tc>
        <w:tc>
          <w:tcPr>
            <w:tcW w:w="9060" w:type="dxa"/>
            <w:vAlign w:val="bottom"/>
            <w:gridSpan w:val="3"/>
          </w:tcPr>
          <w:p>
            <w:pPr>
              <w:spacing w:after="0"/>
              <w:rPr>
                <w:sz w:val="20"/>
                <w:szCs w:val="20"/>
                <w:color w:val="auto"/>
              </w:rPr>
            </w:pPr>
            <w:r>
              <w:rPr>
                <w:rFonts w:ascii="Arial" w:cs="Arial" w:eastAsia="Arial" w:hAnsi="Arial"/>
                <w:sz w:val="14"/>
                <w:szCs w:val="14"/>
                <w:color w:val="auto"/>
              </w:rPr>
              <w:t>Cover Page Interactive Data File (embedded within the Inline XBRL document and included in Exhibit 101).</w:t>
            </w:r>
          </w:p>
        </w:tc>
      </w:tr>
      <w:tr>
        <w:trPr>
          <w:trHeight w:val="859"/>
        </w:trPr>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tcPr>
          <w:p>
            <w:pPr>
              <w:jc w:val="right"/>
              <w:ind w:right="2749"/>
              <w:spacing w:after="0"/>
              <w:rPr>
                <w:sz w:val="20"/>
                <w:szCs w:val="20"/>
                <w:color w:val="auto"/>
              </w:rPr>
            </w:pPr>
            <w:r>
              <w:rPr>
                <w:rFonts w:ascii="Arial" w:cs="Arial" w:eastAsia="Arial" w:hAnsi="Arial"/>
                <w:sz w:val="14"/>
                <w:szCs w:val="14"/>
                <w:color w:val="auto"/>
              </w:rPr>
              <w:t>2</w:t>
            </w: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28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u w:val="single" w:color="auto"/>
          <w:color w:val="auto"/>
        </w:rPr>
        <w:t>SIGNATURE</w:t>
      </w:r>
    </w:p>
    <w:p>
      <w:pPr>
        <w:spacing w:after="0" w:line="200" w:lineRule="exact"/>
        <w:rPr>
          <w:sz w:val="20"/>
          <w:szCs w:val="20"/>
          <w:color w:val="auto"/>
        </w:rPr>
      </w:pPr>
    </w:p>
    <w:p>
      <w:pPr>
        <w:spacing w:after="0" w:line="244" w:lineRule="exact"/>
        <w:rPr>
          <w:sz w:val="20"/>
          <w:szCs w:val="20"/>
          <w:color w:val="auto"/>
        </w:rPr>
      </w:pPr>
    </w:p>
    <w:p>
      <w:pPr>
        <w:ind w:right="540"/>
        <w:spacing w:after="0" w:line="26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582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JPMorgan Chase &amp; Co.</w:t>
            </w:r>
          </w:p>
        </w:tc>
      </w:tr>
      <w:tr>
        <w:trPr>
          <w:trHeight w:val="171"/>
        </w:trPr>
        <w:tc>
          <w:tcPr>
            <w:tcW w:w="500" w:type="dxa"/>
            <w:vAlign w:val="bottom"/>
          </w:tcPr>
          <w:p>
            <w:pPr>
              <w:spacing w:after="0"/>
              <w:rPr>
                <w:sz w:val="14"/>
                <w:szCs w:val="14"/>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(Registrant)</w:t>
            </w:r>
          </w:p>
        </w:tc>
      </w:tr>
      <w:tr>
        <w:trPr>
          <w:trHeight w:val="722"/>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John H. Tribolati</w:t>
            </w:r>
          </w:p>
        </w:tc>
      </w:tr>
      <w:tr>
        <w:trPr>
          <w:trHeight w:val="171"/>
        </w:trPr>
        <w:tc>
          <w:tcPr>
            <w:tcW w:w="500" w:type="dxa"/>
            <w:vAlign w:val="bottom"/>
          </w:tcPr>
          <w:p>
            <w:pPr>
              <w:spacing w:after="0"/>
              <w:rPr>
                <w:sz w:val="14"/>
                <w:szCs w:val="14"/>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John H. Tribolati</w:t>
            </w:r>
          </w:p>
        </w:tc>
      </w:tr>
      <w:tr>
        <w:trPr>
          <w:trHeight w:val="180"/>
        </w:trPr>
        <w:tc>
          <w:tcPr>
            <w:tcW w:w="500" w:type="dxa"/>
            <w:vAlign w:val="bottom"/>
          </w:tcPr>
          <w:p>
            <w:pPr>
              <w:spacing w:after="0"/>
              <w:rPr>
                <w:sz w:val="15"/>
                <w:szCs w:val="15"/>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4"/>
          <w:szCs w:val="14"/>
          <w:color w:val="auto"/>
        </w:rPr>
        <w:t>Dated:</w:t>
        <w:tab/>
        <w:t>July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903" w:right="3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2021-07-20T15:40:59Z</dcterms:created>
  <dcterms:modified xsi:type="dcterms:W3CDTF">2021-07-20T15:40:59Z</dcterms:modified>
</cp:coreProperties>
</file>