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6878-01_fwp.htm"/>
      <w:bookmarkStart w:id="1" w:name="ksea0306878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28,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 xml:space="preserve">24.5-Month SPX Dual Directional Buffered PLUS </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Dual Directional Buffered PLUS, which we refer to as the Buffered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735"/>
                              <w:gridCol w:w="8212"/>
                              <w:gridCol w:w="258"/>
                            </w:tblGrid>
                            <w:tr>
                              <w:trPr/>
                              <w:tc>
                                <w:tcPr>
                                  <w:tcW w:w="1735"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470" w:type="dxa"/>
                                  <w:gridSpan w:val="2"/>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73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470" w:type="dxa"/>
                                  <w:gridSpan w:val="2"/>
                                  <w:tcBorders/>
                                  <w:shd w:fill="DCEBF4" w:val="clear"/>
                                  <w:vAlign w:val="center"/>
                                </w:tcPr>
                                <w:p>
                                  <w:pPr>
                                    <w:pStyle w:val="TableContents"/>
                                    <w:bidi w:val="0"/>
                                    <w:spacing w:before="0" w:after="283"/>
                                    <w:jc w:val="left"/>
                                    <w:rPr>
                                      <w:sz w:val="16"/>
                                    </w:rPr>
                                  </w:pPr>
                                  <w:r>
                                    <w:rPr>
                                      <w:sz w:val="16"/>
                                    </w:rPr>
                                    <w:t>JPMorgan Chase &amp; Co.</w:t>
                                  </w:r>
                                </w:p>
                              </w:tc>
                            </w:tr>
                            <w:tr>
                              <w:trPr/>
                              <w:tc>
                                <w:tcPr>
                                  <w:tcW w:w="173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470" w:type="dxa"/>
                                  <w:gridSpan w:val="2"/>
                                  <w:tcBorders/>
                                  <w:vAlign w:val="center"/>
                                </w:tcPr>
                                <w:p>
                                  <w:pPr>
                                    <w:pStyle w:val="TableContents"/>
                                    <w:bidi w:val="0"/>
                                    <w:spacing w:before="0" w:after="283"/>
                                    <w:jc w:val="left"/>
                                    <w:rPr>
                                      <w:sz w:val="16"/>
                                    </w:rPr>
                                  </w:pPr>
                                  <w:r>
                                    <w:rPr>
                                      <w:sz w:val="16"/>
                                    </w:rPr>
                                    <w:t>S&amp;P 500</w:t>
                                  </w:r>
                                  <w:r>
                                    <w:rPr>
                                      <w:position w:val="5"/>
                                      <w:sz w:val="13"/>
                                      <w:sz w:val="16"/>
                                    </w:rPr>
                                    <w:t>®</w:t>
                                  </w:r>
                                  <w:r>
                                    <w:rPr>
                                      <w:sz w:val="16"/>
                                    </w:rPr>
                                    <w:t xml:space="preserve"> Index (Bloomberg ticker: SPX Index)</w:t>
                                  </w:r>
                                </w:p>
                              </w:tc>
                            </w:tr>
                            <w:tr>
                              <w:trPr/>
                              <w:tc>
                                <w:tcPr>
                                  <w:tcW w:w="173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8470" w:type="dxa"/>
                                  <w:gridSpan w:val="2"/>
                                  <w:tcBorders/>
                                  <w:shd w:fill="DCEBF4" w:val="clear"/>
                                  <w:vAlign w:val="center"/>
                                </w:tcPr>
                                <w:p>
                                  <w:pPr>
                                    <w:pStyle w:val="TableContents"/>
                                    <w:bidi w:val="0"/>
                                    <w:spacing w:before="20" w:after="20"/>
                                    <w:ind w:left="75" w:right="75"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index value, for each $1,000 stated principal amount Buffered PLUS,</w:t>
                                  </w:r>
                                </w:p>
                                <w:p>
                                  <w:pPr>
                                    <w:pStyle w:val="TableContents"/>
                                    <w:bidi w:val="0"/>
                                    <w:spacing w:before="20" w:after="20"/>
                                    <w:ind w:left="346" w:right="75"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20" w:after="20"/>
                                    <w:ind w:left="75" w:right="75"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no event will the payment at maturity exceed the maximum upside payment at maturity.</w:t>
                                  </w:r>
                                </w:p>
                                <w:p>
                                  <w:pPr>
                                    <w:pStyle w:val="TableContents"/>
                                    <w:bidi w:val="0"/>
                                    <w:spacing w:before="20" w:after="20"/>
                                    <w:ind w:left="75" w:right="75"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equal to</w:t>
                                  </w:r>
                                  <w:r>
                                    <w:rPr>
                                      <w:rFonts w:ascii="Arial;Helvetica;Sans-Serif" w:hAnsi="Arial;Helvetica;Sans-Serif"/>
                                      <w:b w:val="false"/>
                                      <w:i w:val="false"/>
                                      <w:caps w:val="false"/>
                                      <w:smallCaps w:val="false"/>
                                      <w:sz w:val="16"/>
                                    </w:rPr>
                                    <w:t xml:space="preserve"> the initial index value or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initial index value but has decreased from the initial index value by an amount </w:t>
                                  </w:r>
                                  <w:r>
                                    <w:rPr>
                                      <w:rFonts w:ascii="Arial;Helvetica;Sans-Serif" w:hAnsi="Arial;Helvetica;Sans-Serif"/>
                                      <w:b w:val="false"/>
                                      <w:i/>
                                      <w:caps w:val="false"/>
                                      <w:smallCaps w:val="false"/>
                                      <w:sz w:val="16"/>
                                    </w:rPr>
                                    <w:t>less than or equal to</w:t>
                                  </w:r>
                                  <w:r>
                                    <w:rPr>
                                      <w:rFonts w:ascii="Arial;Helvetica;Sans-Serif" w:hAnsi="Arial;Helvetica;Sans-Serif"/>
                                      <w:b w:val="false"/>
                                      <w:i w:val="false"/>
                                      <w:caps w:val="false"/>
                                      <w:smallCaps w:val="false"/>
                                      <w:sz w:val="16"/>
                                    </w:rPr>
                                    <w:t xml:space="preserve"> the buffer amount of 10.00%, for each $1,000 stated principal amount Buffered PLUS,</w:t>
                                  </w:r>
                                </w:p>
                                <w:p>
                                  <w:pPr>
                                    <w:pStyle w:val="TableContents"/>
                                    <w:bidi w:val="0"/>
                                    <w:spacing w:before="20" w:after="20"/>
                                    <w:ind w:left="75" w:right="75"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absolute index return)</w:t>
                                  </w:r>
                                </w:p>
                                <w:p>
                                  <w:pPr>
                                    <w:pStyle w:val="TableContents"/>
                                    <w:bidi w:val="0"/>
                                    <w:spacing w:before="20" w:after="20"/>
                                    <w:ind w:left="75" w:right="75"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this scenario, you will receive a 1% positive return on the Buffered PLUS for each 1% negative return on the underlying index. In no event will this amount exceed the stated principal amount plus $100.00. Accordingly, the maximum downside payment at maturity is $1,100.00 per Buffered PLUS.</w:t>
                                  </w:r>
                                </w:p>
                                <w:p>
                                  <w:pPr>
                                    <w:pStyle w:val="TableContents"/>
                                    <w:bidi w:val="0"/>
                                    <w:spacing w:before="20" w:after="20"/>
                                    <w:ind w:left="75" w:right="75"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initial index value and has decreased from the initial index value by an amount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buffer amount of 10.00%, for each $1,000 stated principal amount Buffered PLUS,</w:t>
                                  </w:r>
                                </w:p>
                                <w:p>
                                  <w:pPr>
                                    <w:pStyle w:val="TableContents"/>
                                    <w:bidi w:val="0"/>
                                    <w:spacing w:before="20" w:after="20"/>
                                    <w:ind w:left="75" w:right="75"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 + $100.00</w:t>
                                  </w:r>
                                </w:p>
                                <w:p>
                                  <w:pPr>
                                    <w:pStyle w:val="TableContents"/>
                                    <w:bidi w:val="0"/>
                                    <w:spacing w:before="20" w:after="20"/>
                                    <w:ind w:left="75" w:right="75"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Buffered PLUS. However, subject to the credit risks of JPMorgan Financial and JPMorgan Chase &amp; Co., under no circumstances will the Buffered PLUS pay less than $100.00 per Buffered PLUS at maturity.</w:t>
                                  </w:r>
                                </w:p>
                              </w:tc>
                            </w:tr>
                            <w:tr>
                              <w:trPr/>
                              <w:tc>
                                <w:tcPr>
                                  <w:tcW w:w="173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Leveraged upside payment:</w:t>
                                  </w:r>
                                </w:p>
                              </w:tc>
                              <w:tc>
                                <w:tcPr>
                                  <w:tcW w:w="8470" w:type="dxa"/>
                                  <w:gridSpan w:val="2"/>
                                  <w:tcBorders/>
                                  <w:vAlign w:val="center"/>
                                </w:tcPr>
                                <w:p>
                                  <w:pPr>
                                    <w:pStyle w:val="TableContents"/>
                                    <w:bidi w:val="0"/>
                                    <w:spacing w:before="0" w:after="283"/>
                                    <w:jc w:val="left"/>
                                    <w:rPr>
                                      <w:sz w:val="16"/>
                                    </w:rPr>
                                  </w:pPr>
                                  <w:r>
                                    <w:rPr>
                                      <w:sz w:val="16"/>
                                    </w:rPr>
                                    <w:t>$1,000 × leverage factor × index percent change</w:t>
                                  </w:r>
                                </w:p>
                              </w:tc>
                            </w:tr>
                            <w:tr>
                              <w:trPr/>
                              <w:tc>
                                <w:tcPr>
                                  <w:tcW w:w="173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percent change:</w:t>
                                  </w:r>
                                </w:p>
                              </w:tc>
                              <w:tc>
                                <w:tcPr>
                                  <w:tcW w:w="8470" w:type="dxa"/>
                                  <w:gridSpan w:val="2"/>
                                  <w:tcBorders/>
                                  <w:shd w:fill="DCEBF4" w:val="clear"/>
                                  <w:vAlign w:val="center"/>
                                </w:tcPr>
                                <w:p>
                                  <w:pPr>
                                    <w:pStyle w:val="TableContents"/>
                                    <w:bidi w:val="0"/>
                                    <w:spacing w:before="0" w:after="283"/>
                                    <w:jc w:val="left"/>
                                    <w:rPr>
                                      <w:sz w:val="16"/>
                                    </w:rPr>
                                  </w:pPr>
                                  <w:r>
                                    <w:rPr>
                                      <w:sz w:val="16"/>
                                    </w:rPr>
                                    <w:t>(final index value – initial index value) / initial index value</w:t>
                                  </w:r>
                                </w:p>
                              </w:tc>
                            </w:tr>
                            <w:tr>
                              <w:trPr/>
                              <w:tc>
                                <w:tcPr>
                                  <w:tcW w:w="173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index value:</w:t>
                                  </w:r>
                                </w:p>
                              </w:tc>
                              <w:tc>
                                <w:tcPr>
                                  <w:tcW w:w="8470" w:type="dxa"/>
                                  <w:gridSpan w:val="2"/>
                                  <w:tcBorders/>
                                  <w:vAlign w:val="center"/>
                                </w:tcPr>
                                <w:p>
                                  <w:pPr>
                                    <w:pStyle w:val="TableContents"/>
                                    <w:bidi w:val="0"/>
                                    <w:spacing w:before="0" w:after="283"/>
                                    <w:jc w:val="left"/>
                                    <w:rPr>
                                      <w:sz w:val="16"/>
                                    </w:rPr>
                                  </w:pPr>
                                  <w:r>
                                    <w:rPr>
                                      <w:sz w:val="16"/>
                                    </w:rPr>
                                    <w:t>The closing level of the underlying index on the pricing date</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index value:</w:t>
                                  </w:r>
                                </w:p>
                              </w:tc>
                              <w:tc>
                                <w:tcPr>
                                  <w:tcW w:w="8470" w:type="dxa"/>
                                  <w:gridSpan w:val="2"/>
                                  <w:tcBorders/>
                                  <w:shd w:fill="DEEAF6" w:val="clear"/>
                                  <w:vAlign w:val="center"/>
                                </w:tcPr>
                                <w:p>
                                  <w:pPr>
                                    <w:pStyle w:val="TableContents"/>
                                    <w:bidi w:val="0"/>
                                    <w:spacing w:before="0" w:after="283"/>
                                    <w:jc w:val="left"/>
                                    <w:rPr>
                                      <w:sz w:val="16"/>
                                    </w:rPr>
                                  </w:pPr>
                                  <w:r>
                                    <w:rPr>
                                      <w:sz w:val="16"/>
                                    </w:rPr>
                                    <w:t>The closing level of the underlying index on the valuation date</w:t>
                                  </w:r>
                                </w:p>
                              </w:tc>
                            </w:tr>
                            <w:tr>
                              <w:trPr/>
                              <w:tc>
                                <w:tcPr>
                                  <w:tcW w:w="173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Leverage factor: </w:t>
                                  </w:r>
                                </w:p>
                              </w:tc>
                              <w:tc>
                                <w:tcPr>
                                  <w:tcW w:w="8470" w:type="dxa"/>
                                  <w:gridSpan w:val="2"/>
                                  <w:tcBorders/>
                                  <w:vAlign w:val="center"/>
                                </w:tcPr>
                                <w:p>
                                  <w:pPr>
                                    <w:pStyle w:val="TableContents"/>
                                    <w:bidi w:val="0"/>
                                    <w:spacing w:before="0" w:after="283"/>
                                    <w:jc w:val="left"/>
                                    <w:rPr>
                                      <w:sz w:val="16"/>
                                    </w:rPr>
                                  </w:pPr>
                                  <w:r>
                                    <w:rPr>
                                      <w:sz w:val="16"/>
                                    </w:rPr>
                                    <w:t>150%</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index return:</w:t>
                                  </w:r>
                                </w:p>
                              </w:tc>
                              <w:tc>
                                <w:tcPr>
                                  <w:tcW w:w="8470" w:type="dxa"/>
                                  <w:gridSpan w:val="2"/>
                                  <w:tcBorders/>
                                  <w:shd w:fill="DEEAF6" w:val="clear"/>
                                  <w:vAlign w:val="center"/>
                                </w:tcPr>
                                <w:p>
                                  <w:pPr>
                                    <w:pStyle w:val="TableContents"/>
                                    <w:bidi w:val="0"/>
                                    <w:spacing w:before="0" w:after="283"/>
                                    <w:jc w:val="left"/>
                                    <w:rPr>
                                      <w:sz w:val="16"/>
                                    </w:rPr>
                                  </w:pPr>
                                  <w:r>
                                    <w:rPr>
                                      <w:sz w:val="16"/>
                                    </w:rPr>
                                    <w:t>The absolute value of the index percent change.  For example, a -5% index percent change will result in a +5% absolute index return.</w:t>
                                  </w:r>
                                </w:p>
                              </w:tc>
                            </w:tr>
                            <w:tr>
                              <w:trPr/>
                              <w:tc>
                                <w:tcPr>
                                  <w:tcW w:w="173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Buffer amount: </w:t>
                                  </w:r>
                                </w:p>
                              </w:tc>
                              <w:tc>
                                <w:tcPr>
                                  <w:tcW w:w="8470" w:type="dxa"/>
                                  <w:gridSpan w:val="2"/>
                                  <w:tcBorders/>
                                  <w:vAlign w:val="center"/>
                                </w:tcPr>
                                <w:p>
                                  <w:pPr>
                                    <w:pStyle w:val="TableContents"/>
                                    <w:bidi w:val="0"/>
                                    <w:spacing w:before="0" w:after="283"/>
                                    <w:jc w:val="left"/>
                                    <w:rPr>
                                      <w:sz w:val="16"/>
                                    </w:rPr>
                                  </w:pPr>
                                  <w:r>
                                    <w:rPr>
                                      <w:sz w:val="16"/>
                                    </w:rPr>
                                    <w:t>10.00%</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performance factor:</w:t>
                                  </w:r>
                                </w:p>
                              </w:tc>
                              <w:tc>
                                <w:tcPr>
                                  <w:tcW w:w="8212" w:type="dxa"/>
                                  <w:tcBorders/>
                                  <w:shd w:fill="DEEAF6" w:val="clear"/>
                                  <w:vAlign w:val="center"/>
                                </w:tcPr>
                                <w:p>
                                  <w:pPr>
                                    <w:pStyle w:val="TableContents"/>
                                    <w:bidi w:val="0"/>
                                    <w:spacing w:before="0" w:after="283"/>
                                    <w:jc w:val="left"/>
                                    <w:rPr>
                                      <w:sz w:val="16"/>
                                    </w:rPr>
                                  </w:pPr>
                                  <w:r>
                                    <w:rPr>
                                      <w:sz w:val="16"/>
                                    </w:rPr>
                                    <w:t>final index value / initial index value</w:t>
                                  </w:r>
                                </w:p>
                              </w:tc>
                              <w:tc>
                                <w:tcPr>
                                  <w:tcW w:w="258" w:type="dxa"/>
                                  <w:tcBorders/>
                                  <w:shd w:fill="DEEAF6" w:val="clear"/>
                                  <w:vAlign w:val="center"/>
                                </w:tcPr>
                                <w:p>
                                  <w:pPr>
                                    <w:pStyle w:val="TableContents"/>
                                    <w:bidi w:val="0"/>
                                    <w:spacing w:before="0" w:after="283"/>
                                    <w:jc w:val="left"/>
                                    <w:rPr/>
                                  </w:pPr>
                                  <w:r>
                                    <w:rPr/>
                                    <w:t> </w:t>
                                  </w:r>
                                </w:p>
                              </w:tc>
                            </w:tr>
                            <w:tr>
                              <w:trPr/>
                              <w:tc>
                                <w:tcPr>
                                  <w:tcW w:w="173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Maximum upside payment at maturity:</w:t>
                                  </w:r>
                                </w:p>
                              </w:tc>
                              <w:tc>
                                <w:tcPr>
                                  <w:tcW w:w="8470" w:type="dxa"/>
                                  <w:gridSpan w:val="2"/>
                                  <w:tcBorders/>
                                  <w:vAlign w:val="center"/>
                                </w:tcPr>
                                <w:p>
                                  <w:pPr>
                                    <w:pStyle w:val="TableContents"/>
                                    <w:bidi w:val="0"/>
                                    <w:spacing w:before="0" w:after="283"/>
                                    <w:jc w:val="left"/>
                                    <w:rPr>
                                      <w:sz w:val="16"/>
                                    </w:rPr>
                                  </w:pPr>
                                  <w:r>
                                    <w:rPr>
                                      <w:sz w:val="16"/>
                                    </w:rPr>
                                    <w:t>At least $1,210.00 (at least 121.00% of the stated principal amount) per Buffered PLUS</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Minimum payment at maturity:</w:t>
                                  </w:r>
                                </w:p>
                              </w:tc>
                              <w:tc>
                                <w:tcPr>
                                  <w:tcW w:w="8470" w:type="dxa"/>
                                  <w:gridSpan w:val="2"/>
                                  <w:tcBorders/>
                                  <w:shd w:fill="DEEAF6" w:val="clear"/>
                                  <w:vAlign w:val="center"/>
                                </w:tcPr>
                                <w:p>
                                  <w:pPr>
                                    <w:pStyle w:val="TableContents"/>
                                    <w:bidi w:val="0"/>
                                    <w:spacing w:before="0" w:after="283"/>
                                    <w:jc w:val="left"/>
                                    <w:rPr>
                                      <w:sz w:val="16"/>
                                    </w:rPr>
                                  </w:pPr>
                                  <w:r>
                                    <w:rPr>
                                      <w:sz w:val="16"/>
                                    </w:rPr>
                                    <w:t>$100.00 per Buffered PLUS (10.00% of the stated principal amount)</w:t>
                                  </w:r>
                                </w:p>
                              </w:tc>
                            </w:tr>
                            <w:tr>
                              <w:trPr/>
                              <w:tc>
                                <w:tcPr>
                                  <w:tcW w:w="173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470" w:type="dxa"/>
                                  <w:gridSpan w:val="2"/>
                                  <w:tcBorders/>
                                  <w:vAlign w:val="center"/>
                                </w:tcPr>
                                <w:p>
                                  <w:pPr>
                                    <w:pStyle w:val="TableContents"/>
                                    <w:bidi w:val="0"/>
                                    <w:spacing w:before="0" w:after="283"/>
                                    <w:jc w:val="left"/>
                                    <w:rPr>
                                      <w:sz w:val="16"/>
                                    </w:rPr>
                                  </w:pPr>
                                  <w:r>
                                    <w:rPr>
                                      <w:sz w:val="16"/>
                                    </w:rPr>
                                    <w:t>$1,000 per Buffered PLUS</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470" w:type="dxa"/>
                                  <w:gridSpan w:val="2"/>
                                  <w:tcBorders/>
                                  <w:shd w:fill="DEEAF6" w:val="clear"/>
                                  <w:vAlign w:val="center"/>
                                </w:tcPr>
                                <w:p>
                                  <w:pPr>
                                    <w:pStyle w:val="TableContents"/>
                                    <w:bidi w:val="0"/>
                                    <w:spacing w:before="0" w:after="283"/>
                                    <w:jc w:val="left"/>
                                    <w:rPr>
                                      <w:sz w:val="16"/>
                                    </w:rPr>
                                  </w:pPr>
                                  <w:r>
                                    <w:rPr>
                                      <w:sz w:val="16"/>
                                    </w:rPr>
                                    <w:t>$1,000 per Buffered PLUS</w:t>
                                  </w:r>
                                </w:p>
                              </w:tc>
                            </w:tr>
                            <w:tr>
                              <w:trPr/>
                              <w:tc>
                                <w:tcPr>
                                  <w:tcW w:w="173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470" w:type="dxa"/>
                                  <w:gridSpan w:val="2"/>
                                  <w:tcBorders/>
                                  <w:vAlign w:val="center"/>
                                </w:tcPr>
                                <w:p>
                                  <w:pPr>
                                    <w:pStyle w:val="TableContents"/>
                                    <w:bidi w:val="0"/>
                                    <w:spacing w:before="0" w:after="283"/>
                                    <w:jc w:val="both"/>
                                    <w:rPr>
                                      <w:sz w:val="16"/>
                                    </w:rPr>
                                  </w:pPr>
                                  <w:r>
                                    <w:rPr>
                                      <w:sz w:val="16"/>
                                    </w:rPr>
                                    <w:t>Expected to be October 16, 2026</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470" w:type="dxa"/>
                                  <w:gridSpan w:val="2"/>
                                  <w:tcBorders/>
                                  <w:shd w:fill="DEEAF6" w:val="clear"/>
                                  <w:vAlign w:val="center"/>
                                </w:tcPr>
                                <w:p>
                                  <w:pPr>
                                    <w:pStyle w:val="TableContents"/>
                                    <w:bidi w:val="0"/>
                                    <w:spacing w:before="0" w:after="283"/>
                                    <w:jc w:val="left"/>
                                    <w:rPr>
                                      <w:sz w:val="16"/>
                                    </w:rPr>
                                  </w:pPr>
                                  <w:r>
                                    <w:rPr>
                                      <w:sz w:val="16"/>
                                    </w:rPr>
                                    <w:t>3 business days after the pricing date</w:t>
                                  </w:r>
                                </w:p>
                              </w:tc>
                            </w:tr>
                            <w:tr>
                              <w:trPr/>
                              <w:tc>
                                <w:tcPr>
                                  <w:tcW w:w="173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70" w:type="dxa"/>
                                  <w:gridSpan w:val="2"/>
                                  <w:tcBorders/>
                                  <w:vAlign w:val="center"/>
                                </w:tcPr>
                                <w:p>
                                  <w:pPr>
                                    <w:pStyle w:val="TableContents"/>
                                    <w:bidi w:val="0"/>
                                    <w:spacing w:before="0" w:after="283"/>
                                    <w:jc w:val="left"/>
                                    <w:rPr>
                                      <w:sz w:val="16"/>
                                    </w:rPr>
                                  </w:pPr>
                                  <w:r>
                                    <w:rPr>
                                      <w:sz w:val="16"/>
                                    </w:rPr>
                                    <w:t>October 31, 2028</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70" w:type="dxa"/>
                                  <w:gridSpan w:val="2"/>
                                  <w:tcBorders/>
                                  <w:shd w:fill="DEEAF6" w:val="clear"/>
                                  <w:vAlign w:val="center"/>
                                </w:tcPr>
                                <w:p>
                                  <w:pPr>
                                    <w:pStyle w:val="TableContents"/>
                                    <w:bidi w:val="0"/>
                                    <w:spacing w:before="0" w:after="283"/>
                                    <w:jc w:val="left"/>
                                    <w:rPr>
                                      <w:sz w:val="16"/>
                                    </w:rPr>
                                  </w:pPr>
                                  <w:r>
                                    <w:rPr>
                                      <w:sz w:val="16"/>
                                    </w:rPr>
                                    <w:t>November 3, 2028</w:t>
                                  </w:r>
                                </w:p>
                              </w:tc>
                            </w:tr>
                            <w:tr>
                              <w:trPr/>
                              <w:tc>
                                <w:tcPr>
                                  <w:tcW w:w="1735" w:type="dxa"/>
                                  <w:tcBorders/>
                                  <w:vAlign w:val="center"/>
                                </w:tcPr>
                                <w:p>
                                  <w:pPr>
                                    <w:pStyle w:val="TableContents"/>
                                    <w:bidi w:val="0"/>
                                    <w:spacing w:before="0" w:after="283"/>
                                    <w:jc w:val="left"/>
                                    <w:rPr>
                                      <w:b/>
                                      <w:color w:val="296DC1"/>
                                      <w:sz w:val="16"/>
                                    </w:rPr>
                                  </w:pPr>
                                  <w:r>
                                    <w:rPr>
                                      <w:b/>
                                      <w:color w:val="296DC1"/>
                                      <w:sz w:val="16"/>
                                    </w:rPr>
                                    <w:t>CUSIP / ISIN:</w:t>
                                  </w:r>
                                </w:p>
                              </w:tc>
                              <w:tc>
                                <w:tcPr>
                                  <w:tcW w:w="8470" w:type="dxa"/>
                                  <w:gridSpan w:val="2"/>
                                  <w:tcBorders/>
                                  <w:vAlign w:val="center"/>
                                </w:tcPr>
                                <w:p>
                                  <w:pPr>
                                    <w:pStyle w:val="TableContents"/>
                                    <w:bidi w:val="0"/>
                                    <w:spacing w:before="0" w:after="283"/>
                                    <w:jc w:val="left"/>
                                    <w:rPr>
                                      <w:sz w:val="16"/>
                                    </w:rPr>
                                  </w:pPr>
                                  <w:r>
                                    <w:rPr>
                                      <w:sz w:val="16"/>
                                    </w:rPr>
                                    <w:t>46661PDD6 / US46661PDD69</w:t>
                                  </w:r>
                                </w:p>
                              </w:tc>
                            </w:tr>
                            <w:tr>
                              <w:trPr/>
                              <w:tc>
                                <w:tcPr>
                                  <w:tcW w:w="1735" w:type="dxa"/>
                                  <w:tcBorders/>
                                  <w:shd w:fill="DEEAF6"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470" w:type="dxa"/>
                                  <w:gridSpan w:val="2"/>
                                  <w:tcBorders/>
                                  <w:shd w:fill="DEEAF6" w:val="clear"/>
                                  <w:vAlign w:val="center"/>
                                </w:tcPr>
                                <w:p>
                                  <w:pPr>
                                    <w:pStyle w:val="TableContents"/>
                                    <w:bidi w:val="0"/>
                                    <w:spacing w:before="0" w:after="283"/>
                                    <w:jc w:val="left"/>
                                    <w:rPr/>
                                  </w:pPr>
                                  <w:hyperlink r:id="rId2">
                                    <w:r>
                                      <w:rPr>
                                        <w:rStyle w:val="InternetLink"/>
                                        <w:sz w:val="16"/>
                                      </w:rPr>
                                      <w:t>http://www.sec.gov/Archives/edgar/data/19617/</w:t>
                                      <w:br/>
                                      <w:t>000121390026103861/ea0306855-01_424b2.htm</w:t>
                                    </w:r>
                                  </w:hyperlink>
                                </w:p>
                              </w:tc>
                            </w:tr>
                          </w:tbl>
                          <w:p>
                            <w:pPr>
                              <w:pStyle w:val="TextBody"/>
                              <w:bidi w:val="0"/>
                              <w:spacing w:before="0" w:after="40"/>
                              <w:ind w:left="360"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Buffered PLUS on the pricing date will be provided in the pricing supplement and will not be less than $940.00 per $1,000 stated principal amount Buffered PLUS.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735"/>
                        <w:gridCol w:w="8212"/>
                        <w:gridCol w:w="258"/>
                      </w:tblGrid>
                      <w:tr>
                        <w:trPr/>
                        <w:tc>
                          <w:tcPr>
                            <w:tcW w:w="1735"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470" w:type="dxa"/>
                            <w:gridSpan w:val="2"/>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73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470" w:type="dxa"/>
                            <w:gridSpan w:val="2"/>
                            <w:tcBorders/>
                            <w:shd w:fill="DCEBF4" w:val="clear"/>
                            <w:vAlign w:val="center"/>
                          </w:tcPr>
                          <w:p>
                            <w:pPr>
                              <w:pStyle w:val="TableContents"/>
                              <w:bidi w:val="0"/>
                              <w:spacing w:before="0" w:after="283"/>
                              <w:jc w:val="left"/>
                              <w:rPr>
                                <w:sz w:val="16"/>
                              </w:rPr>
                            </w:pPr>
                            <w:r>
                              <w:rPr>
                                <w:sz w:val="16"/>
                              </w:rPr>
                              <w:t>JPMorgan Chase &amp; Co.</w:t>
                            </w:r>
                          </w:p>
                        </w:tc>
                      </w:tr>
                      <w:tr>
                        <w:trPr/>
                        <w:tc>
                          <w:tcPr>
                            <w:tcW w:w="173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index: </w:t>
                            </w:r>
                          </w:p>
                        </w:tc>
                        <w:tc>
                          <w:tcPr>
                            <w:tcW w:w="8470" w:type="dxa"/>
                            <w:gridSpan w:val="2"/>
                            <w:tcBorders/>
                            <w:vAlign w:val="center"/>
                          </w:tcPr>
                          <w:p>
                            <w:pPr>
                              <w:pStyle w:val="TableContents"/>
                              <w:bidi w:val="0"/>
                              <w:spacing w:before="0" w:after="283"/>
                              <w:jc w:val="left"/>
                              <w:rPr>
                                <w:sz w:val="16"/>
                              </w:rPr>
                            </w:pPr>
                            <w:r>
                              <w:rPr>
                                <w:sz w:val="16"/>
                              </w:rPr>
                              <w:t>S&amp;P 500</w:t>
                            </w:r>
                            <w:r>
                              <w:rPr>
                                <w:position w:val="5"/>
                                <w:sz w:val="13"/>
                                <w:sz w:val="16"/>
                              </w:rPr>
                              <w:t>®</w:t>
                            </w:r>
                            <w:r>
                              <w:rPr>
                                <w:sz w:val="16"/>
                              </w:rPr>
                              <w:t xml:space="preserve"> Index (Bloomberg ticker: SPX Index)</w:t>
                            </w:r>
                          </w:p>
                        </w:tc>
                      </w:tr>
                      <w:tr>
                        <w:trPr/>
                        <w:tc>
                          <w:tcPr>
                            <w:tcW w:w="173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8470" w:type="dxa"/>
                            <w:gridSpan w:val="2"/>
                            <w:tcBorders/>
                            <w:shd w:fill="DCEBF4" w:val="clear"/>
                            <w:vAlign w:val="center"/>
                          </w:tcPr>
                          <w:p>
                            <w:pPr>
                              <w:pStyle w:val="TableContents"/>
                              <w:bidi w:val="0"/>
                              <w:spacing w:before="20" w:after="20"/>
                              <w:ind w:left="75" w:right="75"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initial index value, for each $1,000 stated principal amount Buffered PLUS,</w:t>
                            </w:r>
                          </w:p>
                          <w:p>
                            <w:pPr>
                              <w:pStyle w:val="TableContents"/>
                              <w:bidi w:val="0"/>
                              <w:spacing w:before="20" w:after="20"/>
                              <w:ind w:left="346" w:right="75"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leveraged upside payment</w:t>
                            </w:r>
                          </w:p>
                          <w:p>
                            <w:pPr>
                              <w:pStyle w:val="TableContents"/>
                              <w:bidi w:val="0"/>
                              <w:spacing w:before="20" w:after="20"/>
                              <w:ind w:left="75" w:right="75"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no event will the payment at maturity exceed the maximum upside payment at maturity.</w:t>
                            </w:r>
                          </w:p>
                          <w:p>
                            <w:pPr>
                              <w:pStyle w:val="TableContents"/>
                              <w:bidi w:val="0"/>
                              <w:spacing w:before="20" w:after="20"/>
                              <w:ind w:left="75" w:right="75"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equal to</w:t>
                            </w:r>
                            <w:r>
                              <w:rPr>
                                <w:rFonts w:ascii="Arial;Helvetica;Sans-Serif" w:hAnsi="Arial;Helvetica;Sans-Serif"/>
                                <w:b w:val="false"/>
                                <w:i w:val="false"/>
                                <w:caps w:val="false"/>
                                <w:smallCaps w:val="false"/>
                                <w:sz w:val="16"/>
                              </w:rPr>
                              <w:t xml:space="preserve"> the initial index value or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initial index value but has decreased from the initial index value by an amount </w:t>
                            </w:r>
                            <w:r>
                              <w:rPr>
                                <w:rFonts w:ascii="Arial;Helvetica;Sans-Serif" w:hAnsi="Arial;Helvetica;Sans-Serif"/>
                                <w:b w:val="false"/>
                                <w:i/>
                                <w:caps w:val="false"/>
                                <w:smallCaps w:val="false"/>
                                <w:sz w:val="16"/>
                              </w:rPr>
                              <w:t>less than or equal to</w:t>
                            </w:r>
                            <w:r>
                              <w:rPr>
                                <w:rFonts w:ascii="Arial;Helvetica;Sans-Serif" w:hAnsi="Arial;Helvetica;Sans-Serif"/>
                                <w:b w:val="false"/>
                                <w:i w:val="false"/>
                                <w:caps w:val="false"/>
                                <w:smallCaps w:val="false"/>
                                <w:sz w:val="16"/>
                              </w:rPr>
                              <w:t xml:space="preserve"> the buffer amount of 10.00%, for each $1,000 stated principal amount Buffered PLUS,</w:t>
                            </w:r>
                          </w:p>
                          <w:p>
                            <w:pPr>
                              <w:pStyle w:val="TableContents"/>
                              <w:bidi w:val="0"/>
                              <w:spacing w:before="20" w:after="20"/>
                              <w:ind w:left="75" w:right="75" w:firstLine="245"/>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($1,000 × absolute index return)</w:t>
                            </w:r>
                          </w:p>
                          <w:p>
                            <w:pPr>
                              <w:pStyle w:val="TableContents"/>
                              <w:bidi w:val="0"/>
                              <w:spacing w:before="20" w:after="20"/>
                              <w:ind w:left="75" w:right="75"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In this scenario, you will receive a 1% positive return on the Buffered PLUS for each 1% negative return on the underlying index. In no event will this amount exceed the stated principal amount plus $100.00. Accordingly, the maximum downside payment at maturity is $1,100.00 per Buffered PLUS.</w:t>
                            </w:r>
                          </w:p>
                          <w:p>
                            <w:pPr>
                              <w:pStyle w:val="TableContents"/>
                              <w:bidi w:val="0"/>
                              <w:spacing w:before="20" w:after="20"/>
                              <w:ind w:left="75" w:right="75"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index value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initial index value and has decreased from the initial index value by an amount </w:t>
                            </w:r>
                            <w:r>
                              <w:rPr>
                                <w:rFonts w:ascii="Arial;Helvetica;Sans-Serif" w:hAnsi="Arial;Helvetica;Sans-Serif"/>
                                <w:b w:val="false"/>
                                <w:i/>
                                <w:caps w:val="false"/>
                                <w:smallCaps w:val="false"/>
                                <w:sz w:val="16"/>
                              </w:rPr>
                              <w:t>greater than</w:t>
                            </w:r>
                            <w:r>
                              <w:rPr>
                                <w:rFonts w:ascii="Arial;Helvetica;Sans-Serif" w:hAnsi="Arial;Helvetica;Sans-Serif"/>
                                <w:b w:val="false"/>
                                <w:i w:val="false"/>
                                <w:caps w:val="false"/>
                                <w:smallCaps w:val="false"/>
                                <w:sz w:val="16"/>
                              </w:rPr>
                              <w:t xml:space="preserve"> the buffer amount of 10.00%, for each $1,000 stated principal amount Buffered PLUS,</w:t>
                            </w:r>
                          </w:p>
                          <w:p>
                            <w:pPr>
                              <w:pStyle w:val="TableContents"/>
                              <w:bidi w:val="0"/>
                              <w:spacing w:before="20" w:after="20"/>
                              <w:ind w:left="75" w:right="75"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index performance factor) + $100.00</w:t>
                            </w:r>
                          </w:p>
                          <w:p>
                            <w:pPr>
                              <w:pStyle w:val="TableContents"/>
                              <w:bidi w:val="0"/>
                              <w:spacing w:before="20" w:after="20"/>
                              <w:ind w:left="75" w:right="75"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per Buffered PLUS. However, subject to the credit risks of JPMorgan Financial and JPMorgan Chase &amp; Co., under no circumstances will the Buffered PLUS pay less than $100.00 per Buffered PLUS at maturity.</w:t>
                            </w:r>
                          </w:p>
                        </w:tc>
                      </w:tr>
                      <w:tr>
                        <w:trPr/>
                        <w:tc>
                          <w:tcPr>
                            <w:tcW w:w="173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Leveraged upside payment:</w:t>
                            </w:r>
                          </w:p>
                        </w:tc>
                        <w:tc>
                          <w:tcPr>
                            <w:tcW w:w="8470" w:type="dxa"/>
                            <w:gridSpan w:val="2"/>
                            <w:tcBorders/>
                            <w:vAlign w:val="center"/>
                          </w:tcPr>
                          <w:p>
                            <w:pPr>
                              <w:pStyle w:val="TableContents"/>
                              <w:bidi w:val="0"/>
                              <w:spacing w:before="0" w:after="283"/>
                              <w:jc w:val="left"/>
                              <w:rPr>
                                <w:sz w:val="16"/>
                              </w:rPr>
                            </w:pPr>
                            <w:r>
                              <w:rPr>
                                <w:sz w:val="16"/>
                              </w:rPr>
                              <w:t>$1,000 × leverage factor × index percent change</w:t>
                            </w:r>
                          </w:p>
                        </w:tc>
                      </w:tr>
                      <w:tr>
                        <w:trPr/>
                        <w:tc>
                          <w:tcPr>
                            <w:tcW w:w="173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percent change:</w:t>
                            </w:r>
                          </w:p>
                        </w:tc>
                        <w:tc>
                          <w:tcPr>
                            <w:tcW w:w="8470" w:type="dxa"/>
                            <w:gridSpan w:val="2"/>
                            <w:tcBorders/>
                            <w:shd w:fill="DCEBF4" w:val="clear"/>
                            <w:vAlign w:val="center"/>
                          </w:tcPr>
                          <w:p>
                            <w:pPr>
                              <w:pStyle w:val="TableContents"/>
                              <w:bidi w:val="0"/>
                              <w:spacing w:before="0" w:after="283"/>
                              <w:jc w:val="left"/>
                              <w:rPr>
                                <w:sz w:val="16"/>
                              </w:rPr>
                            </w:pPr>
                            <w:r>
                              <w:rPr>
                                <w:sz w:val="16"/>
                              </w:rPr>
                              <w:t>(final index value – initial index value) / initial index value</w:t>
                            </w:r>
                          </w:p>
                        </w:tc>
                      </w:tr>
                      <w:tr>
                        <w:trPr/>
                        <w:tc>
                          <w:tcPr>
                            <w:tcW w:w="173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index value:</w:t>
                            </w:r>
                          </w:p>
                        </w:tc>
                        <w:tc>
                          <w:tcPr>
                            <w:tcW w:w="8470" w:type="dxa"/>
                            <w:gridSpan w:val="2"/>
                            <w:tcBorders/>
                            <w:vAlign w:val="center"/>
                          </w:tcPr>
                          <w:p>
                            <w:pPr>
                              <w:pStyle w:val="TableContents"/>
                              <w:bidi w:val="0"/>
                              <w:spacing w:before="0" w:after="283"/>
                              <w:jc w:val="left"/>
                              <w:rPr>
                                <w:sz w:val="16"/>
                              </w:rPr>
                            </w:pPr>
                            <w:r>
                              <w:rPr>
                                <w:sz w:val="16"/>
                              </w:rPr>
                              <w:t>The closing level of the underlying index on the pricing date</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index value:</w:t>
                            </w:r>
                          </w:p>
                        </w:tc>
                        <w:tc>
                          <w:tcPr>
                            <w:tcW w:w="8470" w:type="dxa"/>
                            <w:gridSpan w:val="2"/>
                            <w:tcBorders/>
                            <w:shd w:fill="DEEAF6" w:val="clear"/>
                            <w:vAlign w:val="center"/>
                          </w:tcPr>
                          <w:p>
                            <w:pPr>
                              <w:pStyle w:val="TableContents"/>
                              <w:bidi w:val="0"/>
                              <w:spacing w:before="0" w:after="283"/>
                              <w:jc w:val="left"/>
                              <w:rPr>
                                <w:sz w:val="16"/>
                              </w:rPr>
                            </w:pPr>
                            <w:r>
                              <w:rPr>
                                <w:sz w:val="16"/>
                              </w:rPr>
                              <w:t>The closing level of the underlying index on the valuation date</w:t>
                            </w:r>
                          </w:p>
                        </w:tc>
                      </w:tr>
                      <w:tr>
                        <w:trPr/>
                        <w:tc>
                          <w:tcPr>
                            <w:tcW w:w="173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Leverage factor: </w:t>
                            </w:r>
                          </w:p>
                        </w:tc>
                        <w:tc>
                          <w:tcPr>
                            <w:tcW w:w="8470" w:type="dxa"/>
                            <w:gridSpan w:val="2"/>
                            <w:tcBorders/>
                            <w:vAlign w:val="center"/>
                          </w:tcPr>
                          <w:p>
                            <w:pPr>
                              <w:pStyle w:val="TableContents"/>
                              <w:bidi w:val="0"/>
                              <w:spacing w:before="0" w:after="283"/>
                              <w:jc w:val="left"/>
                              <w:rPr>
                                <w:sz w:val="16"/>
                              </w:rPr>
                            </w:pPr>
                            <w:r>
                              <w:rPr>
                                <w:sz w:val="16"/>
                              </w:rPr>
                              <w:t>150%</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index return:</w:t>
                            </w:r>
                          </w:p>
                        </w:tc>
                        <w:tc>
                          <w:tcPr>
                            <w:tcW w:w="8470" w:type="dxa"/>
                            <w:gridSpan w:val="2"/>
                            <w:tcBorders/>
                            <w:shd w:fill="DEEAF6" w:val="clear"/>
                            <w:vAlign w:val="center"/>
                          </w:tcPr>
                          <w:p>
                            <w:pPr>
                              <w:pStyle w:val="TableContents"/>
                              <w:bidi w:val="0"/>
                              <w:spacing w:before="0" w:after="283"/>
                              <w:jc w:val="left"/>
                              <w:rPr>
                                <w:sz w:val="16"/>
                              </w:rPr>
                            </w:pPr>
                            <w:r>
                              <w:rPr>
                                <w:sz w:val="16"/>
                              </w:rPr>
                              <w:t>The absolute value of the index percent change.  For example, a -5% index percent change will result in a +5% absolute index return.</w:t>
                            </w:r>
                          </w:p>
                        </w:tc>
                      </w:tr>
                      <w:tr>
                        <w:trPr/>
                        <w:tc>
                          <w:tcPr>
                            <w:tcW w:w="173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Buffer amount: </w:t>
                            </w:r>
                          </w:p>
                        </w:tc>
                        <w:tc>
                          <w:tcPr>
                            <w:tcW w:w="8470" w:type="dxa"/>
                            <w:gridSpan w:val="2"/>
                            <w:tcBorders/>
                            <w:vAlign w:val="center"/>
                          </w:tcPr>
                          <w:p>
                            <w:pPr>
                              <w:pStyle w:val="TableContents"/>
                              <w:bidi w:val="0"/>
                              <w:spacing w:before="0" w:after="283"/>
                              <w:jc w:val="left"/>
                              <w:rPr>
                                <w:sz w:val="16"/>
                              </w:rPr>
                            </w:pPr>
                            <w:r>
                              <w:rPr>
                                <w:sz w:val="16"/>
                              </w:rPr>
                              <w:t>10.00%</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performance factor:</w:t>
                            </w:r>
                          </w:p>
                        </w:tc>
                        <w:tc>
                          <w:tcPr>
                            <w:tcW w:w="8212" w:type="dxa"/>
                            <w:tcBorders/>
                            <w:shd w:fill="DEEAF6" w:val="clear"/>
                            <w:vAlign w:val="center"/>
                          </w:tcPr>
                          <w:p>
                            <w:pPr>
                              <w:pStyle w:val="TableContents"/>
                              <w:bidi w:val="0"/>
                              <w:spacing w:before="0" w:after="283"/>
                              <w:jc w:val="left"/>
                              <w:rPr>
                                <w:sz w:val="16"/>
                              </w:rPr>
                            </w:pPr>
                            <w:r>
                              <w:rPr>
                                <w:sz w:val="16"/>
                              </w:rPr>
                              <w:t>final index value / initial index value</w:t>
                            </w:r>
                          </w:p>
                        </w:tc>
                        <w:tc>
                          <w:tcPr>
                            <w:tcW w:w="258" w:type="dxa"/>
                            <w:tcBorders/>
                            <w:shd w:fill="DEEAF6" w:val="clear"/>
                            <w:vAlign w:val="center"/>
                          </w:tcPr>
                          <w:p>
                            <w:pPr>
                              <w:pStyle w:val="TableContents"/>
                              <w:bidi w:val="0"/>
                              <w:spacing w:before="0" w:after="283"/>
                              <w:jc w:val="left"/>
                              <w:rPr/>
                            </w:pPr>
                            <w:r>
                              <w:rPr/>
                              <w:t> </w:t>
                            </w:r>
                          </w:p>
                        </w:tc>
                      </w:tr>
                      <w:tr>
                        <w:trPr/>
                        <w:tc>
                          <w:tcPr>
                            <w:tcW w:w="173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Maximum upside payment at maturity:</w:t>
                            </w:r>
                          </w:p>
                        </w:tc>
                        <w:tc>
                          <w:tcPr>
                            <w:tcW w:w="8470" w:type="dxa"/>
                            <w:gridSpan w:val="2"/>
                            <w:tcBorders/>
                            <w:vAlign w:val="center"/>
                          </w:tcPr>
                          <w:p>
                            <w:pPr>
                              <w:pStyle w:val="TableContents"/>
                              <w:bidi w:val="0"/>
                              <w:spacing w:before="0" w:after="283"/>
                              <w:jc w:val="left"/>
                              <w:rPr>
                                <w:sz w:val="16"/>
                              </w:rPr>
                            </w:pPr>
                            <w:r>
                              <w:rPr>
                                <w:sz w:val="16"/>
                              </w:rPr>
                              <w:t>At least $1,210.00 (at least 121.00% of the stated principal amount) per Buffered PLUS</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Minimum payment at maturity:</w:t>
                            </w:r>
                          </w:p>
                        </w:tc>
                        <w:tc>
                          <w:tcPr>
                            <w:tcW w:w="8470" w:type="dxa"/>
                            <w:gridSpan w:val="2"/>
                            <w:tcBorders/>
                            <w:shd w:fill="DEEAF6" w:val="clear"/>
                            <w:vAlign w:val="center"/>
                          </w:tcPr>
                          <w:p>
                            <w:pPr>
                              <w:pStyle w:val="TableContents"/>
                              <w:bidi w:val="0"/>
                              <w:spacing w:before="0" w:after="283"/>
                              <w:jc w:val="left"/>
                              <w:rPr>
                                <w:sz w:val="16"/>
                              </w:rPr>
                            </w:pPr>
                            <w:r>
                              <w:rPr>
                                <w:sz w:val="16"/>
                              </w:rPr>
                              <w:t>$100.00 per Buffered PLUS (10.00% of the stated principal amount)</w:t>
                            </w:r>
                          </w:p>
                        </w:tc>
                      </w:tr>
                      <w:tr>
                        <w:trPr/>
                        <w:tc>
                          <w:tcPr>
                            <w:tcW w:w="173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470" w:type="dxa"/>
                            <w:gridSpan w:val="2"/>
                            <w:tcBorders/>
                            <w:vAlign w:val="center"/>
                          </w:tcPr>
                          <w:p>
                            <w:pPr>
                              <w:pStyle w:val="TableContents"/>
                              <w:bidi w:val="0"/>
                              <w:spacing w:before="0" w:after="283"/>
                              <w:jc w:val="left"/>
                              <w:rPr>
                                <w:sz w:val="16"/>
                              </w:rPr>
                            </w:pPr>
                            <w:r>
                              <w:rPr>
                                <w:sz w:val="16"/>
                              </w:rPr>
                              <w:t>$1,000 per Buffered PLUS</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470" w:type="dxa"/>
                            <w:gridSpan w:val="2"/>
                            <w:tcBorders/>
                            <w:shd w:fill="DEEAF6" w:val="clear"/>
                            <w:vAlign w:val="center"/>
                          </w:tcPr>
                          <w:p>
                            <w:pPr>
                              <w:pStyle w:val="TableContents"/>
                              <w:bidi w:val="0"/>
                              <w:spacing w:before="0" w:after="283"/>
                              <w:jc w:val="left"/>
                              <w:rPr>
                                <w:sz w:val="16"/>
                              </w:rPr>
                            </w:pPr>
                            <w:r>
                              <w:rPr>
                                <w:sz w:val="16"/>
                              </w:rPr>
                              <w:t>$1,000 per Buffered PLUS</w:t>
                            </w:r>
                          </w:p>
                        </w:tc>
                      </w:tr>
                      <w:tr>
                        <w:trPr/>
                        <w:tc>
                          <w:tcPr>
                            <w:tcW w:w="173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470" w:type="dxa"/>
                            <w:gridSpan w:val="2"/>
                            <w:tcBorders/>
                            <w:vAlign w:val="center"/>
                          </w:tcPr>
                          <w:p>
                            <w:pPr>
                              <w:pStyle w:val="TableContents"/>
                              <w:bidi w:val="0"/>
                              <w:spacing w:before="0" w:after="283"/>
                              <w:jc w:val="both"/>
                              <w:rPr>
                                <w:sz w:val="16"/>
                              </w:rPr>
                            </w:pPr>
                            <w:r>
                              <w:rPr>
                                <w:sz w:val="16"/>
                              </w:rPr>
                              <w:t>Expected to be October 16, 2026</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470" w:type="dxa"/>
                            <w:gridSpan w:val="2"/>
                            <w:tcBorders/>
                            <w:shd w:fill="DEEAF6" w:val="clear"/>
                            <w:vAlign w:val="center"/>
                          </w:tcPr>
                          <w:p>
                            <w:pPr>
                              <w:pStyle w:val="TableContents"/>
                              <w:bidi w:val="0"/>
                              <w:spacing w:before="0" w:after="283"/>
                              <w:jc w:val="left"/>
                              <w:rPr>
                                <w:sz w:val="16"/>
                              </w:rPr>
                            </w:pPr>
                            <w:r>
                              <w:rPr>
                                <w:sz w:val="16"/>
                              </w:rPr>
                              <w:t>3 business days after the pricing date</w:t>
                            </w:r>
                          </w:p>
                        </w:tc>
                      </w:tr>
                      <w:tr>
                        <w:trPr/>
                        <w:tc>
                          <w:tcPr>
                            <w:tcW w:w="173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70" w:type="dxa"/>
                            <w:gridSpan w:val="2"/>
                            <w:tcBorders/>
                            <w:vAlign w:val="center"/>
                          </w:tcPr>
                          <w:p>
                            <w:pPr>
                              <w:pStyle w:val="TableContents"/>
                              <w:bidi w:val="0"/>
                              <w:spacing w:before="0" w:after="283"/>
                              <w:jc w:val="left"/>
                              <w:rPr>
                                <w:sz w:val="16"/>
                              </w:rPr>
                            </w:pPr>
                            <w:r>
                              <w:rPr>
                                <w:sz w:val="16"/>
                              </w:rPr>
                              <w:t>October 31, 2028</w:t>
                            </w:r>
                          </w:p>
                        </w:tc>
                      </w:tr>
                      <w:tr>
                        <w:trPr/>
                        <w:tc>
                          <w:tcPr>
                            <w:tcW w:w="1735" w:type="dxa"/>
                            <w:tcBorders/>
                            <w:shd w:fill="DEEAF6"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470" w:type="dxa"/>
                            <w:gridSpan w:val="2"/>
                            <w:tcBorders/>
                            <w:shd w:fill="DEEAF6" w:val="clear"/>
                            <w:vAlign w:val="center"/>
                          </w:tcPr>
                          <w:p>
                            <w:pPr>
                              <w:pStyle w:val="TableContents"/>
                              <w:bidi w:val="0"/>
                              <w:spacing w:before="0" w:after="283"/>
                              <w:jc w:val="left"/>
                              <w:rPr>
                                <w:sz w:val="16"/>
                              </w:rPr>
                            </w:pPr>
                            <w:r>
                              <w:rPr>
                                <w:sz w:val="16"/>
                              </w:rPr>
                              <w:t>November 3, 2028</w:t>
                            </w:r>
                          </w:p>
                        </w:tc>
                      </w:tr>
                      <w:tr>
                        <w:trPr/>
                        <w:tc>
                          <w:tcPr>
                            <w:tcW w:w="1735" w:type="dxa"/>
                            <w:tcBorders/>
                            <w:vAlign w:val="center"/>
                          </w:tcPr>
                          <w:p>
                            <w:pPr>
                              <w:pStyle w:val="TableContents"/>
                              <w:bidi w:val="0"/>
                              <w:spacing w:before="0" w:after="283"/>
                              <w:jc w:val="left"/>
                              <w:rPr>
                                <w:b/>
                                <w:color w:val="296DC1"/>
                                <w:sz w:val="16"/>
                              </w:rPr>
                            </w:pPr>
                            <w:r>
                              <w:rPr>
                                <w:b/>
                                <w:color w:val="296DC1"/>
                                <w:sz w:val="16"/>
                              </w:rPr>
                              <w:t>CUSIP / ISIN:</w:t>
                            </w:r>
                          </w:p>
                        </w:tc>
                        <w:tc>
                          <w:tcPr>
                            <w:tcW w:w="8470" w:type="dxa"/>
                            <w:gridSpan w:val="2"/>
                            <w:tcBorders/>
                            <w:vAlign w:val="center"/>
                          </w:tcPr>
                          <w:p>
                            <w:pPr>
                              <w:pStyle w:val="TableContents"/>
                              <w:bidi w:val="0"/>
                              <w:spacing w:before="0" w:after="283"/>
                              <w:jc w:val="left"/>
                              <w:rPr>
                                <w:sz w:val="16"/>
                              </w:rPr>
                            </w:pPr>
                            <w:r>
                              <w:rPr>
                                <w:sz w:val="16"/>
                              </w:rPr>
                              <w:t>46661PDD6 / US46661PDD69</w:t>
                            </w:r>
                          </w:p>
                        </w:tc>
                      </w:tr>
                      <w:tr>
                        <w:trPr/>
                        <w:tc>
                          <w:tcPr>
                            <w:tcW w:w="1735" w:type="dxa"/>
                            <w:tcBorders/>
                            <w:shd w:fill="DEEAF6"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470" w:type="dxa"/>
                            <w:gridSpan w:val="2"/>
                            <w:tcBorders/>
                            <w:shd w:fill="DEEAF6" w:val="clear"/>
                            <w:vAlign w:val="center"/>
                          </w:tcPr>
                          <w:p>
                            <w:pPr>
                              <w:pStyle w:val="TableContents"/>
                              <w:bidi w:val="0"/>
                              <w:spacing w:before="0" w:after="283"/>
                              <w:jc w:val="left"/>
                              <w:rPr/>
                            </w:pPr>
                            <w:hyperlink r:id="rId3">
                              <w:r>
                                <w:rPr>
                                  <w:rStyle w:val="InternetLink"/>
                                  <w:sz w:val="16"/>
                                </w:rPr>
                                <w:t>http://www.sec.gov/Archives/edgar/data/19617/</w:t>
                                <w:br/>
                                <w:t>000121390026103861/ea0306855-01_424b2.htm</w:t>
                              </w:r>
                            </w:hyperlink>
                          </w:p>
                        </w:tc>
                      </w:tr>
                    </w:tbl>
                    <w:p>
                      <w:pPr>
                        <w:pStyle w:val="TextBody"/>
                        <w:bidi w:val="0"/>
                        <w:spacing w:before="0" w:after="40"/>
                        <w:ind w:left="360"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Buffered PLUS on the pricing date will be provided in the pricing supplement and will not be less than $940.00 per $1,000 stated principal amount Buffered PLUS.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information about the estimated value of the Buffered PLUS, which likely will be lower than the price you paid for the Buffered PLUS, please see the hyperlink above.</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Buffered PLUS is subject to the credit risk of JPMorgan Financial, as issuer of the Buffered PLUS, and the credit risk of JPMorgan Chase &amp; Co., as guarantor of the Buffered PLUS.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4352925" cy="26003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352925" cy="26003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4105" w:type="dxa"/>
                              <w:jc w:val="center"/>
                              <w:tblInd w:w="0" w:type="dxa"/>
                              <w:tblLayout w:type="fixed"/>
                              <w:tblCellMar>
                                <w:top w:w="0" w:type="dxa"/>
                                <w:left w:w="0" w:type="dxa"/>
                                <w:bottom w:w="0" w:type="dxa"/>
                                <w:right w:w="0" w:type="dxa"/>
                              </w:tblCellMar>
                            </w:tblPr>
                            <w:tblGrid>
                              <w:gridCol w:w="2240"/>
                              <w:gridCol w:w="1865"/>
                            </w:tblGrid>
                            <w:tr>
                              <w:trPr/>
                              <w:tc>
                                <w:tcPr>
                                  <w:tcW w:w="224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186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Buffered</w:t>
                                    <w:br/>
                                    <w:t>PLUS*</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-90.00%</w:t>
                                  </w:r>
                                </w:p>
                              </w:tc>
                            </w:tr>
                          </w:tbl>
                          <w:p>
                            <w:pPr>
                              <w:pStyle w:val="TextBody"/>
                              <w:bidi w:val="0"/>
                              <w:spacing w:before="80" w:after="80"/>
                              <w:ind w:left="80" w:right="8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hypothetical maximum upside payment at maturity of 121.00% of the stated principal amount</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information about the estimated value of the Buffered PLUS, which likely will be lower than the price you paid for the Buffered PLUS, please see the hyperlink above.</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Buffered PLUS is subject to the credit risk of JPMorgan Financial, as issuer of the Buffered PLUS, and the credit risk of JPMorgan Chase &amp; Co., as guarantor of the Buffered PLUS.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4352925" cy="2600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352925" cy="26003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4105" w:type="dxa"/>
                        <w:jc w:val="center"/>
                        <w:tblInd w:w="0" w:type="dxa"/>
                        <w:tblLayout w:type="fixed"/>
                        <w:tblCellMar>
                          <w:top w:w="0" w:type="dxa"/>
                          <w:left w:w="0" w:type="dxa"/>
                          <w:bottom w:w="0" w:type="dxa"/>
                          <w:right w:w="0" w:type="dxa"/>
                        </w:tblCellMar>
                      </w:tblPr>
                      <w:tblGrid>
                        <w:gridCol w:w="2240"/>
                        <w:gridCol w:w="1865"/>
                      </w:tblGrid>
                      <w:tr>
                        <w:trPr/>
                        <w:tc>
                          <w:tcPr>
                            <w:tcW w:w="224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186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Buffered</w:t>
                              <w:br/>
                              <w:t>PLUS*</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2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86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w:t>
                            </w:r>
                          </w:p>
                        </w:tc>
                      </w:tr>
                      <w:tr>
                        <w:trPr/>
                        <w:tc>
                          <w:tcPr>
                            <w:tcW w:w="22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86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-90.00%</w:t>
                            </w:r>
                          </w:p>
                        </w:tc>
                      </w:tr>
                    </w:tbl>
                    <w:p>
                      <w:pPr>
                        <w:pStyle w:val="TextBody"/>
                        <w:bidi w:val="0"/>
                        <w:spacing w:before="80" w:after="80"/>
                        <w:ind w:left="80" w:right="8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*Assumes a hypothetical maximum upside payment at maturity of 121.00% of the stated principal amount</w:t>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24.5-Month SPX Dual Directional Buffered PLUS</w:t>
      </w:r>
    </w:p>
    <w:p>
      <w:pPr>
        <w:pStyle w:val="TextBody"/>
        <w:bidi w:val="0"/>
        <w:spacing w:before="20" w:after="40"/>
        <w:ind w:left="20" w:right="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60" w:after="60"/>
        <w:ind w:left="60" w:right="6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Buffered PLUS Generally</w:t>
      </w:r>
    </w:p>
    <w:tbl>
      <w:tblPr>
        <w:tblW w:w="5000" w:type="pct"/>
        <w:jc w:val="left"/>
        <w:tblInd w:w="0" w:type="dxa"/>
        <w:tblLayout w:type="fixed"/>
        <w:tblCellMar>
          <w:top w:w="0" w:type="dxa"/>
          <w:left w:w="0" w:type="dxa"/>
          <w:bottom w:w="0" w:type="dxa"/>
          <w:right w:w="0" w:type="dxa"/>
        </w:tblCellMar>
      </w:tblPr>
      <w:tblGrid>
        <w:gridCol w:w="54"/>
        <w:gridCol w:w="177"/>
        <w:gridCol w:w="9974"/>
      </w:tblGrid>
      <w:tr>
        <w:trPr/>
        <w:tc>
          <w:tcPr>
            <w:tcW w:w="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 xml:space="preserve">Buffered PLUS do not pay interest and you could lose up to 90.00% of your principal at maturity.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appreciation potential of the Buffered PLUS if the underlying index has appreciated is limited by the maximum upside payment at maturity.  </w:t>
            </w:r>
          </w:p>
        </w:tc>
      </w:tr>
    </w:tbl>
    <w:tbl>
      <w:tblPr>
        <w:tblW w:w="5000" w:type="pct"/>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4" w:type="dxa"/>
            <w:tcBorders/>
            <w:vAlign w:val="center"/>
          </w:tcPr>
          <w:p>
            <w:pPr>
              <w:pStyle w:val="TableContents"/>
              <w:bidi w:val="0"/>
              <w:spacing w:before="0" w:after="283"/>
              <w:jc w:val="left"/>
              <w:rPr>
                <w:sz w:val="18"/>
              </w:rPr>
            </w:pPr>
            <w:r>
              <w:rPr>
                <w:sz w:val="18"/>
              </w:rPr>
              <w:t>Your maximum downside gain on the Buffered PLUS is limited by the buffer amount.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2" w:type="dxa"/>
            <w:tcBorders/>
            <w:vAlign w:val="center"/>
          </w:tcPr>
          <w:p>
            <w:pPr>
              <w:pStyle w:val="TableContents"/>
              <w:bidi w:val="0"/>
              <w:spacing w:before="0" w:after="283"/>
              <w:jc w:val="left"/>
              <w:rPr>
                <w:sz w:val="18"/>
              </w:rPr>
            </w:pPr>
            <w:r>
              <w:rPr>
                <w:sz w:val="18"/>
              </w:rPr>
              <w:t>The Buffered PLUS are subject to the credit risks of JPMorgan Financial and JPMorgan Chase &amp; Co., and any actual or anticipated changes to our or JPMorgan Chase &amp; Co.’s credit ratings or credit spreads may adversely affect the market value of the Buffered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8" w:type="dxa"/>
            <w:tcBorders/>
            <w:vAlign w:val="center"/>
          </w:tcPr>
          <w:p>
            <w:pPr>
              <w:pStyle w:val="TableContents"/>
              <w:bidi w:val="0"/>
              <w:spacing w:before="0" w:after="283"/>
              <w:jc w:val="left"/>
              <w:rPr>
                <w:sz w:val="18"/>
              </w:rPr>
            </w:pPr>
            <w:r>
              <w:rPr>
                <w:sz w:val="18"/>
              </w:rPr>
              <w:t>The final terms and estimated valuation of the Buffered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69"/>
        <w:gridCol w:w="230"/>
        <w:gridCol w:w="9906"/>
      </w:tblGrid>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6" w:type="dxa"/>
            <w:tcBorders/>
            <w:vAlign w:val="center"/>
          </w:tcPr>
          <w:p>
            <w:pPr>
              <w:pStyle w:val="TableContents"/>
              <w:bidi w:val="0"/>
              <w:spacing w:before="0" w:after="283"/>
              <w:jc w:val="left"/>
              <w:rPr>
                <w:sz w:val="18"/>
              </w:rPr>
            </w:pPr>
            <w:r>
              <w:rPr>
                <w:sz w:val="18"/>
              </w:rPr>
              <w:t>The tax consequences of an investment in the Buffered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Buffered PLUS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6"/>
        <w:gridCol w:w="151"/>
        <w:gridCol w:w="10008"/>
      </w:tblGrid>
      <w:tr>
        <w:trPr/>
        <w:tc>
          <w:tcPr>
            <w:tcW w:w="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8"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Buffered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Buffered PLUS</w:t>
      </w:r>
    </w:p>
    <w:tbl>
      <w:tblPr>
        <w:tblW w:w="9018" w:type="dxa"/>
        <w:jc w:val="left"/>
        <w:tblInd w:w="0" w:type="dxa"/>
        <w:tblLayout w:type="fixed"/>
        <w:tblCellMar>
          <w:top w:w="0" w:type="dxa"/>
          <w:left w:w="0" w:type="dxa"/>
          <w:bottom w:w="0" w:type="dxa"/>
          <w:right w:w="0" w:type="dxa"/>
        </w:tblCellMar>
      </w:tblPr>
      <w:tblGrid>
        <w:gridCol w:w="38"/>
        <w:gridCol w:w="125"/>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855" w:type="dxa"/>
            <w:tcBorders/>
            <w:vAlign w:val="center"/>
          </w:tcPr>
          <w:p>
            <w:pPr>
              <w:pStyle w:val="TableContents"/>
              <w:bidi w:val="0"/>
              <w:spacing w:before="0" w:after="283"/>
              <w:jc w:val="both"/>
              <w:rPr/>
            </w:pPr>
            <w:r>
              <w:rPr>
                <w:sz w:val="18"/>
              </w:rPr>
              <w:t>The estimated value of the Buffered PLUS will be lower than the original issue price (price to public) of the Buffered PLUS</w:t>
            </w:r>
            <w:r>
              <w:rPr/>
              <w:t>.</w:t>
            </w:r>
          </w:p>
        </w:tc>
      </w:tr>
    </w:tbl>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37" w:type="dxa"/>
            <w:tcBorders/>
            <w:vAlign w:val="center"/>
          </w:tcPr>
          <w:p>
            <w:pPr>
              <w:pStyle w:val="TableContents"/>
              <w:bidi w:val="0"/>
              <w:spacing w:before="0" w:after="283"/>
              <w:jc w:val="left"/>
              <w:rPr>
                <w:sz w:val="18"/>
              </w:rPr>
            </w:pPr>
            <w:r>
              <w:rPr>
                <w:sz w:val="18"/>
              </w:rPr>
              <w:t>The estimated value of the Buffered PLUS does not represent future values of the Buffered PLUS and may differ from others’ estimates.</w:t>
            </w:r>
          </w:p>
        </w:tc>
      </w:tr>
    </w:tbl>
    <w:tbl>
      <w:tblPr>
        <w:tblW w:w="5000" w:type="pct"/>
        <w:jc w:val="left"/>
        <w:tblInd w:w="0" w:type="dxa"/>
        <w:tblLayout w:type="fixed"/>
        <w:tblCellMar>
          <w:top w:w="0" w:type="dxa"/>
          <w:left w:w="0" w:type="dxa"/>
          <w:bottom w:w="0" w:type="dxa"/>
          <w:right w:w="0" w:type="dxa"/>
        </w:tblCellMar>
      </w:tblPr>
      <w:tblGrid>
        <w:gridCol w:w="57"/>
        <w:gridCol w:w="188"/>
        <w:gridCol w:w="9960"/>
      </w:tblGrid>
      <w:tr>
        <w:trPr/>
        <w:tc>
          <w:tcPr>
            <w:tcW w:w="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0" w:type="dxa"/>
            <w:tcBorders/>
            <w:vAlign w:val="center"/>
          </w:tcPr>
          <w:p>
            <w:pPr>
              <w:pStyle w:val="TableContents"/>
              <w:bidi w:val="0"/>
              <w:spacing w:before="0" w:after="283"/>
              <w:jc w:val="left"/>
              <w:rPr>
                <w:sz w:val="18"/>
              </w:rPr>
            </w:pPr>
            <w:r>
              <w:rPr>
                <w:sz w:val="18"/>
              </w:rPr>
              <w:t>The estimated value of the Buffered PLUS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pPr>
            <w:r>
              <w:rPr>
                <w:sz w:val="18"/>
              </w:rPr>
              <w:t>The value of the Buffered PLUS as published by J.P. Morgan Securities LLC (and which may be reflected on customer account statements) may be higher than the then-current estimated value of the Buffered PLUS for a limited time period</w:t>
            </w:r>
            <w:r>
              <w:rPr/>
              <w:t>.</w:t>
            </w:r>
          </w:p>
        </w:tc>
      </w:tr>
    </w:tbl>
    <w:tbl>
      <w:tblPr>
        <w:tblW w:w="8628" w:type="dxa"/>
        <w:jc w:val="left"/>
        <w:tblInd w:w="0" w:type="dxa"/>
        <w:tblLayout w:type="fixed"/>
        <w:tblCellMar>
          <w:top w:w="0" w:type="dxa"/>
          <w:left w:w="0" w:type="dxa"/>
          <w:bottom w:w="0" w:type="dxa"/>
          <w:right w:w="0" w:type="dxa"/>
        </w:tblCellMar>
      </w:tblPr>
      <w:tblGrid>
        <w:gridCol w:w="38"/>
        <w:gridCol w:w="125"/>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465" w:type="dxa"/>
            <w:tcBorders/>
            <w:vAlign w:val="center"/>
          </w:tcPr>
          <w:p>
            <w:pPr>
              <w:pStyle w:val="TableContents"/>
              <w:bidi w:val="0"/>
              <w:spacing w:before="0" w:after="283"/>
              <w:jc w:val="both"/>
              <w:rPr/>
            </w:pPr>
            <w:r>
              <w:rPr>
                <w:sz w:val="18"/>
              </w:rPr>
              <w:t>Secondary market prices of the Buffered PLUS will likely be lower than the original issue price of the Buffered PLUS</w:t>
            </w:r>
            <w:r>
              <w:rPr/>
              <w:t>.</w:t>
            </w:r>
          </w:p>
        </w:tc>
      </w:tr>
    </w:tbl>
    <w:tbl>
      <w:tblPr>
        <w:tblW w:w="7533" w:type="dxa"/>
        <w:jc w:val="left"/>
        <w:tblInd w:w="0" w:type="dxa"/>
        <w:tblLayout w:type="fixed"/>
        <w:tblCellMar>
          <w:top w:w="0" w:type="dxa"/>
          <w:left w:w="0" w:type="dxa"/>
          <w:bottom w:w="0" w:type="dxa"/>
          <w:right w:w="0" w:type="dxa"/>
        </w:tblCellMar>
      </w:tblPr>
      <w:tblGrid>
        <w:gridCol w:w="38"/>
        <w:gridCol w:w="125"/>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7370" w:type="dxa"/>
            <w:tcBorders/>
            <w:vAlign w:val="center"/>
          </w:tcPr>
          <w:p>
            <w:pPr>
              <w:pStyle w:val="TableContents"/>
              <w:bidi w:val="0"/>
              <w:spacing w:before="0" w:after="283"/>
              <w:jc w:val="both"/>
              <w:rPr>
                <w:sz w:val="18"/>
              </w:rPr>
            </w:pPr>
            <w:r>
              <w:rPr>
                <w:sz w:val="18"/>
              </w:rPr>
              <w:t>Secondary market prices of the Buffered 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JPMorgan Chase &amp; Co. is currently one of the companies that make up the underlying index.</w:t>
            </w:r>
          </w:p>
        </w:tc>
      </w:tr>
    </w:tbl>
    <w:tbl>
      <w:tblPr>
        <w:tblW w:w="5000" w:type="pct"/>
        <w:jc w:val="left"/>
        <w:tblInd w:w="0" w:type="dxa"/>
        <w:tblLayout w:type="fixed"/>
        <w:tblCellMar>
          <w:top w:w="0" w:type="dxa"/>
          <w:left w:w="0" w:type="dxa"/>
          <w:bottom w:w="0" w:type="dxa"/>
          <w:right w:w="0" w:type="dxa"/>
        </w:tblCellMar>
      </w:tblPr>
      <w:tblGrid>
        <w:gridCol w:w="56"/>
        <w:gridCol w:w="184"/>
        <w:gridCol w:w="9965"/>
      </w:tblGrid>
      <w:tr>
        <w:trPr/>
        <w:tc>
          <w:tcPr>
            <w:tcW w:w="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65" w:type="dxa"/>
            <w:tcBorders/>
            <w:vAlign w:val="center"/>
          </w:tcPr>
          <w:p>
            <w:pPr>
              <w:pStyle w:val="TableContents"/>
              <w:bidi w:val="0"/>
              <w:spacing w:before="0" w:after="283"/>
              <w:jc w:val="left"/>
              <w:rPr/>
            </w:pPr>
            <w:r>
              <w:rPr>
                <w:rFonts w:ascii="Arial;Helvetica;Sans-Serif" w:hAnsi="Arial;Helvetica;Sans-Serif"/>
                <w:b w:val="false"/>
                <w:sz w:val="18"/>
              </w:rPr>
              <w:t xml:space="preserve">Investing in the </w:t>
            </w:r>
            <w:r>
              <w:rPr>
                <w:sz w:val="18"/>
              </w:rPr>
              <w:t xml:space="preserve">Buffered PLUS </w:t>
            </w:r>
            <w:r>
              <w:rPr>
                <w:rFonts w:ascii="Arial;Helvetica;Sans-Serif" w:hAnsi="Arial;Helvetica;Sans-Serif"/>
                <w:b w:val="false"/>
                <w:sz w:val="18"/>
              </w:rPr>
              <w:t>is not equivalent to investing in the underlying index.</w:t>
            </w:r>
          </w:p>
        </w:tc>
      </w:tr>
    </w:tbl>
    <w:tbl>
      <w:tblPr>
        <w:tblW w:w="5000" w:type="pct"/>
        <w:jc w:val="left"/>
        <w:tblInd w:w="0" w:type="dxa"/>
        <w:tblLayout w:type="fixed"/>
        <w:tblCellMar>
          <w:top w:w="0" w:type="dxa"/>
          <w:left w:w="0" w:type="dxa"/>
          <w:bottom w:w="0" w:type="dxa"/>
          <w:right w:w="0" w:type="dxa"/>
        </w:tblCellMar>
      </w:tblPr>
      <w:tblGrid>
        <w:gridCol w:w="52"/>
        <w:gridCol w:w="171"/>
        <w:gridCol w:w="9982"/>
      </w:tblGrid>
      <w:tr>
        <w:trPr/>
        <w:tc>
          <w:tcPr>
            <w:tcW w:w="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2" w:type="dxa"/>
            <w:tcBorders/>
            <w:vAlign w:val="center"/>
          </w:tcPr>
          <w:p>
            <w:pPr>
              <w:pStyle w:val="TableContents"/>
              <w:bidi w:val="0"/>
              <w:spacing w:before="0" w:after="283"/>
              <w:jc w:val="left"/>
              <w:rPr/>
            </w:pPr>
            <w:r>
              <w:rPr>
                <w:rFonts w:ascii="Arial;Helvetica;Sans-Serif" w:hAnsi="Arial;Helvetica;Sans-Serif"/>
                <w:b w:val="false"/>
                <w:sz w:val="18"/>
              </w:rPr>
              <w:t xml:space="preserve">Adjustments to the underlying index could adversely affect the value of the </w:t>
            </w:r>
            <w:r>
              <w:rPr>
                <w:sz w:val="18"/>
              </w:rPr>
              <w:t>Buffered PLUS</w:t>
            </w:r>
            <w:r>
              <w:rPr>
                <w:rFonts w:ascii="Arial;Helvetica;Sans-Serif" w:hAnsi="Arial;Helvetica;Sans-Serif"/>
                <w:b w:val="false"/>
                <w:sz w:val="18"/>
              </w:rPr>
              <w:t>.</w:t>
            </w:r>
          </w:p>
        </w:tc>
      </w:tr>
    </w:tbl>
    <w:p>
      <w:pPr>
        <w:pStyle w:val="TextBody"/>
        <w:bidi w:val="0"/>
        <w:spacing w:before="0" w:after="6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Buffered PLUS — Tax considerations” concerning the U.S. federal income tax consequences of an investment in the Buffered PLUS, and you should consult your tax adviser.</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36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3861/ea0306855-01_424b2.htm" TargetMode="External"/><Relationship Id="rId3" Type="http://schemas.openxmlformats.org/officeDocument/2006/relationships/hyperlink" Target="http://www.sec.gov/Archives/edgar/data/19617/000121390026103861/ea0306855-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1369</Words>
  <Characters>7369</Characters>
  <CharactersWithSpaces>8613</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