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4222-01_fwp.htm"/>
      <w:bookmarkStart w:id="1" w:name="ksea030422201_fwp"/>
      <w:bookmarkStart w:id="2" w:name="ea0304222-01_fwp.htm"/>
      <w:bookmarkStart w:id="3" w:name="ksea030422201_fwp"/>
      <w:bookmarkEnd w:id="2"/>
      <w:bookmarkEnd w:id="3"/>
    </w:p>
    <w:tbl>
      <w:tblPr>
        <w:tblW w:w="10205" w:type="dxa"/>
        <w:jc w:val="left"/>
        <w:tblInd w:w="0" w:type="dxa"/>
        <w:tblLayout w:type="fixed"/>
        <w:tblCellMar>
          <w:top w:w="0" w:type="dxa"/>
          <w:left w:w="0" w:type="dxa"/>
          <w:bottom w:w="0" w:type="dxa"/>
          <w:right w:w="0" w:type="dxa"/>
        </w:tblCellMar>
      </w:tblPr>
      <w:tblGrid>
        <w:gridCol w:w="6132"/>
        <w:gridCol w:w="4073"/>
      </w:tblGrid>
      <w:tr>
        <w:trPr/>
        <w:tc>
          <w:tcPr>
            <w:tcW w:w="6132" w:type="dxa"/>
            <w:vMerge w:val="restart"/>
            <w:tcBorders/>
            <w:vAlign w:val="center"/>
          </w:tcPr>
          <w:p>
            <w:pPr>
              <w:pStyle w:val="TableContents"/>
              <w:bidi w:val="0"/>
              <w:spacing w:before="0" w:after="60"/>
              <w:jc w:val="left"/>
              <w:rPr>
                <w:rFonts w:ascii="Verdana;Helvetica;Sans-Serif" w:hAnsi="Verdana;Helvetica;Sans-Serif"/>
                <w:b/>
                <w:i w:val="false"/>
                <w:caps w:val="false"/>
                <w:smallCaps w:val="false"/>
                <w:color w:val="BB0826"/>
                <w:sz w:val="32"/>
              </w:rPr>
            </w:pPr>
            <w:r>
              <w:rPr>
                <w:rFonts w:ascii="Verdana;Helvetica;Sans-Serif" w:hAnsi="Verdana;Helvetica;Sans-Serif"/>
                <w:b/>
                <w:i w:val="false"/>
                <w:caps w:val="false"/>
                <w:smallCaps w:val="false"/>
                <w:color w:val="BB0826"/>
                <w:sz w:val="32"/>
              </w:rPr>
              <w:t>JPMorgan Chase Financial Company LLC</w:t>
            </w:r>
          </w:p>
          <w:p>
            <w:pPr>
              <w:pStyle w:val="TableContents"/>
              <w:bidi w:val="0"/>
              <w:spacing w:before="0" w:after="60"/>
              <w:jc w:val="both"/>
              <w:rPr>
                <w:rFonts w:ascii="Verdana;Helvetica;Sans-Serif" w:hAnsi="Verdana;Helvetica;Sans-Serif"/>
                <w:b/>
                <w:i/>
                <w:caps w:val="false"/>
                <w:smallCaps w:val="false"/>
                <w:color w:val="BB0826"/>
                <w:sz w:val="20"/>
              </w:rPr>
            </w:pPr>
            <w:r>
              <w:rPr>
                <w:rFonts w:ascii="Verdana;Helvetica;Sans-Serif" w:hAnsi="Verdana;Helvetica;Sans-Serif"/>
                <w:b/>
                <w:i/>
                <w:caps w:val="false"/>
                <w:smallCaps w:val="false"/>
                <w:color w:val="BB0826"/>
                <w:sz w:val="20"/>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4"/>
              </w:rPr>
            </w:pPr>
            <w:r>
              <w:rPr>
                <w:rFonts w:ascii="Verdana;Helvetica;Sans-Serif" w:hAnsi="Verdana;Helvetica;Sans-Serif"/>
                <w:b/>
                <w:i w:val="false"/>
                <w:caps w:val="false"/>
                <w:smallCaps w:val="false"/>
                <w:color w:val="BB0826"/>
                <w:sz w:val="24"/>
              </w:rPr>
              <w:t>Market Linked Securities</w:t>
            </w:r>
          </w:p>
        </w:tc>
        <w:tc>
          <w:tcPr>
            <w:tcW w:w="4073" w:type="dxa"/>
            <w:tcBorders/>
            <w:vAlign w:val="center"/>
          </w:tcPr>
          <w:p>
            <w:pPr>
              <w:pStyle w:val="TableContents"/>
              <w:bidi w:val="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spacing w:before="0" w:after="283"/>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Registration Statement Nos. 333-293684 and 333-293684-01</w:t>
            </w:r>
          </w:p>
        </w:tc>
      </w:tr>
      <w:tr>
        <w:trPr/>
        <w:tc>
          <w:tcPr>
            <w:tcW w:w="6132" w:type="dxa"/>
            <w:vMerge w:val="continue"/>
            <w:tcBorders/>
            <w:vAlign w:val="center"/>
          </w:tcPr>
          <w:p>
            <w:pPr>
              <w:pStyle w:val="Normal"/>
              <w:bidi w:val="0"/>
              <w:jc w:val="left"/>
              <w:rPr/>
            </w:pPr>
            <w:r>
              <w:rPr/>
            </w:r>
          </w:p>
        </w:tc>
        <w:tc>
          <w:tcPr>
            <w:tcW w:w="4073" w:type="dxa"/>
            <w:tcBorders/>
            <w:vAlign w:val="center"/>
          </w:tcPr>
          <w:p>
            <w:pPr>
              <w:pStyle w:val="TableContents"/>
              <w:bidi w:val="0"/>
              <w:spacing w:before="0" w:after="283"/>
              <w:jc w:val="right"/>
              <w:rPr>
                <w:caps w:val="false"/>
                <w:smallCaps w:val="false"/>
              </w:rPr>
            </w:pPr>
            <w:r>
              <w:rPr>
                <w:caps w:val="false"/>
                <w:smallCaps w:val="false"/>
              </w:rPr>
              <w:drawing>
                <wp:inline distT="0" distB="0" distL="0" distR="0">
                  <wp:extent cx="1524000" cy="40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0" cy="400050"/>
                          </a:xfrm>
                          <a:prstGeom prst="rect">
                            <a:avLst/>
                          </a:prstGeom>
                        </pic:spPr>
                      </pic:pic>
                    </a:graphicData>
                  </a:graphic>
                </wp:inline>
              </w:drawing>
            </w:r>
          </w:p>
        </w:tc>
      </w:tr>
      <w:tr>
        <w:trPr/>
        <w:tc>
          <w:tcPr>
            <w:tcW w:w="10205" w:type="dxa"/>
            <w:gridSpan w:val="2"/>
            <w:tcBorders/>
            <w:shd w:fill="8F8F8F" w:val="clear"/>
            <w:vAlign w:val="center"/>
          </w:tcPr>
          <w:p>
            <w:pPr>
              <w:pStyle w:val="TableContents"/>
              <w:bidi w:val="0"/>
              <w:spacing w:before="120" w:after="60"/>
              <w:ind w:left="120" w:right="1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Market Linked Securities — Contingent Fixed Return and Contingent Downside</w:t>
            </w:r>
          </w:p>
          <w:p>
            <w:pPr>
              <w:pStyle w:val="TableContents"/>
              <w:bidi w:val="0"/>
              <w:spacing w:before="0" w:after="6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Principal at Risk Securities Linked to the Class A Common Stock of Bloom Energy Corporation due September 16, 2027</w:t>
            </w:r>
          </w:p>
          <w:p>
            <w:pPr>
              <w:pStyle w:val="TableContents"/>
              <w:bidi w:val="0"/>
              <w:spacing w:before="0" w:after="12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Fact Sheet dated September 1, 2026 to Preliminary Pricing Supplement dated August 31, 2026</w:t>
            </w:r>
          </w:p>
        </w:tc>
      </w:tr>
    </w:tbl>
    <w:p>
      <w:pPr>
        <w:pStyle w:val="TextBody"/>
        <w:bidi w:val="0"/>
        <w:spacing w:before="60" w:after="60"/>
        <w:ind w:left="0" w:right="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10230" cy="9043670"/>
                <wp:effectExtent l="0" t="0" r="0" b="0"/>
                <wp:wrapSquare wrapText="right"/>
                <wp:docPr id="2" name="Frame1"/>
                <a:graphic xmlns:a="http://schemas.openxmlformats.org/drawingml/2006/main">
                  <a:graphicData uri="http://schemas.microsoft.com/office/word/2010/wordprocessingShape">
                    <wps:wsp>
                      <wps:cNvSpPr txBox="1"/>
                      <wps:spPr>
                        <a:xfrm>
                          <a:off x="0" y="0"/>
                          <a:ext cx="3110230" cy="9043670"/>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588"/>
                              <w:gridCol w:w="8617"/>
                            </w:tblGrid>
                            <w:tr>
                              <w:trPr/>
                              <w:tc>
                                <w:tcPr>
                                  <w:tcW w:w="158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61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Stock:</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Class A common stock of Bloom Energy Corporation (Bloomberg ticker: BE)</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4, 2026</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10, 2026</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13, 2027</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16, 2027</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8617" w:type="dxa"/>
                                  <w:tcBorders>
                                    <w:bottom w:val="single" w:sz="8" w:space="0" w:color="000000"/>
                                    <w:right w:val="single" w:sz="8" w:space="0" w:color="000000"/>
                                  </w:tcBorders>
                                  <w:tcMar>
                                    <w:top w:w="0" w:type="dxa"/>
                                    <w:left w:w="0" w:type="dxa"/>
                                  </w:tcMar>
                                  <w:vAlign w:val="center"/>
                                </w:tcPr>
                                <w:p>
                                  <w:pPr>
                                    <w:pStyle w:val="TableContents"/>
                                    <w:bidi w:val="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 xml:space="preserve">if the ending price is greater than or equal to the threshold price: $1,000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the contingent fixed return; or</w:t>
                                  </w:r>
                                </w:p>
                                <w:p>
                                  <w:pPr>
                                    <w:pStyle w:val="TableContents"/>
                                    <w:bidi w:val="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 xml:space="preserve">if the ending price is less than the threshold price: </w:t>
                                  </w:r>
                                </w:p>
                                <w:p>
                                  <w:pPr>
                                    <w:pStyle w:val="TableContents"/>
                                    <w:bidi w:val="0"/>
                                    <w:ind w:left="254"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w:t>
                                  </w:r>
                                </w:p>
                                <w:p>
                                  <w:pPr>
                                    <w:pStyle w:val="TableContents"/>
                                    <w:bidi w:val="0"/>
                                    <w:spacing w:before="0" w:after="283"/>
                                    <w:jc w:val="left"/>
                                    <w:rPr>
                                      <w:caps w:val="false"/>
                                      <w:smallCaps w:val="false"/>
                                    </w:rPr>
                                  </w:pPr>
                                  <w:r>
                                    <w:rPr>
                                      <w:caps w:val="false"/>
                                      <w:smallCaps w:val="false"/>
                                    </w:rPr>
                                    <w:t> </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pricing date</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calculation day</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Fixed Return:</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34.90% of the principal amount (at least $349.00 per security) (to be provided in the pricing supplement)</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Stock Return:</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 – starting price) / starting price</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50% of the starting price </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46661M7A6</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6"/>
                                    </w:rPr>
                                    <w:t>Up to 2.325%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1.75% of WFS’s fee, and WFA may also receive a distribution expense fee of 0.0</w:t>
                                  </w:r>
                                  <w:r>
                                    <w:rPr>
                                      <w:rFonts w:ascii="Georgia;Times;Serif" w:hAnsi="Georgia;Times;Serif"/>
                                      <w:b w:val="false"/>
                                      <w:i w:val="false"/>
                                      <w:caps w:val="false"/>
                                      <w:smallCaps w:val="false"/>
                                      <w:sz w:val="18"/>
                                    </w:rPr>
                                    <w:t>75</w:t>
                                  </w:r>
                                  <w:r>
                                    <w:rPr>
                                      <w:rFonts w:ascii="Georgia;Times;Serif" w:hAnsi="Georgia;Times;Serif"/>
                                      <w:b w:val="false"/>
                                      <w:i w:val="false"/>
                                      <w:caps w:val="false"/>
                                      <w:smallCaps w:val="false"/>
                                      <w:sz w:val="16"/>
                                    </w:rPr>
                                    <w:t>%.  In addition, in respect of certain securities sold in this offering, JPMS may pay a fee of up to 0</w:t>
                                  </w:r>
                                  <w:r>
                                    <w:rPr>
                                      <w:rFonts w:ascii="Georgia;Times;Serif" w:hAnsi="Georgia;Times;Serif"/>
                                      <w:b w:val="false"/>
                                      <w:i w:val="false"/>
                                      <w:caps w:val="false"/>
                                      <w:smallCaps w:val="false"/>
                                      <w:sz w:val="18"/>
                                    </w:rPr>
                                    <w:t>.20</w:t>
                                  </w:r>
                                  <w:r>
                                    <w:rPr>
                                      <w:rFonts w:ascii="Georgia;Times;Serif" w:hAnsi="Georgia;Times;Serif"/>
                                      <w:b w:val="false"/>
                                      <w:i w:val="false"/>
                                      <w:caps w:val="false"/>
                                      <w:smallCaps w:val="false"/>
                                      <w:sz w:val="16"/>
                                    </w:rPr>
                                    <w:t>% to selected dealers in consideration for marketing and other services in connection with the distribution of the securities to other dealers.</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588"/>
                        <w:gridCol w:w="8617"/>
                      </w:tblGrid>
                      <w:tr>
                        <w:trPr/>
                        <w:tc>
                          <w:tcPr>
                            <w:tcW w:w="158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61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Stock:</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Class A common stock of Bloom Energy Corporation (Bloomberg ticker: BE)</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4, 2026</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10, 2026</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13, 2027</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16, 2027</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8617" w:type="dxa"/>
                            <w:tcBorders>
                              <w:bottom w:val="single" w:sz="8" w:space="0" w:color="000000"/>
                              <w:right w:val="single" w:sz="8" w:space="0" w:color="000000"/>
                            </w:tcBorders>
                            <w:tcMar>
                              <w:top w:w="0" w:type="dxa"/>
                              <w:left w:w="0" w:type="dxa"/>
                            </w:tcMar>
                            <w:vAlign w:val="center"/>
                          </w:tcPr>
                          <w:p>
                            <w:pPr>
                              <w:pStyle w:val="TableContents"/>
                              <w:bidi w:val="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 xml:space="preserve">if the ending price is greater than or equal to the threshold price: $1,000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the contingent fixed return; or</w:t>
                            </w:r>
                          </w:p>
                          <w:p>
                            <w:pPr>
                              <w:pStyle w:val="TableContents"/>
                              <w:bidi w:val="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 xml:space="preserve">if the ending price is less than the threshold price: </w:t>
                            </w:r>
                          </w:p>
                          <w:p>
                            <w:pPr>
                              <w:pStyle w:val="TableContents"/>
                              <w:bidi w:val="0"/>
                              <w:ind w:left="254"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w:t>
                            </w:r>
                          </w:p>
                          <w:p>
                            <w:pPr>
                              <w:pStyle w:val="TableContents"/>
                              <w:bidi w:val="0"/>
                              <w:spacing w:before="0" w:after="283"/>
                              <w:jc w:val="left"/>
                              <w:rPr>
                                <w:caps w:val="false"/>
                                <w:smallCaps w:val="false"/>
                              </w:rPr>
                            </w:pPr>
                            <w:r>
                              <w:rPr>
                                <w:caps w:val="false"/>
                                <w:smallCaps w:val="false"/>
                              </w:rPr>
                              <w:t> </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pricing date</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calculation day</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Fixed Return:</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34.90% of the principal amount (at least $349.00 per security) (to be provided in the pricing supplement)</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Stock Return:</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 – starting price) / starting price</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50% of the starting price </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46661M7A6</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6"/>
                              </w:rPr>
                              <w:t>Up to 2.325%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1.75% of WFS’s fee, and WFA may also receive a distribution expense fee of 0.0</w:t>
                            </w:r>
                            <w:r>
                              <w:rPr>
                                <w:rFonts w:ascii="Georgia;Times;Serif" w:hAnsi="Georgia;Times;Serif"/>
                                <w:b w:val="false"/>
                                <w:i w:val="false"/>
                                <w:caps w:val="false"/>
                                <w:smallCaps w:val="false"/>
                                <w:sz w:val="18"/>
                              </w:rPr>
                              <w:t>75</w:t>
                            </w:r>
                            <w:r>
                              <w:rPr>
                                <w:rFonts w:ascii="Georgia;Times;Serif" w:hAnsi="Georgia;Times;Serif"/>
                                <w:b w:val="false"/>
                                <w:i w:val="false"/>
                                <w:caps w:val="false"/>
                                <w:smallCaps w:val="false"/>
                                <w:sz w:val="16"/>
                              </w:rPr>
                              <w:t>%.  In addition, in respect of certain securities sold in this offering, JPMS may pay a fee of up to 0</w:t>
                            </w:r>
                            <w:r>
                              <w:rPr>
                                <w:rFonts w:ascii="Georgia;Times;Serif" w:hAnsi="Georgia;Times;Serif"/>
                                <w:b w:val="false"/>
                                <w:i w:val="false"/>
                                <w:caps w:val="false"/>
                                <w:smallCaps w:val="false"/>
                                <w:sz w:val="18"/>
                              </w:rPr>
                              <w:t>.20</w:t>
                            </w:r>
                            <w:r>
                              <w:rPr>
                                <w:rFonts w:ascii="Georgia;Times;Serif" w:hAnsi="Georgia;Times;Serif"/>
                                <w:b w:val="false"/>
                                <w:i w:val="false"/>
                                <w:caps w:val="false"/>
                                <w:smallCaps w:val="false"/>
                                <w:sz w:val="16"/>
                              </w:rPr>
                              <w:t>% to selected dealers in consideration for marketing and other services in connection with the distribution of the securities to other dealers.</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10230" cy="5852795"/>
                <wp:effectExtent l="0" t="0" r="0" b="0"/>
                <wp:wrapSquare wrapText="left"/>
                <wp:docPr id="3" name="Frame2"/>
                <a:graphic xmlns:a="http://schemas.openxmlformats.org/drawingml/2006/main">
                  <a:graphicData uri="http://schemas.microsoft.com/office/word/2010/wordprocessingShape">
                    <wps:wsp>
                      <wps:cNvSpPr txBox="1"/>
                      <wps:spPr>
                        <a:xfrm>
                          <a:off x="0" y="0"/>
                          <a:ext cx="3110230" cy="5852795"/>
                        </a:xfrm>
                        <a:prstGeom prst="rect"/>
                        <a:solidFill>
                          <a:srgbClr val="FFFFFF"/>
                        </a:solidFill>
                      </wps:spPr>
                      <wps:txbx>
                        <w:txbxContent>
                          <w:p>
                            <w:pPr>
                              <w:pStyle w:val="TextBody"/>
                              <w:bidi w:val="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w:t>
                            </w:r>
                          </w:p>
                          <w:p>
                            <w:pPr>
                              <w:pStyle w:val="TextBody"/>
                              <w:bidi w:val="0"/>
                              <w:spacing w:before="60" w:after="40"/>
                              <w:jc w:val="center"/>
                              <w:rPr>
                                <w:caps w:val="false"/>
                                <w:smallCaps w:val="false"/>
                              </w:rPr>
                            </w:pPr>
                            <w:r>
                              <w:rPr>
                                <w:caps w:val="false"/>
                                <w:smallCaps w:val="false"/>
                              </w:rPr>
                              <w:drawing>
                                <wp:inline distT="0" distB="0" distL="0" distR="0">
                                  <wp:extent cx="3143250" cy="200025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143250" cy="2000250"/>
                                          </a:xfrm>
                                          <a:prstGeom prst="rect">
                                            <a:avLst/>
                                          </a:prstGeom>
                                        </pic:spPr>
                                      </pic:pic>
                                    </a:graphicData>
                                  </a:graphic>
                                </wp:inline>
                              </w:drawing>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*Assumes a contingent fixed return equal to the minimum contingent fixed return</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ending price is less than the threshold price, you will have full downside exposure to the decrease in the price of the Underlying Stock from the starting price and will lose more than 50%, and possibly all, of the principal amount of your securities at maturity.</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12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$931.20 per security. The estimated value of the securities, when the terms of the securities are set, will be provided in the pricing supplement and will not be less than $900.00 per security. See “The Estimated Value of the Securities” in the preliminary pricing supplement for additional information.</w:t>
                            </w:r>
                          </w:p>
                          <w:p>
                            <w:pPr>
                              <w:pStyle w:val="TextBody"/>
                              <w:bidi w:val="0"/>
                              <w:spacing w:before="0" w:after="60"/>
                              <w:jc w:val="left"/>
                              <w:rPr/>
                            </w:pPr>
                            <w:r>
                              <w:rPr>
                                <w:rFonts w:ascii="Georgia;Times;Serif" w:hAnsi="Georgia;Times;Serif"/>
                                <w:b w:val="false"/>
                                <w:i w:val="false"/>
                                <w:caps w:val="false"/>
                                <w:smallCaps w:val="false"/>
                                <w:sz w:val="16"/>
                              </w:rPr>
                              <w:t xml:space="preserve">Preliminary Pricing Supplement: </w:t>
                              <w:br/>
                            </w:r>
                            <w:hyperlink r:id="rId4">
                              <w:r>
                                <w:rPr>
                                  <w:rStyle w:val="InternetLink"/>
                                  <w:rFonts w:ascii="Georgia;Times;Serif" w:hAnsi="Georgia;Times;Serif"/>
                                  <w:b w:val="false"/>
                                  <w:i w:val="false"/>
                                  <w:caps w:val="false"/>
                                  <w:smallCaps w:val="false"/>
                                  <w:sz w:val="16"/>
                                </w:rPr>
                                <w:t>http://www.sec.gov/Archives/edgar/data/19617/000121390026095999/</w:t>
                                <w:br/>
                                <w:t>ea0304137-01_424b2.htm</w:t>
                              </w:r>
                            </w:hyperlink>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60.8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w:t>
                      </w:r>
                    </w:p>
                    <w:p>
                      <w:pPr>
                        <w:pStyle w:val="TextBody"/>
                        <w:bidi w:val="0"/>
                        <w:spacing w:before="60" w:after="40"/>
                        <w:jc w:val="center"/>
                        <w:rPr>
                          <w:caps w:val="false"/>
                          <w:smallCaps w:val="false"/>
                        </w:rPr>
                      </w:pPr>
                      <w:r>
                        <w:rPr>
                          <w:caps w:val="false"/>
                          <w:smallCaps w:val="false"/>
                        </w:rPr>
                        <w:drawing>
                          <wp:inline distT="0" distB="0" distL="0" distR="0">
                            <wp:extent cx="3143250" cy="20002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143250" cy="2000250"/>
                                    </a:xfrm>
                                    <a:prstGeom prst="rect">
                                      <a:avLst/>
                                    </a:prstGeom>
                                  </pic:spPr>
                                </pic:pic>
                              </a:graphicData>
                            </a:graphic>
                          </wp:inline>
                        </w:drawing>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*Assumes a contingent fixed return equal to the minimum contingent fixed return</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ending price is less than the threshold price, you will have full downside exposure to the decrease in the price of the Underlying Stock from the starting price and will lose more than 50%, and possibly all, of the principal amount of your securities at maturity.</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12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$931.20 per security. The estimated value of the securities, when the terms of the securities are set, will be provided in the pricing supplement and will not be less than $900.00 per security. See “The Estimated Value of the Securities” in the preliminary pricing supplement for additional information.</w:t>
                      </w:r>
                    </w:p>
                    <w:p>
                      <w:pPr>
                        <w:pStyle w:val="TextBody"/>
                        <w:bidi w:val="0"/>
                        <w:spacing w:before="0" w:after="60"/>
                        <w:jc w:val="left"/>
                        <w:rPr/>
                      </w:pPr>
                      <w:r>
                        <w:rPr>
                          <w:rFonts w:ascii="Georgia;Times;Serif" w:hAnsi="Georgia;Times;Serif"/>
                          <w:b w:val="false"/>
                          <w:i w:val="false"/>
                          <w:caps w:val="false"/>
                          <w:smallCaps w:val="false"/>
                          <w:sz w:val="16"/>
                        </w:rPr>
                        <w:t xml:space="preserve">Preliminary Pricing Supplement: </w:t>
                        <w:br/>
                      </w:r>
                      <w:hyperlink r:id="rId6">
                        <w:r>
                          <w:rPr>
                            <w:rStyle w:val="InternetLink"/>
                            <w:rFonts w:ascii="Georgia;Times;Serif" w:hAnsi="Georgia;Times;Serif"/>
                            <w:b w:val="false"/>
                            <w:i w:val="false"/>
                            <w:caps w:val="false"/>
                            <w:smallCaps w:val="false"/>
                            <w:sz w:val="16"/>
                          </w:rPr>
                          <w:t>http://www.sec.gov/Archives/edgar/data/19617/000121390026095999/</w:t>
                          <w:br/>
                          <w:t>ea0304137-01_424b2.htm</w:t>
                        </w:r>
                      </w:hyperlink>
                    </w:p>
                  </w:txbxContent>
                </v:textbox>
                <w10:wrap type="square" side="left"/>
              </v:rect>
            </w:pict>
          </mc:Fallback>
        </mc:AlternateContent>
      </w:r>
    </w:p>
    <w:p>
      <w:pPr>
        <w:pStyle w:val="TextBody"/>
        <w:bidi w:val="0"/>
        <w:spacing w:before="60" w:after="60"/>
        <w:ind w:left="60" w:right="60" w:hanging="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80" w:after="80"/>
        <w:ind w:left="80" w:right="8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and product supplement.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3975"/>
        <w:gridCol w:w="6230"/>
      </w:tblGrid>
      <w:tr>
        <w:trPr/>
        <w:tc>
          <w:tcPr>
            <w:tcW w:w="3975" w:type="dxa"/>
            <w:tcBorders/>
            <w:vAlign w:val="center"/>
          </w:tcPr>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Ending Price Is Less Than the Threshold Price, You Will Lose More Than 50%, and Possibly All, of the Principal Amount of Your Securities at Maturity.</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Potential Return on the Securities Is Limited to the Contingent Fixed Return and May Be Lower Than the Return on a Direct Investment in the Underlying Stock.</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Your Ability to Receive the Contingent Fixed Return May Terminate on the Calculation Day.</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Benefit Provided by the Threshold Price May Terminate on the Calculation Day.</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Interest or Dividend Payments or Voting Rights</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Lack of Liquidity</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Potential Conflicts</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Will Be Lower Than the Original Issue Price (Price to Public) of the Securities.</w:t>
            </w:r>
          </w:p>
          <w:p>
            <w:pPr>
              <w:pStyle w:val="TableContents"/>
              <w:bidi w:val="0"/>
              <w:spacing w:before="0" w:after="40"/>
              <w:ind w:left="360" w:right="0" w:hanging="0"/>
              <w:jc w:val="left"/>
              <w:rPr>
                <w:caps w:val="false"/>
                <w:smallCaps w:val="false"/>
              </w:rPr>
            </w:pPr>
            <w:r>
              <w:rPr>
                <w:caps w:val="false"/>
                <w:smallCaps w:val="false"/>
              </w:rPr>
              <w:t> </w:t>
            </w:r>
          </w:p>
        </w:tc>
        <w:tc>
          <w:tcPr>
            <w:tcW w:w="6230" w:type="dxa"/>
            <w:tcBorders/>
            <w:vAlign w:val="center"/>
          </w:tcPr>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Many Economic and Market Factors Will Impact the Value of the Securities.</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Affiliation with the Underlying Stock Issuer</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Anti-Dilution Protection Is Limited and May Be Discretionary.</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Maturity Payment Amount Will Depend upon the Performance of the Underlying Stock and Therefore the Securities Are Subject to the Risks Associated with the Underlying Stock, Each as Discussed in the Accompanying Preliminary Pricing Supplement and Product Supplement.</w:t>
            </w:r>
          </w:p>
          <w:p>
            <w:pPr>
              <w:pStyle w:val="TableContents"/>
              <w:bidi w:val="0"/>
              <w:spacing w:before="0" w:after="40"/>
              <w:ind w:left="360" w:right="0" w:hanging="0"/>
              <w:jc w:val="left"/>
              <w:rPr>
                <w:caps w:val="false"/>
                <w:smallCaps w:val="false"/>
              </w:rPr>
            </w:pPr>
            <w:r>
              <w:rPr>
                <w:caps w:val="false"/>
                <w:smallCaps w:val="false"/>
              </w:rPr>
              <w:t> </w:t>
            </w:r>
          </w:p>
        </w:tc>
      </w:tr>
    </w:tbl>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095999/ea0304137-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095999/ea0304137-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1271</Words>
  <Characters>6912</Characters>
  <CharactersWithSpaces>8220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