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66"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640" w:type="dxa"/>
        <w:tblCellMar>
          <w:top w:w="0" w:type="dxa"/>
          <w:left w:w="0" w:type="dxa"/>
          <w:bottom w:w="0" w:type="dxa"/>
          <w:right w:w="0" w:type="dxa"/>
        </w:tblCellMar>
      </w:tblPr>
      <w:tr>
        <w:trPr>
          <w:trHeight w:val="114"/>
        </w:trPr>
        <w:tc>
          <w:tcPr>
            <w:tcW w:w="1660" w:type="dxa"/>
            <w:vAlign w:val="bottom"/>
          </w:tcPr>
          <w:p>
            <w:pPr>
              <w:jc w:val="center"/>
              <w:ind w:right="58"/>
              <w:spacing w:after="0"/>
              <w:rPr>
                <w:sz w:val="20"/>
                <w:szCs w:val="20"/>
                <w:color w:val="auto"/>
              </w:rPr>
            </w:pPr>
            <w:r>
              <w:rPr>
                <w:rFonts w:ascii="Arial" w:cs="Arial" w:eastAsia="Arial" w:hAnsi="Arial"/>
                <w:sz w:val="8"/>
                <w:szCs w:val="8"/>
                <w:b w:val="1"/>
                <w:bCs w:val="1"/>
                <w:color w:val="auto"/>
              </w:rPr>
              <w:t>Delaware</w:t>
            </w:r>
          </w:p>
        </w:tc>
        <w:tc>
          <w:tcPr>
            <w:tcW w:w="1060" w:type="dxa"/>
            <w:vAlign w:val="bottom"/>
          </w:tcPr>
          <w:p>
            <w:pPr>
              <w:jc w:val="center"/>
              <w:ind w:right="118"/>
              <w:spacing w:after="0"/>
              <w:rPr>
                <w:sz w:val="20"/>
                <w:szCs w:val="20"/>
                <w:color w:val="auto"/>
              </w:rPr>
            </w:pPr>
            <w:r>
              <w:rPr>
                <w:rFonts w:ascii="Arial" w:cs="Arial" w:eastAsia="Arial" w:hAnsi="Arial"/>
                <w:sz w:val="8"/>
                <w:szCs w:val="8"/>
                <w:b w:val="1"/>
                <w:bCs w:val="1"/>
                <w:color w:val="auto"/>
              </w:rPr>
              <w:t>1-5805</w:t>
            </w:r>
          </w:p>
        </w:tc>
        <w:tc>
          <w:tcPr>
            <w:tcW w:w="96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60" w:type="dxa"/>
            <w:vAlign w:val="bottom"/>
          </w:tcPr>
          <w:p>
            <w:pPr>
              <w:jc w:val="center"/>
              <w:ind w:right="5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06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w:t>
            </w:r>
          </w:p>
        </w:tc>
        <w:tc>
          <w:tcPr>
            <w:tcW w:w="960" w:type="dxa"/>
            <w:vAlign w:val="bottom"/>
          </w:tcPr>
          <w:p>
            <w:pPr>
              <w:jc w:val="center"/>
              <w:ind w:left="19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60" w:type="dxa"/>
            <w:vAlign w:val="bottom"/>
          </w:tcPr>
          <w:p>
            <w:pPr>
              <w:jc w:val="center"/>
              <w:ind w:right="58"/>
              <w:spacing w:after="0"/>
              <w:rPr>
                <w:sz w:val="20"/>
                <w:szCs w:val="20"/>
                <w:color w:val="auto"/>
              </w:rPr>
            </w:pPr>
            <w:r>
              <w:rPr>
                <w:rFonts w:ascii="Arial" w:cs="Arial" w:eastAsia="Arial" w:hAnsi="Arial"/>
                <w:sz w:val="8"/>
                <w:szCs w:val="8"/>
                <w:b w:val="1"/>
                <w:bCs w:val="1"/>
                <w:color w:val="auto"/>
              </w:rPr>
              <w:t>incorporation or organization)</w:t>
            </w:r>
          </w:p>
        </w:tc>
        <w:tc>
          <w:tcPr>
            <w:tcW w:w="1060" w:type="dxa"/>
            <w:vAlign w:val="bottom"/>
          </w:tcPr>
          <w:p>
            <w:pPr>
              <w:jc w:val="center"/>
              <w:ind w:right="118"/>
              <w:spacing w:after="0"/>
              <w:rPr>
                <w:sz w:val="20"/>
                <w:szCs w:val="20"/>
                <w:color w:val="auto"/>
              </w:rPr>
            </w:pPr>
            <w:r>
              <w:rPr>
                <w:rFonts w:ascii="Arial" w:cs="Arial" w:eastAsia="Arial" w:hAnsi="Arial"/>
                <w:sz w:val="8"/>
                <w:szCs w:val="8"/>
                <w:b w:val="1"/>
                <w:bCs w:val="1"/>
                <w:color w:val="auto"/>
              </w:rPr>
              <w:t>Number)</w:t>
            </w:r>
          </w:p>
        </w:tc>
        <w:tc>
          <w:tcPr>
            <w:tcW w:w="960" w:type="dxa"/>
            <w:vAlign w:val="bottom"/>
          </w:tcPr>
          <w:p>
            <w:pPr>
              <w:jc w:val="center"/>
              <w:ind w:left="218"/>
              <w:spacing w:after="0"/>
              <w:rPr>
                <w:sz w:val="20"/>
                <w:szCs w:val="20"/>
                <w:color w:val="auto"/>
              </w:rPr>
            </w:pPr>
            <w:r>
              <w:rPr>
                <w:rFonts w:ascii="Arial" w:cs="Arial" w:eastAsia="Arial" w:hAnsi="Arial"/>
                <w:sz w:val="8"/>
                <w:szCs w:val="8"/>
                <w:b w:val="1"/>
                <w:bCs w:val="1"/>
                <w:color w:val="auto"/>
              </w:rPr>
              <w:t>identification no.)</w:t>
            </w:r>
          </w:p>
        </w:tc>
      </w:tr>
      <w:tr>
        <w:trPr>
          <w:trHeight w:val="204"/>
        </w:trPr>
        <w:tc>
          <w:tcPr>
            <w:tcW w:w="1660" w:type="dxa"/>
            <w:vAlign w:val="bottom"/>
          </w:tcPr>
          <w:p>
            <w:pPr>
              <w:jc w:val="center"/>
              <w:ind w:right="58"/>
              <w:spacing w:after="0"/>
              <w:rPr>
                <w:sz w:val="20"/>
                <w:szCs w:val="20"/>
                <w:color w:val="auto"/>
              </w:rPr>
            </w:pPr>
            <w:r>
              <w:rPr>
                <w:rFonts w:ascii="Arial" w:cs="Arial" w:eastAsia="Arial" w:hAnsi="Arial"/>
                <w:sz w:val="8"/>
                <w:szCs w:val="8"/>
                <w:b w:val="1"/>
                <w:bCs w:val="1"/>
                <w:color w:val="auto"/>
              </w:rPr>
              <w:t>383 Madison Avenue,</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17"/>
        </w:trPr>
        <w:tc>
          <w:tcPr>
            <w:tcW w:w="166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060" w:type="dxa"/>
            <w:vAlign w:val="bottom"/>
          </w:tcPr>
          <w:p>
            <w:pPr>
              <w:spacing w:after="0"/>
              <w:rPr>
                <w:sz w:val="10"/>
                <w:szCs w:val="10"/>
                <w:color w:val="auto"/>
              </w:rPr>
            </w:pPr>
          </w:p>
        </w:tc>
        <w:tc>
          <w:tcPr>
            <w:tcW w:w="96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60" w:type="dxa"/>
            <w:vAlign w:val="bottom"/>
          </w:tcPr>
          <w:p>
            <w:pPr>
              <w:jc w:val="center"/>
              <w:ind w:right="58"/>
              <w:spacing w:after="0"/>
              <w:rPr>
                <w:sz w:val="20"/>
                <w:szCs w:val="20"/>
                <w:color w:val="auto"/>
              </w:rPr>
            </w:pPr>
            <w:r>
              <w:rPr>
                <w:rFonts w:ascii="Arial" w:cs="Arial" w:eastAsia="Arial" w:hAnsi="Arial"/>
                <w:sz w:val="8"/>
                <w:szCs w:val="8"/>
                <w:b w:val="1"/>
                <w:bCs w:val="1"/>
                <w:color w:val="auto"/>
              </w:rPr>
              <w:t>(Address of principal executive offices)</w:t>
            </w:r>
          </w:p>
        </w:tc>
        <w:tc>
          <w:tcPr>
            <w:tcW w:w="1060" w:type="dxa"/>
            <w:vAlign w:val="bottom"/>
          </w:tcPr>
          <w:p>
            <w:pPr>
              <w:spacing w:after="0"/>
              <w:rPr>
                <w:sz w:val="12"/>
                <w:szCs w:val="12"/>
                <w:color w:val="auto"/>
              </w:rPr>
            </w:pPr>
          </w:p>
        </w:tc>
        <w:tc>
          <w:tcPr>
            <w:tcW w:w="960" w:type="dxa"/>
            <w:vAlign w:val="bottom"/>
          </w:tcPr>
          <w:p>
            <w:pPr>
              <w:jc w:val="center"/>
              <w:ind w:left="21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93"/>
        </w:trPr>
        <w:tc>
          <w:tcPr>
            <w:tcW w:w="720" w:type="dxa"/>
            <w:vAlign w:val="bottom"/>
          </w:tcPr>
          <w:p>
            <w:pPr>
              <w:spacing w:after="0"/>
              <w:rPr>
                <w:sz w:val="20"/>
                <w:szCs w:val="20"/>
                <w:color w:val="auto"/>
              </w:rPr>
            </w:pPr>
            <w:r>
              <w:rPr>
                <w:rFonts w:ascii="Arial" w:cs="Arial" w:eastAsia="Arial" w:hAnsi="Arial"/>
                <w:sz w:val="8"/>
                <w:szCs w:val="8"/>
                <w:b w:val="1"/>
                <w:bCs w:val="1"/>
                <w:color w:val="auto"/>
              </w:rPr>
              <w:t>Title of each class</w:t>
            </w:r>
          </w:p>
        </w:tc>
        <w:tc>
          <w:tcPr>
            <w:tcW w:w="4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Trading Symbol(s)</w:t>
            </w:r>
          </w:p>
        </w:tc>
        <w:tc>
          <w:tcPr>
            <w:tcW w:w="720" w:type="dxa"/>
            <w:vAlign w:val="bottom"/>
          </w:tcPr>
          <w:p>
            <w:pPr>
              <w:spacing w:after="0"/>
              <w:rPr>
                <w:sz w:val="8"/>
                <w:szCs w:val="8"/>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JPM</w:t>
            </w:r>
          </w:p>
        </w:tc>
        <w:tc>
          <w:tcPr>
            <w:tcW w:w="720" w:type="dxa"/>
            <w:vAlign w:val="bottom"/>
          </w:tcPr>
          <w:p>
            <w:pPr>
              <w:spacing w:after="0"/>
              <w:rPr>
                <w:sz w:val="10"/>
                <w:szCs w:val="10"/>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D</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C</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K</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L</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M</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AMJ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JPM/32</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Alerian MLP Index ETNs due January 28, 2044 of JPMorgan Chase Financial Company LLC</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AMJB</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NYSE Arca, Inc.</w:t>
            </w:r>
          </w:p>
        </w:tc>
      </w:tr>
    </w:tbl>
    <w:p>
      <w:pPr>
        <w:spacing w:after="0" w:line="64" w:lineRule="exact"/>
        <w:rPr>
          <w:sz w:val="24"/>
          <w:szCs w:val="24"/>
          <w:color w:val="auto"/>
        </w:rPr>
      </w:pPr>
    </w:p>
    <w:p>
      <w:pPr>
        <w:ind w:right="580"/>
        <w:spacing w:after="0" w:line="146"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May 20, 2024, JPMorgan Chase &amp; Co. (“JPMorgan Chase” or the “Firm”) held an Investor Day presentation during which it provided information to investors about the Firm and its various lines of business.</w:t>
      </w:r>
    </w:p>
    <w:p>
      <w:pPr>
        <w:spacing w:after="0" w:line="9" w:lineRule="exact"/>
        <w:rPr>
          <w:sz w:val="20"/>
          <w:szCs w:val="20"/>
          <w:color w:val="auto"/>
        </w:rPr>
      </w:pPr>
    </w:p>
    <w:p>
      <w:pPr>
        <w:ind w:left="8"/>
        <w:spacing w:after="0"/>
        <w:rPr>
          <w:sz w:val="20"/>
          <w:szCs w:val="20"/>
          <w:color w:val="auto"/>
        </w:rPr>
      </w:pPr>
      <w:r>
        <w:rPr>
          <w:rFonts w:ascii="Arial" w:cs="Arial" w:eastAsia="Arial" w:hAnsi="Arial"/>
          <w:sz w:val="12"/>
          <w:szCs w:val="12"/>
          <w:color w:val="auto"/>
        </w:rPr>
        <w:t>Exhibit 99 is a copy of the slides furnished at, and posted on the Firm’s website in connection with, the presentation.</w:t>
      </w:r>
    </w:p>
    <w:p>
      <w:pPr>
        <w:spacing w:after="0" w:line="138" w:lineRule="exact"/>
        <w:rPr>
          <w:sz w:val="20"/>
          <w:szCs w:val="20"/>
          <w:color w:val="auto"/>
        </w:rPr>
      </w:pPr>
    </w:p>
    <w:p>
      <w:pPr>
        <w:ind w:left="8" w:right="40"/>
        <w:spacing w:after="0" w:line="286" w:lineRule="auto"/>
        <w:rPr>
          <w:sz w:val="20"/>
          <w:szCs w:val="20"/>
          <w:color w:val="auto"/>
        </w:rPr>
      </w:pPr>
      <w:r>
        <w:rPr>
          <w:rFonts w:ascii="Arial" w:cs="Arial" w:eastAsia="Arial" w:hAnsi="Arial"/>
          <w:sz w:val="12"/>
          <w:szCs w:val="12"/>
          <w:color w:val="auto"/>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05" w:lineRule="exact"/>
        <w:rPr>
          <w:sz w:val="20"/>
          <w:szCs w:val="20"/>
          <w:color w:val="auto"/>
        </w:rPr>
      </w:pPr>
    </w:p>
    <w:p>
      <w:pPr>
        <w:ind w:left="8"/>
        <w:spacing w:after="0" w:line="256"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2023, and Quarterly Report on Form 10-Q for the quarter ended March 31, 2024, which have been filed with the Securities and Exchange Commission and are available on JPMorgan Chase’s website (</w:t>
      </w:r>
      <w:r>
        <w:rPr>
          <w:rFonts w:ascii="Arial" w:cs="Arial" w:eastAsia="Arial" w:hAnsi="Arial"/>
          <w:sz w:val="12"/>
          <w:szCs w:val="12"/>
          <w:i w:val="1"/>
          <w:iCs w:val="1"/>
          <w:u w:val="single" w:color="auto"/>
          <w:color w:val="auto"/>
        </w:rPr>
        <w:t>https://jpmorganchaseco.gcs-web.com/financial-information/sec-filings</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68"/>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2"/>
                <w:szCs w:val="12"/>
                <w:color w:val="0000FF"/>
                <w:w w:val="99"/>
              </w:rPr>
              <w:t>JPMorgan Chase &amp; Co. 2024</w:t>
            </w:r>
          </w:p>
        </w:tc>
        <w:tc>
          <w:tcPr>
            <w:tcW w:w="7500" w:type="dxa"/>
            <w:vAlign w:val="bottom"/>
            <w:gridSpan w:val="5"/>
          </w:tcPr>
          <w:p>
            <w:pPr>
              <w:spacing w:after="0"/>
              <w:rPr>
                <w:sz w:val="20"/>
                <w:szCs w:val="20"/>
                <w:color w:val="auto"/>
              </w:rPr>
            </w:pPr>
            <w:r>
              <w:rPr>
                <w:rFonts w:ascii="Arial" w:cs="Arial" w:eastAsia="Arial" w:hAnsi="Arial"/>
                <w:sz w:val="12"/>
                <w:szCs w:val="12"/>
                <w:color w:val="0000FF"/>
              </w:rPr>
              <w:t>Investor Day cover page, forward-looking statements and agenda</w:t>
            </w:r>
          </w:p>
        </w:tc>
      </w:tr>
      <w:tr>
        <w:trPr>
          <w:trHeight w:val="133"/>
        </w:trPr>
        <w:tc>
          <w:tcPr>
            <w:tcW w:w="2060" w:type="dxa"/>
            <w:vAlign w:val="bottom"/>
            <w:gridSpan w:val="2"/>
          </w:tcPr>
          <w:p>
            <w:pPr>
              <w:ind w:left="580"/>
              <w:spacing w:after="0" w:line="133" w:lineRule="exact"/>
              <w:rPr>
                <w:sz w:val="20"/>
                <w:szCs w:val="20"/>
                <w:color w:val="auto"/>
              </w:rPr>
            </w:pPr>
            <w:r>
              <w:rPr>
                <w:rFonts w:ascii="Arial" w:cs="Arial" w:eastAsia="Arial" w:hAnsi="Arial"/>
                <w:sz w:val="12"/>
                <w:szCs w:val="12"/>
                <w:color w:val="auto"/>
              </w:rPr>
              <w:t>99.2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2024</w:t>
            </w:r>
          </w:p>
        </w:tc>
        <w:tc>
          <w:tcPr>
            <w:tcW w:w="172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Investor Day presentation slides</w:t>
            </w:r>
          </w:p>
        </w:tc>
        <w:tc>
          <w:tcPr>
            <w:tcW w:w="1760" w:type="dxa"/>
            <w:vAlign w:val="bottom"/>
            <w:tcBorders>
              <w:top w:val="single" w:sz="8" w:color="0000FF"/>
            </w:tcBorders>
            <w:gridSpan w:val="2"/>
          </w:tcPr>
          <w:p>
            <w:pPr>
              <w:spacing w:after="0"/>
              <w:rPr>
                <w:sz w:val="11"/>
                <w:szCs w:val="11"/>
                <w:color w:val="auto"/>
              </w:rPr>
            </w:pPr>
          </w:p>
        </w:tc>
        <w:tc>
          <w:tcPr>
            <w:tcW w:w="4020" w:type="dxa"/>
            <w:vAlign w:val="bottom"/>
            <w:gridSpan w:val="2"/>
          </w:tcPr>
          <w:p>
            <w:pPr>
              <w:spacing w:after="0"/>
              <w:rPr>
                <w:sz w:val="11"/>
                <w:szCs w:val="11"/>
                <w:color w:val="auto"/>
              </w:rPr>
            </w:pPr>
          </w:p>
        </w:tc>
      </w:tr>
      <w:tr>
        <w:trPr>
          <w:trHeight w:val="133"/>
        </w:trPr>
        <w:tc>
          <w:tcPr>
            <w:tcW w:w="2060" w:type="dxa"/>
            <w:vAlign w:val="bottom"/>
            <w:gridSpan w:val="2"/>
          </w:tcPr>
          <w:p>
            <w:pPr>
              <w:ind w:left="580"/>
              <w:spacing w:after="0" w:line="133" w:lineRule="exact"/>
              <w:rPr>
                <w:sz w:val="20"/>
                <w:szCs w:val="20"/>
                <w:color w:val="auto"/>
              </w:rPr>
            </w:pPr>
            <w:r>
              <w:rPr>
                <w:rFonts w:ascii="Arial" w:cs="Arial" w:eastAsia="Arial" w:hAnsi="Arial"/>
                <w:sz w:val="12"/>
                <w:szCs w:val="12"/>
                <w:color w:val="auto"/>
              </w:rPr>
              <w:t>99.3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0000FF"/>
            </w:tcBorders>
          </w:tcPr>
          <w:p>
            <w:pPr>
              <w:spacing w:after="0" w:line="133" w:lineRule="exact"/>
              <w:rPr>
                <w:sz w:val="20"/>
                <w:szCs w:val="20"/>
                <w:color w:val="auto"/>
              </w:rPr>
            </w:pPr>
            <w:r>
              <w:rPr>
                <w:rFonts w:ascii="Arial" w:cs="Arial" w:eastAsia="Arial" w:hAnsi="Arial"/>
                <w:sz w:val="12"/>
                <w:szCs w:val="12"/>
                <w:color w:val="0000FF"/>
                <w:w w:val="99"/>
              </w:rPr>
              <w:t>JPMorgan Chase &amp; Co. 2024</w:t>
            </w:r>
          </w:p>
        </w:tc>
        <w:tc>
          <w:tcPr>
            <w:tcW w:w="1800" w:type="dxa"/>
            <w:vAlign w:val="bottom"/>
            <w:tcBorders>
              <w:bottom w:val="single" w:sz="8" w:color="0000FF"/>
            </w:tcBorders>
            <w:gridSpan w:val="2"/>
          </w:tcPr>
          <w:p>
            <w:pPr>
              <w:spacing w:after="0" w:line="133" w:lineRule="exact"/>
              <w:rPr>
                <w:sz w:val="20"/>
                <w:szCs w:val="20"/>
                <w:color w:val="auto"/>
              </w:rPr>
            </w:pPr>
            <w:r>
              <w:rPr>
                <w:rFonts w:ascii="Arial" w:cs="Arial" w:eastAsia="Arial" w:hAnsi="Arial"/>
                <w:sz w:val="12"/>
                <w:szCs w:val="12"/>
                <w:color w:val="0000FF"/>
                <w:w w:val="99"/>
              </w:rPr>
              <w:t>Investor Day speaker biographies</w:t>
            </w:r>
          </w:p>
        </w:tc>
        <w:tc>
          <w:tcPr>
            <w:tcW w:w="5700" w:type="dxa"/>
            <w:vAlign w:val="bottom"/>
            <w:gridSpan w:val="3"/>
          </w:tcPr>
          <w:p>
            <w:pPr>
              <w:spacing w:after="0"/>
              <w:rPr>
                <w:sz w:val="11"/>
                <w:szCs w:val="11"/>
                <w:color w:val="auto"/>
              </w:rPr>
            </w:pPr>
          </w:p>
        </w:tc>
      </w:tr>
      <w:tr>
        <w:trPr>
          <w:trHeight w:val="156"/>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6"/>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6"/>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80" w:type="dxa"/>
            <w:vAlign w:val="bottom"/>
            <w:gridSpan w:val="3"/>
          </w:tcPr>
          <w:p>
            <w:pPr>
              <w:jc w:val="right"/>
              <w:ind w:right="1540"/>
              <w:spacing w:after="0"/>
              <w:rPr>
                <w:sz w:val="20"/>
                <w:szCs w:val="20"/>
                <w:color w:val="auto"/>
              </w:rPr>
            </w:pPr>
            <w:r>
              <w:rPr>
                <w:rFonts w:ascii="Arial" w:cs="Arial" w:eastAsia="Arial" w:hAnsi="Arial"/>
                <w:sz w:val="12"/>
                <w:szCs w:val="12"/>
                <w:color w:val="auto"/>
              </w:rPr>
              <w:t>2</w:t>
            </w:r>
          </w:p>
        </w:tc>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96"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81"/>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Elena Korablina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Elena Korablina</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Managing Director and Firmwide Controller</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May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937"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2024-05-20T15:38:18Z</dcterms:created>
  <dcterms:modified xsi:type="dcterms:W3CDTF">2024-05-20T15:38:18Z</dcterms:modified>
</cp:coreProperties>
</file>