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283822-01_fwp.htm"/>
      <w:bookmarkStart w:id="1" w:name="ksea028382201_fwp"/>
      <w:bookmarkStart w:id="2" w:name="ea0283822-01_fwp.htm"/>
      <w:bookmarkStart w:id="3" w:name="ksea028382201_fwp"/>
      <w:bookmarkEnd w:id="2"/>
      <w:bookmarkEnd w:id="3"/>
    </w:p>
    <w:tbl>
      <w:tblPr>
        <w:tblW w:w="10205" w:type="dxa"/>
        <w:jc w:val="left"/>
        <w:tblInd w:w="0" w:type="dxa"/>
        <w:tblLayout w:type="fixed"/>
        <w:tblCellMar>
          <w:top w:w="0" w:type="dxa"/>
          <w:left w:w="0" w:type="dxa"/>
          <w:bottom w:w="0" w:type="dxa"/>
          <w:right w:w="0" w:type="dxa"/>
        </w:tblCellMar>
      </w:tblPr>
      <w:tblGrid>
        <w:gridCol w:w="6087"/>
        <w:gridCol w:w="4118"/>
      </w:tblGrid>
      <w:tr>
        <w:trPr/>
        <w:tc>
          <w:tcPr>
            <w:tcW w:w="6087"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0"/>
              </w:rPr>
            </w:pPr>
            <w:r>
              <w:rPr>
                <w:rFonts w:ascii="Verdana;Helvetica;Sans-Serif" w:hAnsi="Verdana;Helvetica;Sans-Serif"/>
                <w:b/>
                <w:i w:val="false"/>
                <w:caps w:val="false"/>
                <w:smallCaps w:val="false"/>
                <w:color w:val="BB0826"/>
                <w:sz w:val="30"/>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18"/>
              </w:rPr>
            </w:pPr>
            <w:r>
              <w:rPr>
                <w:rFonts w:ascii="Verdana;Helvetica;Sans-Serif" w:hAnsi="Verdana;Helvetica;Sans-Serif"/>
                <w:b/>
                <w:i/>
                <w:caps w:val="false"/>
                <w:smallCaps w:val="false"/>
                <w:color w:val="BB0826"/>
                <w:sz w:val="18"/>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2"/>
              </w:rPr>
            </w:pPr>
            <w:r>
              <w:rPr>
                <w:rFonts w:ascii="Verdana;Helvetica;Sans-Serif" w:hAnsi="Verdana;Helvetica;Sans-Serif"/>
                <w:b/>
                <w:i w:val="false"/>
                <w:caps w:val="false"/>
                <w:smallCaps w:val="false"/>
                <w:color w:val="BB0826"/>
                <w:sz w:val="22"/>
              </w:rPr>
              <w:t>Market Linked Securities</w:t>
            </w:r>
          </w:p>
        </w:tc>
        <w:tc>
          <w:tcPr>
            <w:tcW w:w="4118"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333-270004 and 333-270004-01</w:t>
            </w:r>
          </w:p>
        </w:tc>
      </w:tr>
      <w:tr>
        <w:trPr/>
        <w:tc>
          <w:tcPr>
            <w:tcW w:w="6087" w:type="dxa"/>
            <w:vMerge w:val="continue"/>
            <w:tcBorders/>
            <w:vAlign w:val="center"/>
          </w:tcPr>
          <w:p>
            <w:pPr>
              <w:pStyle w:val="Normal"/>
              <w:bidi w:val="0"/>
              <w:jc w:val="left"/>
              <w:rPr/>
            </w:pPr>
            <w:r>
              <w:rPr/>
            </w:r>
          </w:p>
        </w:tc>
        <w:tc>
          <w:tcPr>
            <w:tcW w:w="4118" w:type="dxa"/>
            <w:tcBorders/>
            <w:vAlign w:val="center"/>
          </w:tcPr>
          <w:p>
            <w:pPr>
              <w:pStyle w:val="TableContents"/>
              <w:bidi w:val="0"/>
              <w:jc w:val="right"/>
              <w:rPr>
                <w:caps w:val="false"/>
                <w:smallCaps w:val="false"/>
              </w:rPr>
            </w:pPr>
            <w:r>
              <w:rPr>
                <w:caps w:val="false"/>
                <w:smallCaps w:val="false"/>
              </w:rPr>
              <w:t> </w:t>
            </w:r>
          </w:p>
          <w:p>
            <w:pPr>
              <w:pStyle w:val="TableContents"/>
              <w:bidi w:val="0"/>
              <w:spacing w:before="0" w:after="283"/>
              <w:jc w:val="center"/>
              <w:rPr>
                <w:caps w:val="false"/>
                <w:smallCaps w:val="false"/>
              </w:rPr>
            </w:pPr>
            <w:r>
              <w:rPr>
                <w:caps w:val="false"/>
                <w:smallCaps w:val="false"/>
              </w:rPr>
              <w:drawing>
                <wp:inline distT="0" distB="0" distL="0" distR="0">
                  <wp:extent cx="17145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447675"/>
                          </a:xfrm>
                          <a:prstGeom prst="rect">
                            <a:avLst/>
                          </a:prstGeom>
                        </pic:spPr>
                      </pic:pic>
                    </a:graphicData>
                  </a:graphic>
                </wp:inline>
              </w:drawing>
            </w:r>
          </w:p>
        </w:tc>
      </w:tr>
    </w:tbl>
    <w:tbl>
      <w:tblPr>
        <w:tblW w:w="9860" w:type="dxa"/>
        <w:jc w:val="left"/>
        <w:tblInd w:w="0" w:type="dxa"/>
        <w:tblLayout w:type="fixed"/>
        <w:tblCellMar>
          <w:top w:w="0" w:type="dxa"/>
          <w:left w:w="0" w:type="dxa"/>
          <w:bottom w:w="0" w:type="dxa"/>
          <w:right w:w="0" w:type="dxa"/>
        </w:tblCellMar>
      </w:tblPr>
      <w:tblGrid>
        <w:gridCol w:w="9860"/>
      </w:tblGrid>
      <w:tr>
        <w:trPr/>
        <w:tc>
          <w:tcPr>
            <w:tcW w:w="9860"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Market Linked Securities — Leveraged Upside Participation to a Cap and Fixed Percentage Buffered Downside</w:t>
            </w:r>
          </w:p>
          <w:p>
            <w:pPr>
              <w:pStyle w:val="TableContents"/>
              <w:bidi w:val="0"/>
              <w:spacing w:before="0" w:after="6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Principal at Risk Securities Linked to the iShares</w:t>
            </w:r>
            <w:r>
              <w:rPr>
                <w:rFonts w:ascii="Verdana;Helvetica;Sans-Serif" w:hAnsi="Verdana;Helvetica;Sans-Serif"/>
                <w:b w:val="false"/>
                <w:i w:val="false"/>
                <w:caps w:val="false"/>
                <w:smallCaps w:val="false"/>
                <w:color w:val="FFFFFF"/>
                <w:position w:val="6"/>
                <w:sz w:val="14"/>
                <w:sz w:val="18"/>
              </w:rPr>
              <w:t>®</w:t>
            </w:r>
            <w:r>
              <w:rPr>
                <w:rFonts w:ascii="Verdana;Helvetica;Sans-Serif" w:hAnsi="Verdana;Helvetica;Sans-Serif"/>
                <w:b w:val="false"/>
                <w:i w:val="false"/>
                <w:caps w:val="false"/>
                <w:smallCaps w:val="false"/>
                <w:color w:val="FFFFFF"/>
                <w:sz w:val="18"/>
              </w:rPr>
              <w:t xml:space="preserve"> Bitcoin Trust ETF due May 3, 2029</w:t>
            </w:r>
          </w:p>
          <w:p>
            <w:pPr>
              <w:pStyle w:val="TableContents"/>
              <w:bidi w:val="0"/>
              <w:spacing w:before="0" w:after="12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Fact Sheet dated March 27, 2026 to Preliminary Pricing Supplement dated March 27, 2026</w:t>
            </w:r>
          </w:p>
        </w:tc>
      </w:tr>
    </w:tbl>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28" w:type="dxa"/>
                              </w:tblCellMar>
                            </w:tblPr>
                            <w:tblGrid>
                              <w:gridCol w:w="1356"/>
                              <w:gridCol w:w="8849"/>
                            </w:tblGrid>
                            <w:tr>
                              <w:trPr/>
                              <w:tc>
                                <w:tcPr>
                                  <w:tcW w:w="13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84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iShares</w:t>
                                  </w:r>
                                  <w:r>
                                    <w:rPr>
                                      <w:rFonts w:ascii="Georgia;Times;Serif" w:hAnsi="Georgia;Times;Serif"/>
                                      <w:b w:val="false"/>
                                      <w:i w:val="false"/>
                                      <w:caps w:val="false"/>
                                      <w:smallCaps w:val="false"/>
                                      <w:position w:val="6"/>
                                      <w:sz w:val="14"/>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Bitcoin Trust ETF (Bloomberg ticker: IBIT)</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April 29, 2026</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May 4, 2026</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April 30, 2029</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May 3, 2029</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w:t>
                                  </w:r>
                                </w:p>
                              </w:tc>
                              <w:tc>
                                <w:tcPr>
                                  <w:tcW w:w="8849"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 xml:space="preserve">if the ending price is greater than the starting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lesser of:</w:t>
                                  </w:r>
                                </w:p>
                                <w:p>
                                  <w:pPr>
                                    <w:pStyle w:val="TableContents"/>
                                    <w:bidi w:val="0"/>
                                    <w:ind w:left="614" w:right="0" w:hanging="3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    $1,000 × fund return × upside participation rate; and</w:t>
                                  </w:r>
                                </w:p>
                                <w:p>
                                  <w:pPr>
                                    <w:pStyle w:val="TableContents"/>
                                    <w:bidi w:val="0"/>
                                    <w:ind w:left="614" w:right="0" w:hanging="3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(ii)   the maximum return;</w:t>
                                  </w:r>
                                </w:p>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if the ending price is less than or equal to the starting price, but greater than or equal to the threshold price: $1,000; or</w:t>
                                  </w:r>
                                </w:p>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spacing w:before="0" w:after="283"/>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(fund return + buffer amount)]</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pricing date</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calculation day</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Maximum Return:</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101.00% of the principal amount (at least $1,010.00 per security) (to be provided in the pricing supplement)</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200%</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 Return:</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Buffer Amount:</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25%</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75% of the starting price </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46660R3V4</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2.825%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xml:space="preserve">”), may receive 2.25% of WFS’s fee, and WFA may also receive a distribution expense fee of 0.075%.  In addition, with respect of certain securities sold in this offering, JPMS may pay a fee of up to 0.20% to selected dealers in consideration for marketing and other services in connection with the distribution of the securities to other dealers. </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 or early acceleration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28" w:type="dxa"/>
                        </w:tblCellMar>
                      </w:tblPr>
                      <w:tblGrid>
                        <w:gridCol w:w="1356"/>
                        <w:gridCol w:w="8849"/>
                      </w:tblGrid>
                      <w:tr>
                        <w:trPr/>
                        <w:tc>
                          <w:tcPr>
                            <w:tcW w:w="13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84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iShares</w:t>
                            </w:r>
                            <w:r>
                              <w:rPr>
                                <w:rFonts w:ascii="Georgia;Times;Serif" w:hAnsi="Georgia;Times;Serif"/>
                                <w:b w:val="false"/>
                                <w:i w:val="false"/>
                                <w:caps w:val="false"/>
                                <w:smallCaps w:val="false"/>
                                <w:position w:val="6"/>
                                <w:sz w:val="14"/>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Bitcoin Trust ETF (Bloomberg ticker: IBIT)</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April 29, 2026</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May 4, 2026</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April 30, 2029</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May 3, 2029</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w:t>
                            </w:r>
                          </w:p>
                        </w:tc>
                        <w:tc>
                          <w:tcPr>
                            <w:tcW w:w="8849"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 xml:space="preserve">if the ending price is greater than the starting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lesser of:</w:t>
                            </w:r>
                          </w:p>
                          <w:p>
                            <w:pPr>
                              <w:pStyle w:val="TableContents"/>
                              <w:bidi w:val="0"/>
                              <w:ind w:left="614" w:right="0" w:hanging="3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    $1,000 × fund return × upside participation rate; and</w:t>
                            </w:r>
                          </w:p>
                          <w:p>
                            <w:pPr>
                              <w:pStyle w:val="TableContents"/>
                              <w:bidi w:val="0"/>
                              <w:ind w:left="614" w:right="0" w:hanging="3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(ii)   the maximum return;</w:t>
                            </w:r>
                          </w:p>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if the ending price is less than or equal to the starting price, but greater than or equal to the threshold price: $1,000; or</w:t>
                            </w:r>
                          </w:p>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spacing w:before="0" w:after="283"/>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(fund return + buffer amount)]</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pricing date</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calculation day</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Maximum Return:</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101.00% of the principal amount (at least $1,010.00 per security) (to be provided in the pricing supplement)</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200%</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 Return:</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Buffer Amount:</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25%</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75% of the starting price </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46660R3V4</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2.825%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xml:space="preserve">”), may receive 2.25% of WFS’s fee, and WFA may also receive a distribution expense fee of 0.075%.  In addition, with respect of certain securities sold in this offering, JPMS may pay a fee of up to 0.20% to selected dealers in consideration for marketing and other services in connection with the distribution of the securities to other dealers. </w:t>
                            </w:r>
                          </w:p>
                        </w:tc>
                      </w:tr>
                      <w:tr>
                        <w:trPr/>
                        <w:tc>
                          <w:tcPr>
                            <w:tcW w:w="13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 or early acceleration</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10230" cy="6958965"/>
                <wp:effectExtent l="0" t="0" r="0" b="0"/>
                <wp:wrapSquare wrapText="left"/>
                <wp:docPr id="3" name="Frame2"/>
                <a:graphic xmlns:a="http://schemas.openxmlformats.org/drawingml/2006/main">
                  <a:graphicData uri="http://schemas.microsoft.com/office/word/2010/wordprocessingShape">
                    <wps:wsp>
                      <wps:cNvSpPr txBox="1"/>
                      <wps:spPr>
                        <a:xfrm>
                          <a:off x="0" y="0"/>
                          <a:ext cx="3110230" cy="695896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3333750" cy="20764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33750" cy="2076450"/>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maximum return equal to the lowest maximum return</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1-to-1 downside exposure to the decrease in the price of the Fund in excess of the buffer amount, and you will lose some, and possibly up to 75%,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$960.10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http://www.sec.gov/Archives/edgar/data/19617/000121390026035252/ea</w:t>
                                <w:br/>
                                <w:t>0283748-01_424b2.htm</w:t>
                              </w:r>
                            </w:hyperlink>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7.9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3333750" cy="2076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33750" cy="2076450"/>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maximum return equal to the lowest maximum return</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1-to-1 downside exposure to the decrease in the price of the Fund in excess of the buffer amount, and you will lose some, and possibly up to 75%,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$960.10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http://www.sec.gov/Archives/edgar/data/19617/000121390026035252/ea</w:t>
                          <w:br/>
                          <w:t>0283748-01_424b2.htm</w:t>
                        </w:r>
                      </w:hyperlink>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Annex A to the accompanying prospectus addendum and “Selected Risk Considerations” in the accompanying preliminary pricing supplement.</w: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prospectus addendum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the “Risk Factors” sections in the accompanying prospectus supplement and product supplement and Annex A to the accompanying prospectus addendum. Please review the risk disclosure carefully.</w:t>
      </w:r>
    </w:p>
    <w:tbl>
      <w:tblPr>
        <w:tblW w:w="10205" w:type="dxa"/>
        <w:jc w:val="left"/>
        <w:tblInd w:w="0" w:type="dxa"/>
        <w:tblLayout w:type="fixed"/>
        <w:tblCellMar>
          <w:top w:w="0" w:type="dxa"/>
          <w:left w:w="0" w:type="dxa"/>
          <w:bottom w:w="0" w:type="dxa"/>
          <w:right w:w="0" w:type="dxa"/>
        </w:tblCellMar>
      </w:tblPr>
      <w:tblGrid>
        <w:gridCol w:w="4684"/>
        <w:gridCol w:w="5521"/>
      </w:tblGrid>
      <w:tr>
        <w:trPr/>
        <w:tc>
          <w:tcPr>
            <w:tcW w:w="4684"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Ending Price Is Less Than the Threshold Price, You Will Lose Up to 75%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Return Will Be Limited to the Maximum Return and May Be Lower Than the Return on a Direct Investment in the Fund or Its Underlying Asset.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We May Accelerate Your Securities if a Liquidation Event Occurs.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Operations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Volatility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No Interest Payments or Rights With Respect to the Fund or Its Underlying Asset. </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120" w:after="40"/>
              <w:ind w:left="360" w:right="120" w:hanging="0"/>
              <w:jc w:val="left"/>
              <w:rPr>
                <w:caps w:val="false"/>
                <w:smallCaps w:val="false"/>
              </w:rPr>
            </w:pPr>
            <w:r>
              <w:rPr>
                <w:caps w:val="false"/>
                <w:smallCaps w:val="false"/>
              </w:rPr>
              <w:t> </w:t>
            </w:r>
          </w:p>
        </w:tc>
        <w:tc>
          <w:tcPr>
            <w:tcW w:w="5521"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Fund Is Not an Investment Company or Commodity Pool and Will Not Be Subject to Regulation Under the Investment Company Act of 1940, As Amended, or the Commodity Exchange Act.</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There Are Risks Associated with the Fund.</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Performance and Market Value of the Fund, Particularly During Periods of Market Volatility, May Not Correlate with the Performance of the Fund’s Underlying Asset As Well As the Net Asset Value Per Share.</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Limited Trading History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Risks Relating to Bitcoin and the Bitcoin Network.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The Anti-Dilution Protection Is Limited and May Be Discretionary</w:t>
            </w:r>
            <w:r>
              <w:rPr>
                <w:rFonts w:ascii="Georgia;Times;Serif" w:hAnsi="Georgia;Times;Serif"/>
                <w:b/>
                <w:i w:val="false"/>
                <w:caps w:val="false"/>
                <w:smallCaps w:val="false"/>
                <w:sz w:val="18"/>
              </w:rPr>
              <w: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The Maturity Payment Amount Will Depend upon the Performance of the Fund and Therefore the Securities Are Subject to the Risks Associated with the Fund, Each as Discussed in the Accompanying Preliminary Pricing Supplement and Product Supplement. </w:t>
            </w:r>
          </w:p>
          <w:p>
            <w:pPr>
              <w:pStyle w:val="TableContents"/>
              <w:bidi w:val="0"/>
              <w:spacing w:before="120" w:after="40"/>
              <w:ind w:left="450" w:right="120" w:hanging="0"/>
              <w:jc w:val="left"/>
              <w:rPr>
                <w:caps w:val="false"/>
                <w:smallCaps w:val="false"/>
              </w:rPr>
            </w:pPr>
            <w:r>
              <w:rPr>
                <w:caps w:val="false"/>
                <w:smallCaps w:val="false"/>
              </w:rPr>
              <w:t> </w:t>
            </w:r>
          </w:p>
        </w:tc>
      </w:tr>
    </w:tbl>
    <w:p>
      <w:pPr>
        <w:pStyle w:val="TextBody"/>
        <w:bidi w:val="0"/>
        <w:spacing w:before="20" w:after="120"/>
        <w:ind w:left="20" w:right="20" w:hanging="0"/>
        <w:jc w:val="left"/>
        <w:rPr>
          <w:caps w:val="false"/>
          <w:smallCaps w:val="false"/>
        </w:rPr>
      </w:pPr>
      <w:r>
        <w:rPr>
          <w:caps w:val="false"/>
          <w:smallCaps w:val="false"/>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 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jc w:val="center"/>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35252/ea0283748-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35252/ea0283748-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1395</Words>
  <Characters>7422</Characters>
  <CharactersWithSpaces>8899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