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333-270004 and 333-270004-01</w:t>
      </w:r>
    </w:p>
    <w:p>
      <w:pPr>
        <w:jc w:val="right"/>
        <w:spacing w:after="0" w:line="229" w:lineRule="auto"/>
        <w:rPr>
          <w:sz w:val="20"/>
          <w:szCs w:val="20"/>
          <w:color w:val="auto"/>
        </w:rPr>
      </w:pPr>
      <w:r>
        <w:rPr>
          <w:rFonts w:ascii="Arial" w:cs="Arial" w:eastAsia="Arial" w:hAnsi="Arial"/>
          <w:sz w:val="14"/>
          <w:szCs w:val="14"/>
          <w:color w:val="808080"/>
        </w:rPr>
        <w:t>Dated September 5, 2025</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2yr SX5E/SPX/RTY Contingent Income 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0" w:right="20"/>
        <w:spacing w:after="0" w:line="251"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prospectus and prospectus addendum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48869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17145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p>
      <w:pPr>
        <w:spacing w:after="0" w:line="37"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6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177"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42"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Underlying indices:</w:t>
      </w:r>
    </w:p>
    <w:p>
      <w:pPr>
        <w:spacing w:after="0" w:line="200" w:lineRule="exact"/>
        <w:rPr>
          <w:sz w:val="24"/>
          <w:szCs w:val="24"/>
          <w:color w:val="auto"/>
        </w:rPr>
      </w:pPr>
    </w:p>
    <w:p>
      <w:pPr>
        <w:spacing w:after="0" w:line="395" w:lineRule="exact"/>
        <w:rPr>
          <w:sz w:val="24"/>
          <w:szCs w:val="24"/>
          <w:color w:val="auto"/>
        </w:rPr>
      </w:pPr>
    </w:p>
    <w:p>
      <w:pPr>
        <w:ind w:left="100" w:right="480"/>
        <w:spacing w:after="0" w:line="294" w:lineRule="auto"/>
        <w:rPr>
          <w:sz w:val="20"/>
          <w:szCs w:val="20"/>
          <w:color w:val="auto"/>
        </w:rPr>
      </w:pPr>
      <w:r>
        <w:rPr>
          <w:rFonts w:ascii="Arial" w:cs="Arial" w:eastAsia="Arial" w:hAnsi="Arial"/>
          <w:sz w:val="14"/>
          <w:szCs w:val="14"/>
          <w:b w:val="1"/>
          <w:bCs w:val="1"/>
          <w:color w:val="296DC1"/>
        </w:rPr>
        <w:t>Optional early redemption: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00" w:right="260"/>
        <w:spacing w:after="0" w:line="294" w:lineRule="auto"/>
        <w:rPr>
          <w:sz w:val="20"/>
          <w:szCs w:val="20"/>
          <w:color w:val="auto"/>
        </w:rPr>
      </w:pPr>
      <w:r>
        <w:rPr>
          <w:rFonts w:ascii="Arial" w:cs="Arial" w:eastAsia="Arial" w:hAnsi="Arial"/>
          <w:sz w:val="14"/>
          <w:szCs w:val="14"/>
          <w:b w:val="1"/>
          <w:bCs w:val="1"/>
          <w:color w:val="296DC1"/>
        </w:rPr>
        <w:t>Early redemption payment:</w:t>
      </w:r>
    </w:p>
    <w:p>
      <w:pPr>
        <w:spacing w:after="0" w:line="240" w:lineRule="exact"/>
        <w:rPr>
          <w:sz w:val="24"/>
          <w:szCs w:val="24"/>
          <w:color w:val="auto"/>
        </w:rPr>
      </w:pPr>
    </w:p>
    <w:p>
      <w:pPr>
        <w:ind w:left="100" w:right="20"/>
        <w:spacing w:after="0" w:line="294" w:lineRule="auto"/>
        <w:rPr>
          <w:sz w:val="20"/>
          <w:szCs w:val="20"/>
          <w:color w:val="auto"/>
        </w:rPr>
      </w:pPr>
      <w:r>
        <w:rPr>
          <w:rFonts w:ascii="Arial" w:cs="Arial" w:eastAsia="Arial" w:hAnsi="Arial"/>
          <w:sz w:val="14"/>
          <w:szCs w:val="14"/>
          <w:b w:val="1"/>
          <w:bCs w:val="1"/>
          <w:color w:val="296DC1"/>
        </w:rPr>
        <w:t>Contingent quarterly payment: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Payment at maturity: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00" w:right="60"/>
        <w:spacing w:after="0" w:line="271" w:lineRule="auto"/>
        <w:rPr>
          <w:sz w:val="20"/>
          <w:szCs w:val="20"/>
          <w:color w:val="auto"/>
        </w:rPr>
      </w:pPr>
      <w:r>
        <w:rPr>
          <w:rFonts w:ascii="Arial" w:cs="Arial" w:eastAsia="Arial" w:hAnsi="Arial"/>
          <w:sz w:val="14"/>
          <w:szCs w:val="14"/>
          <w:b w:val="1"/>
          <w:bCs w:val="1"/>
          <w:color w:val="296DC1"/>
        </w:rPr>
        <w:t>Downside threshold level:</w:t>
      </w:r>
    </w:p>
    <w:p>
      <w:pPr>
        <w:spacing w:after="0" w:line="1" w:lineRule="exact"/>
        <w:rPr>
          <w:sz w:val="24"/>
          <w:szCs w:val="24"/>
          <w:color w:val="auto"/>
        </w:rPr>
      </w:pPr>
    </w:p>
    <w:p>
      <w:pPr>
        <w:ind w:left="100"/>
        <w:spacing w:after="0" w:line="294" w:lineRule="auto"/>
        <w:rPr>
          <w:sz w:val="20"/>
          <w:szCs w:val="20"/>
          <w:color w:val="auto"/>
        </w:rPr>
      </w:pPr>
      <w:r>
        <w:rPr>
          <w:rFonts w:ascii="Arial" w:cs="Arial" w:eastAsia="Arial" w:hAnsi="Arial"/>
          <w:sz w:val="14"/>
          <w:szCs w:val="14"/>
          <w:b w:val="1"/>
          <w:bCs w:val="1"/>
          <w:color w:val="296DC1"/>
        </w:rPr>
        <w:t>Quarterly monitoring period:</w:t>
      </w:r>
    </w:p>
    <w:p>
      <w:pPr>
        <w:spacing w:after="0" w:line="38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Initial index value:</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ind w:left="9" w:right="560"/>
        <w:spacing w:after="0" w:line="270" w:lineRule="auto"/>
        <w:rPr>
          <w:sz w:val="20"/>
          <w:szCs w:val="20"/>
          <w:color w:val="auto"/>
        </w:rPr>
      </w:pPr>
      <w:r>
        <w:rPr>
          <w:rFonts w:ascii="Arial" w:cs="Arial" w:eastAsia="Arial" w:hAnsi="Arial"/>
          <w:sz w:val="13"/>
          <w:szCs w:val="13"/>
          <w:color w:val="auto"/>
        </w:rPr>
        <w:t>JPMorgan Chase Financial Company LLC (“JPMorgan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0</wp:posOffset>
            </wp:positionV>
            <wp:extent cx="348869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28905"/>
                    </a:xfrm>
                    <a:prstGeom prst="rect">
                      <a:avLst/>
                    </a:prstGeom>
                    <a:noFill/>
                  </pic:spPr>
                </pic:pic>
              </a:graphicData>
            </a:graphic>
          </wp:anchor>
        </w:drawing>
      </w:r>
    </w:p>
    <w:p>
      <w:pPr>
        <w:ind w:left="9"/>
        <w:spacing w:after="0"/>
        <w:rPr>
          <w:sz w:val="20"/>
          <w:szCs w:val="20"/>
          <w:color w:val="auto"/>
        </w:rPr>
      </w:pPr>
      <w:r>
        <w:rPr>
          <w:rFonts w:ascii="Arial" w:cs="Arial" w:eastAsia="Arial" w:hAnsi="Arial"/>
          <w:sz w:val="13"/>
          <w:szCs w:val="13"/>
          <w:color w:val="auto"/>
        </w:rPr>
        <w:t>JPMorgan Chase &amp; Co.</w:t>
      </w:r>
    </w:p>
    <w:p>
      <w:pPr>
        <w:spacing w:after="0" w:line="8" w:lineRule="exact"/>
        <w:rPr>
          <w:sz w:val="24"/>
          <w:szCs w:val="24"/>
          <w:color w:val="auto"/>
        </w:rPr>
      </w:pPr>
    </w:p>
    <w:p>
      <w:pPr>
        <w:ind w:left="9"/>
        <w:spacing w:after="0"/>
        <w:rPr>
          <w:sz w:val="20"/>
          <w:szCs w:val="20"/>
          <w:color w:val="auto"/>
        </w:rPr>
      </w:pPr>
      <w:r>
        <w:rPr>
          <w:rFonts w:ascii="Arial" w:cs="Arial" w:eastAsia="Arial" w:hAnsi="Arial"/>
          <w:sz w:val="13"/>
          <w:szCs w:val="13"/>
          <w:color w:val="auto"/>
        </w:rPr>
        <w:t>EURO STOXX 50</w:t>
      </w:r>
      <w:r>
        <w:rPr>
          <w:rFonts w:ascii="Arial" w:cs="Arial" w:eastAsia="Arial" w:hAnsi="Arial"/>
          <w:sz w:val="22"/>
          <w:szCs w:val="22"/>
          <w:color w:val="auto"/>
          <w:vertAlign w:val="superscript"/>
        </w:rPr>
        <w:t>®</w:t>
      </w:r>
      <w:r>
        <w:rPr>
          <w:rFonts w:ascii="Arial" w:cs="Arial" w:eastAsia="Arial" w:hAnsi="Arial"/>
          <w:sz w:val="13"/>
          <w:szCs w:val="13"/>
          <w:color w:val="auto"/>
        </w:rPr>
        <w:t xml:space="preserve"> Index (Bloomberg Ticker: SX5E Index) (the</w:t>
      </w:r>
    </w:p>
    <w:p>
      <w:pPr>
        <w:ind w:left="9"/>
        <w:spacing w:after="0" w:line="187" w:lineRule="auto"/>
        <w:rPr>
          <w:sz w:val="20"/>
          <w:szCs w:val="20"/>
          <w:color w:val="auto"/>
        </w:rPr>
      </w:pPr>
      <w:r>
        <w:rPr>
          <w:rFonts w:ascii="Arial" w:cs="Arial" w:eastAsia="Arial" w:hAnsi="Arial"/>
          <w:sz w:val="13"/>
          <w:szCs w:val="13"/>
          <w:color w:val="auto"/>
        </w:rPr>
        <w:t>“SX5E Index”), S&amp;P 500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 (Bloomberg Ticker: SPX Index)</w:t>
      </w:r>
    </w:p>
    <w:p>
      <w:pPr>
        <w:ind w:left="9"/>
        <w:spacing w:after="0" w:line="181" w:lineRule="auto"/>
        <w:rPr>
          <w:sz w:val="20"/>
          <w:szCs w:val="20"/>
          <w:color w:val="auto"/>
        </w:rPr>
      </w:pPr>
      <w:r>
        <w:rPr>
          <w:rFonts w:ascii="Arial" w:cs="Arial" w:eastAsia="Arial" w:hAnsi="Arial"/>
          <w:sz w:val="13"/>
          <w:szCs w:val="13"/>
          <w:color w:val="auto"/>
        </w:rPr>
        <w:t>(the “SPX Index”) and Russell 2000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 (Bloomberg Ticker:</w:t>
      </w:r>
    </w:p>
    <w:p>
      <w:pPr>
        <w:spacing w:after="0" w:line="1" w:lineRule="exact"/>
        <w:rPr>
          <w:sz w:val="24"/>
          <w:szCs w:val="24"/>
          <w:color w:val="auto"/>
        </w:rPr>
      </w:pPr>
    </w:p>
    <w:p>
      <w:pPr>
        <w:ind w:left="9"/>
        <w:spacing w:after="0"/>
        <w:rPr>
          <w:sz w:val="20"/>
          <w:szCs w:val="20"/>
          <w:color w:val="auto"/>
        </w:rPr>
      </w:pPr>
      <w:r>
        <w:rPr>
          <w:rFonts w:ascii="Arial" w:cs="Arial" w:eastAsia="Arial" w:hAnsi="Arial"/>
          <w:sz w:val="13"/>
          <w:szCs w:val="13"/>
          <w:color w:val="auto"/>
        </w:rPr>
        <w:t>RTY Index) (the “RTY Index”) (each an “underlying index”)</w:t>
      </w:r>
    </w:p>
    <w:p>
      <w:pPr>
        <w:spacing w:after="0" w:line="26" w:lineRule="exact"/>
        <w:rPr>
          <w:sz w:val="24"/>
          <w:szCs w:val="24"/>
          <w:color w:val="auto"/>
        </w:rPr>
      </w:pPr>
    </w:p>
    <w:p>
      <w:pPr>
        <w:ind w:left="9"/>
        <w:spacing w:after="0" w:line="243" w:lineRule="auto"/>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auto"/>
        </w:rPr>
        <w:t>at our discretion</w:t>
      </w:r>
      <w:r>
        <w:rPr>
          <w:rFonts w:ascii="Arial" w:cs="Arial" w:eastAsia="Arial" w:hAnsi="Arial"/>
          <w:sz w:val="13"/>
          <w:szCs w:val="13"/>
          <w:color w:val="auto"/>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-959485</wp:posOffset>
            </wp:positionV>
            <wp:extent cx="3488690" cy="106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1062990"/>
                    </a:xfrm>
                    <a:prstGeom prst="rect">
                      <a:avLst/>
                    </a:prstGeom>
                    <a:noFill/>
                  </pic:spPr>
                </pic:pic>
              </a:graphicData>
            </a:graphic>
          </wp:anchor>
        </w:drawing>
      </w:r>
    </w:p>
    <w:p>
      <w:pPr>
        <w:spacing w:after="0" w:line="142" w:lineRule="exact"/>
        <w:rPr>
          <w:sz w:val="24"/>
          <w:szCs w:val="24"/>
          <w:color w:val="auto"/>
        </w:rPr>
      </w:pPr>
    </w:p>
    <w:p>
      <w:pPr>
        <w:ind w:left="9" w:right="20"/>
        <w:spacing w:after="0" w:line="254" w:lineRule="auto"/>
        <w:rPr>
          <w:sz w:val="20"/>
          <w:szCs w:val="20"/>
          <w:color w:val="auto"/>
        </w:rPr>
      </w:pPr>
      <w:r>
        <w:rPr>
          <w:rFonts w:ascii="Arial" w:cs="Arial" w:eastAsia="Arial" w:hAnsi="Arial"/>
          <w:sz w:val="13"/>
          <w:szCs w:val="13"/>
          <w:color w:val="auto"/>
        </w:rPr>
        <w:t xml:space="preserve">The early redemption payment will be an amount equal to (i)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(ii) any contingent quarterly payment otherwise due with respect to the quarterly monitoring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100965</wp:posOffset>
            </wp:positionV>
            <wp:extent cx="3488690" cy="1551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1551305"/>
                    </a:xfrm>
                    <a:prstGeom prst="rect">
                      <a:avLst/>
                    </a:prstGeom>
                    <a:noFill/>
                  </pic:spPr>
                </pic:pic>
              </a:graphicData>
            </a:graphic>
          </wp:anchor>
        </w:drawing>
      </w:r>
    </w:p>
    <w:p>
      <w:pPr>
        <w:spacing w:after="0" w:line="140" w:lineRule="exact"/>
        <w:rPr>
          <w:sz w:val="24"/>
          <w:szCs w:val="24"/>
          <w:color w:val="auto"/>
        </w:rPr>
      </w:pPr>
    </w:p>
    <w:p>
      <w:pPr>
        <w:ind w:left="149" w:right="100" w:hanging="132"/>
        <w:spacing w:after="0" w:line="244" w:lineRule="auto"/>
        <w:tabs>
          <w:tab w:leader="none" w:pos="123" w:val="left"/>
        </w:tabs>
        <w:numPr>
          <w:ilvl w:val="1"/>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If the closing level of each underlying index is greater than or equal to its downside threshold level on each day during a quarterly monitoring period, we will pay a contingent quarterly payment of at least $20.00 (at least 2.00% of the stated principal amount) per security on the related contingent payment date. The actual contingent quarterly payment will be provided in the pricing supplement.</w:t>
      </w:r>
    </w:p>
    <w:p>
      <w:pPr>
        <w:spacing w:after="0" w:line="2" w:lineRule="exact"/>
        <w:rPr>
          <w:rFonts w:ascii="Times New Roman" w:cs="Times New Roman" w:eastAsia="Times New Roman" w:hAnsi="Times New Roman"/>
          <w:sz w:val="13"/>
          <w:szCs w:val="13"/>
          <w:color w:val="auto"/>
        </w:rPr>
      </w:pPr>
    </w:p>
    <w:p>
      <w:pPr>
        <w:ind w:left="109" w:right="140" w:hanging="109"/>
        <w:spacing w:after="0" w:line="245" w:lineRule="auto"/>
        <w:tabs>
          <w:tab w:leader="none" w:pos="104" w:val="left"/>
        </w:tabs>
        <w:numPr>
          <w:ilvl w:val="0"/>
          <w:numId w:val="1"/>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If the closing level of </w:t>
      </w:r>
      <w:r>
        <w:rPr>
          <w:rFonts w:ascii="Arial" w:cs="Arial" w:eastAsia="Arial" w:hAnsi="Arial"/>
          <w:sz w:val="13"/>
          <w:szCs w:val="13"/>
          <w:b w:val="1"/>
          <w:bCs w:val="1"/>
          <w:color w:val="auto"/>
        </w:rPr>
        <w:t>any underlying index</w:t>
      </w:r>
      <w:r>
        <w:rPr>
          <w:rFonts w:ascii="Arial" w:cs="Arial" w:eastAsia="Arial" w:hAnsi="Arial"/>
          <w:sz w:val="13"/>
          <w:szCs w:val="13"/>
          <w:color w:val="auto"/>
        </w:rPr>
        <w:t xml:space="preserve"> is less than its downside threshold level on </w:t>
      </w:r>
      <w:r>
        <w:rPr>
          <w:rFonts w:ascii="Arial" w:cs="Arial" w:eastAsia="Arial" w:hAnsi="Arial"/>
          <w:sz w:val="13"/>
          <w:szCs w:val="13"/>
          <w:b w:val="1"/>
          <w:bCs w:val="1"/>
          <w:color w:val="auto"/>
        </w:rPr>
        <w:t>any</w:t>
      </w:r>
      <w:r>
        <w:rPr>
          <w:rFonts w:ascii="Arial" w:cs="Arial" w:eastAsia="Arial" w:hAnsi="Arial"/>
          <w:sz w:val="13"/>
          <w:szCs w:val="13"/>
          <w:color w:val="auto"/>
        </w:rPr>
        <w:t xml:space="preserve"> day during a quarterly monitoring period, no contingent quarterly payment will be payable with respect to that quarterly monitoring period. </w:t>
      </w:r>
      <w:r>
        <w:rPr>
          <w:rFonts w:ascii="Arial" w:cs="Arial" w:eastAsia="Arial" w:hAnsi="Arial"/>
          <w:sz w:val="13"/>
          <w:szCs w:val="13"/>
          <w:b w:val="1"/>
          <w:bCs w:val="1"/>
          <w:color w:val="auto"/>
        </w:rPr>
        <w:t>It is</w:t>
      </w:r>
      <w:r>
        <w:rPr>
          <w:rFonts w:ascii="Arial" w:cs="Arial" w:eastAsia="Arial" w:hAnsi="Arial"/>
          <w:sz w:val="13"/>
          <w:szCs w:val="13"/>
          <w:color w:val="auto"/>
        </w:rPr>
        <w:t xml:space="preserve"> </w:t>
      </w:r>
      <w:r>
        <w:rPr>
          <w:rFonts w:ascii="Arial" w:cs="Arial" w:eastAsia="Arial" w:hAnsi="Arial"/>
          <w:sz w:val="13"/>
          <w:szCs w:val="13"/>
          <w:b w:val="1"/>
          <w:bCs w:val="1"/>
          <w:color w:val="auto"/>
        </w:rPr>
        <w:t>possible that one or more of the underlying indices will be below their respective downside threshold levels on at least one day during most or all of the quarterly monitoring periods so that you will receive few or no contingent quarterly payments.</w:t>
      </w:r>
    </w:p>
    <w:tbl>
      <w:tblPr>
        <w:tblLayout w:type="fixed"/>
        <w:tblInd w:w="9" w:type="dxa"/>
        <w:tblCellMar>
          <w:top w:w="0" w:type="dxa"/>
          <w:left w:w="0" w:type="dxa"/>
          <w:bottom w:w="0" w:type="dxa"/>
          <w:right w:w="0" w:type="dxa"/>
        </w:tblCellMar>
      </w:tblPr>
      <w:tr>
        <w:trPr>
          <w:trHeight w:val="149"/>
        </w:trPr>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1420" w:type="dxa"/>
            <w:vAlign w:val="bottom"/>
          </w:tcPr>
          <w:p>
            <w:pPr>
              <w:ind w:left="40"/>
              <w:spacing w:after="0"/>
              <w:rPr>
                <w:sz w:val="20"/>
                <w:szCs w:val="20"/>
                <w:color w:val="auto"/>
              </w:rPr>
            </w:pPr>
            <w:r>
              <w:rPr>
                <w:rFonts w:ascii="Arial" w:cs="Arial" w:eastAsia="Arial" w:hAnsi="Arial"/>
                <w:sz w:val="13"/>
                <w:szCs w:val="13"/>
                <w:color w:val="auto"/>
              </w:rPr>
              <w:t>If the final index value</w:t>
            </w:r>
          </w:p>
        </w:tc>
        <w:tc>
          <w:tcPr>
            <w:tcW w:w="2280" w:type="dxa"/>
            <w:vAlign w:val="bottom"/>
          </w:tcPr>
          <w:p>
            <w:pPr>
              <w:ind w:left="100"/>
              <w:spacing w:after="0"/>
              <w:rPr>
                <w:sz w:val="20"/>
                <w:szCs w:val="20"/>
                <w:color w:val="auto"/>
              </w:rPr>
            </w:pPr>
            <w:r>
              <w:rPr>
                <w:rFonts w:ascii="Arial" w:cs="Arial" w:eastAsia="Arial" w:hAnsi="Arial"/>
                <w:sz w:val="13"/>
                <w:szCs w:val="13"/>
                <w:color w:val="auto"/>
              </w:rPr>
              <w:t xml:space="preserve">(i)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w:t>
            </w:r>
          </w:p>
        </w:tc>
      </w:tr>
      <w:tr>
        <w:trPr>
          <w:trHeight w:val="149"/>
        </w:trPr>
        <w:tc>
          <w:tcPr>
            <w:tcW w:w="8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 xml:space="preserve">of </w:t>
            </w:r>
            <w:r>
              <w:rPr>
                <w:rFonts w:ascii="Arial" w:cs="Arial" w:eastAsia="Arial" w:hAnsi="Arial"/>
                <w:sz w:val="13"/>
                <w:szCs w:val="13"/>
                <w:b w:val="1"/>
                <w:bCs w:val="1"/>
                <w:color w:val="auto"/>
              </w:rPr>
              <w:t>each</w:t>
            </w:r>
            <w:r>
              <w:rPr>
                <w:rFonts w:ascii="Arial" w:cs="Arial" w:eastAsia="Arial" w:hAnsi="Arial"/>
                <w:sz w:val="13"/>
                <w:szCs w:val="13"/>
                <w:color w:val="auto"/>
              </w:rPr>
              <w:t xml:space="preserve"> underlying</w:t>
            </w:r>
          </w:p>
        </w:tc>
        <w:tc>
          <w:tcPr>
            <w:tcW w:w="2280" w:type="dxa"/>
            <w:vAlign w:val="bottom"/>
          </w:tcPr>
          <w:p>
            <w:pPr>
              <w:ind w:left="100"/>
              <w:spacing w:after="0"/>
              <w:rPr>
                <w:sz w:val="20"/>
                <w:szCs w:val="20"/>
                <w:color w:val="auto"/>
              </w:rPr>
            </w:pPr>
            <w:r>
              <w:rPr>
                <w:rFonts w:ascii="Arial" w:cs="Arial" w:eastAsia="Arial" w:hAnsi="Arial"/>
                <w:sz w:val="13"/>
                <w:szCs w:val="13"/>
                <w:color w:val="auto"/>
              </w:rPr>
              <w:t>(ii) if the closing level of each</w:t>
            </w:r>
          </w:p>
        </w:tc>
      </w:tr>
      <w:tr>
        <w:trPr>
          <w:trHeight w:val="148"/>
        </w:trPr>
        <w:tc>
          <w:tcPr>
            <w:tcW w:w="8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 xml:space="preserve">index is </w:t>
            </w:r>
            <w:r>
              <w:rPr>
                <w:rFonts w:ascii="Arial" w:cs="Arial" w:eastAsia="Arial" w:hAnsi="Arial"/>
                <w:sz w:val="13"/>
                <w:szCs w:val="13"/>
                <w:b w:val="1"/>
                <w:bCs w:val="1"/>
                <w:color w:val="auto"/>
              </w:rPr>
              <w:t>greater than</w:t>
            </w:r>
          </w:p>
        </w:tc>
        <w:tc>
          <w:tcPr>
            <w:tcW w:w="2280" w:type="dxa"/>
            <w:vAlign w:val="bottom"/>
          </w:tcPr>
          <w:p>
            <w:pPr>
              <w:ind w:left="100"/>
              <w:spacing w:after="0"/>
              <w:rPr>
                <w:sz w:val="20"/>
                <w:szCs w:val="20"/>
                <w:color w:val="auto"/>
              </w:rPr>
            </w:pPr>
            <w:r>
              <w:rPr>
                <w:rFonts w:ascii="Arial" w:cs="Arial" w:eastAsia="Arial" w:hAnsi="Arial"/>
                <w:sz w:val="13"/>
                <w:szCs w:val="13"/>
                <w:color w:val="auto"/>
              </w:rPr>
              <w:t>underlying index on each day during</w:t>
            </w:r>
          </w:p>
        </w:tc>
      </w:tr>
      <w:tr>
        <w:trPr>
          <w:trHeight w:val="150"/>
        </w:trPr>
        <w:tc>
          <w:tcPr>
            <w:tcW w:w="8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3"/>
                <w:szCs w:val="13"/>
                <w:b w:val="1"/>
                <w:bCs w:val="1"/>
                <w:color w:val="auto"/>
              </w:rPr>
              <w:t xml:space="preserve">or equal to </w:t>
            </w:r>
            <w:r>
              <w:rPr>
                <w:rFonts w:ascii="Arial" w:cs="Arial" w:eastAsia="Arial" w:hAnsi="Arial"/>
                <w:sz w:val="13"/>
                <w:szCs w:val="13"/>
                <w:color w:val="auto"/>
              </w:rPr>
              <w:t>its</w:t>
            </w:r>
          </w:p>
        </w:tc>
        <w:tc>
          <w:tcPr>
            <w:tcW w:w="2280" w:type="dxa"/>
            <w:vAlign w:val="bottom"/>
          </w:tcPr>
          <w:p>
            <w:pPr>
              <w:ind w:left="100"/>
              <w:spacing w:after="0"/>
              <w:rPr>
                <w:sz w:val="20"/>
                <w:szCs w:val="20"/>
                <w:color w:val="auto"/>
              </w:rPr>
            </w:pPr>
            <w:r>
              <w:rPr>
                <w:rFonts w:ascii="Arial" w:cs="Arial" w:eastAsia="Arial" w:hAnsi="Arial"/>
                <w:sz w:val="13"/>
                <w:szCs w:val="13"/>
                <w:color w:val="auto"/>
              </w:rPr>
              <w:t>the final quarterly monitoring period</w:t>
            </w:r>
          </w:p>
        </w:tc>
      </w:tr>
      <w:tr>
        <w:trPr>
          <w:trHeight w:val="149"/>
        </w:trPr>
        <w:tc>
          <w:tcPr>
            <w:tcW w:w="8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downside threshold</w:t>
            </w:r>
          </w:p>
        </w:tc>
        <w:tc>
          <w:tcPr>
            <w:tcW w:w="2280" w:type="dxa"/>
            <w:vAlign w:val="bottom"/>
          </w:tcPr>
          <w:p>
            <w:pPr>
              <w:ind w:left="100"/>
              <w:spacing w:after="0"/>
              <w:rPr>
                <w:sz w:val="20"/>
                <w:szCs w:val="20"/>
                <w:color w:val="auto"/>
              </w:rPr>
            </w:pPr>
            <w:r>
              <w:rPr>
                <w:rFonts w:ascii="Arial" w:cs="Arial" w:eastAsia="Arial" w:hAnsi="Arial"/>
                <w:sz w:val="13"/>
                <w:szCs w:val="13"/>
                <w:color w:val="auto"/>
              </w:rPr>
              <w:t>is greater than or equal to its</w:t>
            </w:r>
          </w:p>
        </w:tc>
      </w:tr>
      <w:tr>
        <w:trPr>
          <w:trHeight w:val="148"/>
        </w:trPr>
        <w:tc>
          <w:tcPr>
            <w:tcW w:w="8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level:</w:t>
            </w:r>
          </w:p>
        </w:tc>
        <w:tc>
          <w:tcPr>
            <w:tcW w:w="2280" w:type="dxa"/>
            <w:vAlign w:val="bottom"/>
          </w:tcPr>
          <w:p>
            <w:pPr>
              <w:ind w:left="100"/>
              <w:spacing w:after="0"/>
              <w:rPr>
                <w:sz w:val="20"/>
                <w:szCs w:val="20"/>
                <w:color w:val="auto"/>
              </w:rPr>
            </w:pPr>
            <w:r>
              <w:rPr>
                <w:rFonts w:ascii="Arial" w:cs="Arial" w:eastAsia="Arial" w:hAnsi="Arial"/>
                <w:sz w:val="13"/>
                <w:szCs w:val="13"/>
                <w:color w:val="auto"/>
              </w:rPr>
              <w:t>downside threshold level, the</w:t>
            </w:r>
          </w:p>
        </w:tc>
      </w:tr>
      <w:tr>
        <w:trPr>
          <w:trHeight w:val="148"/>
        </w:trPr>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contingent quarterly payment with</w:t>
            </w:r>
          </w:p>
        </w:tc>
      </w:tr>
      <w:tr>
        <w:trPr>
          <w:trHeight w:val="149"/>
        </w:trPr>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respect to the final quarterly</w:t>
            </w:r>
          </w:p>
        </w:tc>
      </w:tr>
      <w:tr>
        <w:trPr>
          <w:trHeight w:val="176"/>
        </w:trPr>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monitoring period.</w:t>
            </w:r>
          </w:p>
        </w:tc>
      </w:tr>
      <w:tr>
        <w:trPr>
          <w:trHeight w:val="159"/>
        </w:trPr>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1420" w:type="dxa"/>
            <w:vAlign w:val="bottom"/>
          </w:tcPr>
          <w:p>
            <w:pPr>
              <w:ind w:left="40"/>
              <w:spacing w:after="0"/>
              <w:rPr>
                <w:sz w:val="20"/>
                <w:szCs w:val="20"/>
                <w:color w:val="auto"/>
              </w:rPr>
            </w:pPr>
            <w:r>
              <w:rPr>
                <w:rFonts w:ascii="Arial" w:cs="Arial" w:eastAsia="Arial" w:hAnsi="Arial"/>
                <w:sz w:val="13"/>
                <w:szCs w:val="13"/>
                <w:color w:val="auto"/>
              </w:rPr>
              <w:t>If the final index value</w:t>
            </w:r>
          </w:p>
        </w:tc>
        <w:tc>
          <w:tcPr>
            <w:tcW w:w="2280" w:type="dxa"/>
            <w:vAlign w:val="bottom"/>
          </w:tcPr>
          <w:p>
            <w:pPr>
              <w:ind w:left="100"/>
              <w:spacing w:after="0"/>
              <w:rPr>
                <w:sz w:val="20"/>
                <w:szCs w:val="20"/>
                <w:color w:val="auto"/>
              </w:rPr>
            </w:pPr>
            <w:r>
              <w:rPr>
                <w:rFonts w:ascii="Arial" w:cs="Arial" w:eastAsia="Arial" w:hAnsi="Arial"/>
                <w:sz w:val="13"/>
                <w:szCs w:val="13"/>
                <w:color w:val="auto"/>
              </w:rPr>
              <w:t xml:space="preserve">(i) the stated principal amount </w:t>
            </w:r>
            <w:r>
              <w:rPr>
                <w:rFonts w:ascii="Arial" w:cs="Arial" w:eastAsia="Arial" w:hAnsi="Arial"/>
                <w:sz w:val="13"/>
                <w:szCs w:val="13"/>
                <w:i w:val="1"/>
                <w:iCs w:val="1"/>
                <w:color w:val="auto"/>
              </w:rPr>
              <w:t>times</w:t>
            </w:r>
          </w:p>
        </w:tc>
      </w:tr>
      <w:tr>
        <w:trPr>
          <w:trHeight w:val="148"/>
        </w:trPr>
        <w:tc>
          <w:tcPr>
            <w:tcW w:w="8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 xml:space="preserve">of </w:t>
            </w:r>
            <w:r>
              <w:rPr>
                <w:rFonts w:ascii="Arial" w:cs="Arial" w:eastAsia="Arial" w:hAnsi="Arial"/>
                <w:sz w:val="13"/>
                <w:szCs w:val="13"/>
                <w:b w:val="1"/>
                <w:bCs w:val="1"/>
                <w:color w:val="auto"/>
              </w:rPr>
              <w:t>any</w:t>
            </w:r>
            <w:r>
              <w:rPr>
                <w:rFonts w:ascii="Arial" w:cs="Arial" w:eastAsia="Arial" w:hAnsi="Arial"/>
                <w:sz w:val="13"/>
                <w:szCs w:val="13"/>
                <w:color w:val="auto"/>
              </w:rPr>
              <w:t xml:space="preserve"> underlying</w:t>
            </w:r>
          </w:p>
        </w:tc>
        <w:tc>
          <w:tcPr>
            <w:tcW w:w="2280" w:type="dxa"/>
            <w:vAlign w:val="bottom"/>
          </w:tcPr>
          <w:p>
            <w:pPr>
              <w:ind w:left="100"/>
              <w:spacing w:after="0"/>
              <w:rPr>
                <w:sz w:val="20"/>
                <w:szCs w:val="20"/>
                <w:color w:val="auto"/>
              </w:rPr>
            </w:pPr>
            <w:r>
              <w:rPr>
                <w:rFonts w:ascii="Arial" w:cs="Arial" w:eastAsia="Arial" w:hAnsi="Arial"/>
                <w:sz w:val="13"/>
                <w:szCs w:val="13"/>
                <w:color w:val="auto"/>
              </w:rPr>
              <w:t>(ii) the index performance factor of</w:t>
            </w:r>
          </w:p>
        </w:tc>
      </w:tr>
      <w:tr>
        <w:trPr>
          <w:trHeight w:val="150"/>
        </w:trPr>
        <w:tc>
          <w:tcPr>
            <w:tcW w:w="8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 xml:space="preserve">index 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w:t>
            </w:r>
          </w:p>
        </w:tc>
        <w:tc>
          <w:tcPr>
            <w:tcW w:w="2280" w:type="dxa"/>
            <w:vAlign w:val="bottom"/>
          </w:tcPr>
          <w:p>
            <w:pPr>
              <w:ind w:left="100"/>
              <w:spacing w:after="0"/>
              <w:rPr>
                <w:sz w:val="20"/>
                <w:szCs w:val="20"/>
                <w:color w:val="auto"/>
              </w:rPr>
            </w:pPr>
            <w:r>
              <w:rPr>
                <w:rFonts w:ascii="Arial" w:cs="Arial" w:eastAsia="Arial" w:hAnsi="Arial"/>
                <w:sz w:val="13"/>
                <w:szCs w:val="13"/>
                <w:color w:val="auto"/>
              </w:rPr>
              <w:t>the worst performing underlying</w:t>
            </w:r>
          </w:p>
        </w:tc>
      </w:tr>
      <w:tr>
        <w:trPr>
          <w:trHeight w:val="149"/>
        </w:trPr>
        <w:tc>
          <w:tcPr>
            <w:tcW w:w="8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downside threshold</w:t>
            </w:r>
          </w:p>
        </w:tc>
        <w:tc>
          <w:tcPr>
            <w:tcW w:w="2280" w:type="dxa"/>
            <w:vAlign w:val="bottom"/>
          </w:tcPr>
          <w:p>
            <w:pPr>
              <w:ind w:left="100"/>
              <w:spacing w:after="0"/>
              <w:rPr>
                <w:sz w:val="20"/>
                <w:szCs w:val="20"/>
                <w:color w:val="auto"/>
              </w:rPr>
            </w:pPr>
            <w:r>
              <w:rPr>
                <w:rFonts w:ascii="Arial" w:cs="Arial" w:eastAsia="Arial" w:hAnsi="Arial"/>
                <w:sz w:val="13"/>
                <w:szCs w:val="13"/>
                <w:color w:val="auto"/>
              </w:rPr>
              <w:t>index. This cash payment will be</w:t>
            </w:r>
          </w:p>
        </w:tc>
      </w:tr>
      <w:tr>
        <w:trPr>
          <w:trHeight w:val="148"/>
        </w:trPr>
        <w:tc>
          <w:tcPr>
            <w:tcW w:w="80" w:type="dxa"/>
            <w:vAlign w:val="bottom"/>
          </w:tcPr>
          <w:p>
            <w:pPr>
              <w:spacing w:after="0"/>
              <w:rPr>
                <w:sz w:val="12"/>
                <w:szCs w:val="12"/>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level:</w:t>
            </w:r>
          </w:p>
        </w:tc>
        <w:tc>
          <w:tcPr>
            <w:tcW w:w="2280" w:type="dxa"/>
            <w:vAlign w:val="bottom"/>
          </w:tcPr>
          <w:p>
            <w:pPr>
              <w:ind w:left="100"/>
              <w:spacing w:after="0"/>
              <w:rPr>
                <w:sz w:val="20"/>
                <w:szCs w:val="20"/>
                <w:color w:val="auto"/>
              </w:rPr>
            </w:pPr>
            <w:r>
              <w:rPr>
                <w:rFonts w:ascii="Arial" w:cs="Arial" w:eastAsia="Arial" w:hAnsi="Arial"/>
                <w:sz w:val="13"/>
                <w:szCs w:val="13"/>
                <w:color w:val="auto"/>
              </w:rPr>
              <w:t>less than 65% of the stated principal</w:t>
            </w:r>
          </w:p>
        </w:tc>
      </w:tr>
      <w:tr>
        <w:trPr>
          <w:trHeight w:val="149"/>
        </w:trPr>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amount of the securities and could</w:t>
            </w:r>
          </w:p>
        </w:tc>
      </w:tr>
      <w:tr>
        <w:trPr>
          <w:trHeight w:val="176"/>
        </w:trPr>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be zero.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7620</wp:posOffset>
            </wp:positionV>
            <wp:extent cx="3488690" cy="231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231140"/>
                    </a:xfrm>
                    <a:prstGeom prst="rect">
                      <a:avLst/>
                    </a:prstGeom>
                    <a:noFill/>
                  </pic:spPr>
                </pic:pic>
              </a:graphicData>
            </a:graphic>
          </wp:anchor>
        </w:drawing>
      </w:r>
    </w:p>
    <w:p>
      <w:pPr>
        <w:ind w:left="9" w:right="200"/>
        <w:spacing w:after="0" w:line="281" w:lineRule="auto"/>
        <w:rPr>
          <w:sz w:val="20"/>
          <w:szCs w:val="20"/>
          <w:color w:val="auto"/>
        </w:rPr>
      </w:pPr>
      <w:r>
        <w:rPr>
          <w:rFonts w:ascii="Arial" w:cs="Arial" w:eastAsia="Arial" w:hAnsi="Arial"/>
          <w:sz w:val="13"/>
          <w:szCs w:val="13"/>
          <w:color w:val="auto"/>
        </w:rPr>
        <w:t>With respect to each underlying index, 65% of its initial index value</w:t>
      </w:r>
    </w:p>
    <w:p>
      <w:pPr>
        <w:spacing w:after="0" w:line="14" w:lineRule="exact"/>
        <w:rPr>
          <w:sz w:val="24"/>
          <w:szCs w:val="24"/>
          <w:color w:val="auto"/>
        </w:rPr>
      </w:pPr>
    </w:p>
    <w:p>
      <w:pPr>
        <w:ind w:left="9" w:right="100"/>
        <w:spacing w:after="0" w:line="249" w:lineRule="auto"/>
        <w:rPr>
          <w:sz w:val="20"/>
          <w:szCs w:val="20"/>
          <w:color w:val="auto"/>
        </w:rPr>
      </w:pPr>
      <w:r>
        <w:rPr>
          <w:rFonts w:ascii="Arial" w:cs="Arial" w:eastAsia="Arial" w:hAnsi="Arial"/>
          <w:sz w:val="13"/>
          <w:szCs w:val="13"/>
          <w:color w:val="auto"/>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4445</wp:posOffset>
            </wp:positionV>
            <wp:extent cx="348869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214630"/>
                    </a:xfrm>
                    <a:prstGeom prst="rect">
                      <a:avLst/>
                    </a:prstGeom>
                    <a:noFill/>
                  </pic:spPr>
                </pic:pic>
              </a:graphicData>
            </a:graphic>
          </wp:anchor>
        </w:drawing>
      </w:r>
    </w:p>
    <w:p>
      <w:pPr>
        <w:ind w:left="9" w:right="180"/>
        <w:spacing w:after="0" w:line="270" w:lineRule="auto"/>
        <w:rPr>
          <w:sz w:val="20"/>
          <w:szCs w:val="20"/>
          <w:color w:val="auto"/>
        </w:rPr>
      </w:pPr>
      <w:r>
        <w:rPr>
          <w:rFonts w:ascii="Arial" w:cs="Arial" w:eastAsia="Arial" w:hAnsi="Arial"/>
          <w:sz w:val="13"/>
          <w:szCs w:val="13"/>
          <w:color w:val="auto"/>
        </w:rPr>
        <w:t>With respect to each underlying index, its closing level on the pricing date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520" w:type="dxa"/>
            <w:vAlign w:val="bottom"/>
            <w:shd w:val="clear" w:color="auto" w:fill="DCEBF4"/>
          </w:tcPr>
          <w:p>
            <w:pPr>
              <w:ind w:left="100"/>
              <w:spacing w:after="0" w:line="159" w:lineRule="exact"/>
              <w:rPr>
                <w:sz w:val="20"/>
                <w:szCs w:val="20"/>
                <w:color w:val="auto"/>
              </w:rPr>
            </w:pPr>
            <w:r>
              <w:rPr>
                <w:rFonts w:ascii="Arial" w:cs="Arial" w:eastAsia="Arial" w:hAnsi="Arial"/>
                <w:sz w:val="14"/>
                <w:szCs w:val="14"/>
                <w:b w:val="1"/>
                <w:bCs w:val="1"/>
                <w:color w:val="296DC1"/>
              </w:rPr>
              <w:t>Stated principal</w:t>
            </w:r>
          </w:p>
        </w:tc>
        <w:tc>
          <w:tcPr>
            <w:tcW w:w="3960" w:type="dxa"/>
            <w:vAlign w:val="bottom"/>
            <w:shd w:val="clear" w:color="auto" w:fill="DCEBF4"/>
          </w:tcPr>
          <w:p>
            <w:pPr>
              <w:ind w:left="140"/>
              <w:spacing w:after="0"/>
              <w:rPr>
                <w:sz w:val="20"/>
                <w:szCs w:val="20"/>
                <w:color w:val="auto"/>
              </w:rPr>
            </w:pPr>
            <w:r>
              <w:rPr>
                <w:rFonts w:ascii="Arial" w:cs="Arial" w:eastAsia="Arial" w:hAnsi="Arial"/>
                <w:sz w:val="13"/>
                <w:szCs w:val="13"/>
                <w:color w:val="auto"/>
              </w:rPr>
              <w:t>$1,000 per security</w:t>
            </w:r>
          </w:p>
        </w:tc>
      </w:tr>
      <w:tr>
        <w:trPr>
          <w:trHeight w:val="198"/>
        </w:trPr>
        <w:tc>
          <w:tcPr>
            <w:tcW w:w="15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amount:</w:t>
            </w:r>
          </w:p>
        </w:tc>
        <w:tc>
          <w:tcPr>
            <w:tcW w:w="3960" w:type="dxa"/>
            <w:vAlign w:val="bottom"/>
            <w:shd w:val="clear" w:color="auto" w:fill="DCEBF4"/>
          </w:tcPr>
          <w:p>
            <w:pPr>
              <w:spacing w:after="0"/>
              <w:rPr>
                <w:sz w:val="17"/>
                <w:szCs w:val="17"/>
                <w:color w:val="auto"/>
              </w:rPr>
            </w:pPr>
          </w:p>
        </w:tc>
      </w:tr>
      <w:tr>
        <w:trPr>
          <w:trHeight w:val="201"/>
        </w:trPr>
        <w:tc>
          <w:tcPr>
            <w:tcW w:w="1520" w:type="dxa"/>
            <w:vAlign w:val="bottom"/>
          </w:tcPr>
          <w:p>
            <w:pPr>
              <w:ind w:left="100"/>
              <w:spacing w:after="0"/>
              <w:rPr>
                <w:sz w:val="20"/>
                <w:szCs w:val="20"/>
                <w:color w:val="auto"/>
              </w:rPr>
            </w:pPr>
            <w:r>
              <w:rPr>
                <w:rFonts w:ascii="Arial" w:cs="Arial" w:eastAsia="Arial" w:hAnsi="Arial"/>
                <w:sz w:val="14"/>
                <w:szCs w:val="14"/>
                <w:b w:val="1"/>
                <w:bCs w:val="1"/>
                <w:color w:val="296DC1"/>
              </w:rPr>
              <w:t>Issue price:</w:t>
            </w:r>
          </w:p>
        </w:tc>
        <w:tc>
          <w:tcPr>
            <w:tcW w:w="3960" w:type="dxa"/>
            <w:vAlign w:val="bottom"/>
          </w:tcPr>
          <w:p>
            <w:pPr>
              <w:ind w:left="140"/>
              <w:spacing w:after="0"/>
              <w:rPr>
                <w:sz w:val="20"/>
                <w:szCs w:val="20"/>
                <w:color w:val="auto"/>
              </w:rPr>
            </w:pPr>
            <w:r>
              <w:rPr>
                <w:rFonts w:ascii="Arial" w:cs="Arial" w:eastAsia="Arial" w:hAnsi="Arial"/>
                <w:sz w:val="13"/>
                <w:szCs w:val="13"/>
                <w:color w:val="auto"/>
              </w:rPr>
              <w:t>$1,000 per security</w:t>
            </w:r>
          </w:p>
        </w:tc>
      </w:tr>
      <w:tr>
        <w:trPr>
          <w:trHeight w:val="204"/>
        </w:trPr>
        <w:tc>
          <w:tcPr>
            <w:tcW w:w="152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Pricing date:</w:t>
            </w:r>
          </w:p>
        </w:tc>
        <w:tc>
          <w:tcPr>
            <w:tcW w:w="3960" w:type="dxa"/>
            <w:vAlign w:val="bottom"/>
            <w:shd w:val="clear" w:color="auto" w:fill="DCEBF4"/>
          </w:tcPr>
          <w:p>
            <w:pPr>
              <w:ind w:left="140"/>
              <w:spacing w:after="0"/>
              <w:rPr>
                <w:sz w:val="20"/>
                <w:szCs w:val="20"/>
                <w:color w:val="auto"/>
              </w:rPr>
            </w:pPr>
            <w:r>
              <w:rPr>
                <w:rFonts w:ascii="Arial" w:cs="Arial" w:eastAsia="Arial" w:hAnsi="Arial"/>
                <w:sz w:val="13"/>
                <w:szCs w:val="13"/>
                <w:color w:val="auto"/>
              </w:rPr>
              <w:t>Expected to be September 12, 2025</w:t>
            </w:r>
          </w:p>
        </w:tc>
      </w:tr>
      <w:tr>
        <w:trPr>
          <w:trHeight w:val="166"/>
        </w:trPr>
        <w:tc>
          <w:tcPr>
            <w:tcW w:w="1520" w:type="dxa"/>
            <w:vAlign w:val="bottom"/>
          </w:tcPr>
          <w:p>
            <w:pPr>
              <w:ind w:left="100"/>
              <w:spacing w:after="0"/>
              <w:rPr>
                <w:sz w:val="20"/>
                <w:szCs w:val="20"/>
                <w:color w:val="auto"/>
              </w:rPr>
            </w:pPr>
            <w:r>
              <w:rPr>
                <w:rFonts w:ascii="Arial" w:cs="Arial" w:eastAsia="Arial" w:hAnsi="Arial"/>
                <w:sz w:val="14"/>
                <w:szCs w:val="14"/>
                <w:b w:val="1"/>
                <w:bCs w:val="1"/>
                <w:color w:val="296DC1"/>
              </w:rPr>
              <w:t>Original issue date</w:t>
            </w:r>
          </w:p>
        </w:tc>
        <w:tc>
          <w:tcPr>
            <w:tcW w:w="3960" w:type="dxa"/>
            <w:vAlign w:val="bottom"/>
          </w:tcPr>
          <w:p>
            <w:pPr>
              <w:ind w:left="140"/>
              <w:spacing w:after="0"/>
              <w:rPr>
                <w:sz w:val="20"/>
                <w:szCs w:val="20"/>
                <w:color w:val="auto"/>
              </w:rPr>
            </w:pPr>
            <w:r>
              <w:rPr>
                <w:rFonts w:ascii="Arial" w:cs="Arial" w:eastAsia="Arial" w:hAnsi="Arial"/>
                <w:sz w:val="13"/>
                <w:szCs w:val="13"/>
                <w:color w:val="auto"/>
              </w:rPr>
              <w:t>3 business days after the pricing date</w:t>
            </w:r>
          </w:p>
        </w:tc>
      </w:tr>
      <w:tr>
        <w:trPr>
          <w:trHeight w:val="196"/>
        </w:trPr>
        <w:tc>
          <w:tcPr>
            <w:tcW w:w="1520" w:type="dxa"/>
            <w:vAlign w:val="bottom"/>
          </w:tcPr>
          <w:p>
            <w:pPr>
              <w:ind w:left="100"/>
              <w:spacing w:after="0"/>
              <w:rPr>
                <w:sz w:val="20"/>
                <w:szCs w:val="20"/>
                <w:color w:val="auto"/>
              </w:rPr>
            </w:pPr>
            <w:r>
              <w:rPr>
                <w:rFonts w:ascii="Arial" w:cs="Arial" w:eastAsia="Arial" w:hAnsi="Arial"/>
                <w:sz w:val="14"/>
                <w:szCs w:val="14"/>
                <w:b w:val="1"/>
                <w:bCs w:val="1"/>
                <w:color w:val="296DC1"/>
              </w:rPr>
              <w:t>(settlement date):</w:t>
            </w:r>
          </w:p>
        </w:tc>
        <w:tc>
          <w:tcPr>
            <w:tcW w:w="3960" w:type="dxa"/>
            <w:vAlign w:val="bottom"/>
          </w:tcPr>
          <w:p>
            <w:pPr>
              <w:spacing w:after="0"/>
              <w:rPr>
                <w:sz w:val="17"/>
                <w:szCs w:val="17"/>
                <w:color w:val="auto"/>
              </w:rPr>
            </w:pPr>
          </w:p>
        </w:tc>
      </w:tr>
    </w:tbl>
    <w:p>
      <w:pPr>
        <w:ind w:left="1660" w:right="300" w:hanging="1563"/>
        <w:spacing w:after="0" w:line="180" w:lineRule="auto"/>
        <w:rPr>
          <w:sz w:val="20"/>
          <w:szCs w:val="20"/>
          <w:color w:val="auto"/>
        </w:rPr>
      </w:pPr>
      <w:r>
        <w:rPr>
          <w:rFonts w:ascii="Arial" w:cs="Arial" w:eastAsia="Arial" w:hAnsi="Arial"/>
          <w:sz w:val="24"/>
          <w:szCs w:val="24"/>
          <w:b w:val="1"/>
          <w:bCs w:val="1"/>
          <w:color w:val="296DC1"/>
          <w:vertAlign w:val="subscript"/>
        </w:rPr>
        <w:t>Determination dates</w:t>
      </w:r>
      <w:r>
        <w:rPr>
          <w:rFonts w:ascii="Arial" w:cs="Arial" w:eastAsia="Arial" w:hAnsi="Arial"/>
          <w:sz w:val="11"/>
          <w:szCs w:val="11"/>
          <w:b w:val="1"/>
          <w:bCs w:val="1"/>
          <w:color w:val="296DC1"/>
        </w:rPr>
        <w:t>†</w:t>
      </w:r>
      <w:r>
        <w:rPr>
          <w:rFonts w:ascii="Arial" w:cs="Arial" w:eastAsia="Arial" w:hAnsi="Arial"/>
          <w:sz w:val="24"/>
          <w:szCs w:val="24"/>
          <w:b w:val="1"/>
          <w:bCs w:val="1"/>
          <w:color w:val="296DC1"/>
          <w:vertAlign w:val="subscript"/>
        </w:rPr>
        <w:t>:</w:t>
      </w:r>
      <w:r>
        <w:rPr>
          <w:rFonts w:ascii="Arial" w:cs="Arial" w:eastAsia="Arial" w:hAnsi="Arial"/>
          <w:sz w:val="11"/>
          <w:szCs w:val="11"/>
          <w:b w:val="1"/>
          <w:bCs w:val="1"/>
          <w:color w:val="296DC1"/>
        </w:rPr>
        <w:t xml:space="preserve"> </w:t>
      </w:r>
      <w:r>
        <w:rPr>
          <w:rFonts w:ascii="Arial" w:cs="Arial" w:eastAsia="Arial" w:hAnsi="Arial"/>
          <w:sz w:val="12"/>
          <w:szCs w:val="12"/>
          <w:color w:val="000000"/>
        </w:rPr>
        <w:t>December 12, 2025, March 12, 2026, June 12, 2026,</w:t>
      </w:r>
      <w:r>
        <w:rPr>
          <w:rFonts w:ascii="Arial" w:cs="Arial" w:eastAsia="Arial" w:hAnsi="Arial"/>
          <w:sz w:val="11"/>
          <w:szCs w:val="11"/>
          <w:b w:val="1"/>
          <w:bCs w:val="1"/>
          <w:color w:val="296DC1"/>
        </w:rPr>
        <w:t xml:space="preserve"> </w:t>
      </w:r>
      <w:r>
        <w:rPr>
          <w:rFonts w:ascii="Arial" w:cs="Arial" w:eastAsia="Arial" w:hAnsi="Arial"/>
          <w:sz w:val="12"/>
          <w:szCs w:val="12"/>
          <w:color w:val="000000"/>
        </w:rPr>
        <w:t>September 14, 2026, December 14, 2026, March 12,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48869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8690" cy="30861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3"/>
          <w:szCs w:val="13"/>
          <w:color w:val="auto"/>
        </w:rPr>
        <w:t>June 14, 2027 and September 13, 2027</w:t>
      </w:r>
    </w:p>
    <w:p>
      <w:pPr>
        <w:spacing w:after="0" w:line="24" w:lineRule="exact"/>
        <w:rPr>
          <w:sz w:val="24"/>
          <w:szCs w:val="24"/>
          <w:color w:val="auto"/>
        </w:rPr>
      </w:pPr>
    </w:p>
    <w:p>
      <w:pPr>
        <w:ind w:left="100"/>
        <w:spacing w:after="0"/>
        <w:tabs>
          <w:tab w:leader="none" w:pos="1640" w:val="left"/>
        </w:tabs>
        <w:rPr>
          <w:sz w:val="20"/>
          <w:szCs w:val="20"/>
          <w:color w:val="auto"/>
        </w:rPr>
      </w:pPr>
      <w:r>
        <w:rPr>
          <w:rFonts w:ascii="Arial" w:cs="Arial" w:eastAsia="Arial" w:hAnsi="Arial"/>
          <w:sz w:val="14"/>
          <w:szCs w:val="14"/>
          <w:b w:val="1"/>
          <w:bCs w:val="1"/>
          <w:color w:val="296DC1"/>
        </w:rPr>
        <w:t>Contingent payment</w:t>
      </w:r>
      <w:r>
        <w:rPr>
          <w:sz w:val="20"/>
          <w:szCs w:val="20"/>
          <w:color w:val="auto"/>
        </w:rPr>
        <w:tab/>
      </w:r>
      <w:r>
        <w:rPr>
          <w:rFonts w:ascii="Arial" w:cs="Arial" w:eastAsia="Arial" w:hAnsi="Arial"/>
          <w:sz w:val="13"/>
          <w:szCs w:val="13"/>
          <w:color w:val="auto"/>
        </w:rPr>
        <w:t>December 17, 2025, March 17, 2026, June 17, 2026,</w:t>
      </w:r>
    </w:p>
    <w:p>
      <w:pPr>
        <w:spacing w:after="0" w:line="3" w:lineRule="exact"/>
        <w:rPr>
          <w:sz w:val="24"/>
          <w:szCs w:val="24"/>
          <w:color w:val="auto"/>
        </w:rPr>
      </w:pPr>
    </w:p>
    <w:p>
      <w:pPr>
        <w:ind w:left="1660" w:right="300" w:hanging="1563"/>
        <w:spacing w:after="0" w:line="250" w:lineRule="auto"/>
        <w:tabs>
          <w:tab w:leader="none" w:pos="1640" w:val="left"/>
        </w:tabs>
        <w:rPr>
          <w:sz w:val="20"/>
          <w:szCs w:val="20"/>
          <w:color w:val="auto"/>
        </w:rPr>
      </w:pPr>
      <w:r>
        <w:rPr>
          <w:rFonts w:ascii="Arial" w:cs="Arial" w:eastAsia="Arial" w:hAnsi="Arial"/>
          <w:sz w:val="28"/>
          <w:szCs w:val="28"/>
          <w:b w:val="1"/>
          <w:bCs w:val="1"/>
          <w:color w:val="296DC1"/>
          <w:vertAlign w:val="subscript"/>
        </w:rPr>
        <w:t>dates</w:t>
      </w:r>
      <w:r>
        <w:rPr>
          <w:rFonts w:ascii="Arial" w:cs="Arial" w:eastAsia="Arial" w:hAnsi="Arial"/>
          <w:sz w:val="12"/>
          <w:szCs w:val="12"/>
          <w:b w:val="1"/>
          <w:bCs w:val="1"/>
          <w:color w:val="296DC1"/>
        </w:rPr>
        <w:t>†</w:t>
      </w:r>
      <w:r>
        <w:rPr>
          <w:rFonts w:ascii="Arial" w:cs="Arial" w:eastAsia="Arial" w:hAnsi="Arial"/>
          <w:sz w:val="28"/>
          <w:szCs w:val="28"/>
          <w:b w:val="1"/>
          <w:bCs w:val="1"/>
          <w:color w:val="296DC1"/>
          <w:vertAlign w:val="subscript"/>
        </w:rPr>
        <w:t>:</w:t>
      </w:r>
      <w:r>
        <w:rPr>
          <w:sz w:val="20"/>
          <w:szCs w:val="20"/>
          <w:color w:val="auto"/>
        </w:rPr>
        <w:tab/>
      </w:r>
      <w:r>
        <w:rPr>
          <w:rFonts w:ascii="Arial" w:cs="Arial" w:eastAsia="Arial" w:hAnsi="Arial"/>
          <w:sz w:val="13"/>
          <w:szCs w:val="13"/>
          <w:color w:val="auto"/>
        </w:rPr>
        <w:t>September 17, 2026, December 17, 2026, March 17, 2027, June 17, 2027 and the maturity date</w:t>
      </w:r>
    </w:p>
    <w:p>
      <w:pPr>
        <w:ind w:left="100"/>
        <w:spacing w:after="0"/>
        <w:tabs>
          <w:tab w:leader="none" w:pos="1640" w:val="left"/>
        </w:tabs>
        <w:rPr>
          <w:sz w:val="20"/>
          <w:szCs w:val="20"/>
          <w:color w:val="auto"/>
        </w:rPr>
      </w:pPr>
      <w:r>
        <w:rPr>
          <w:rFonts w:ascii="Arial" w:cs="Arial" w:eastAsia="Arial" w:hAnsi="Arial"/>
          <w:sz w:val="27"/>
          <w:szCs w:val="27"/>
          <w:b w:val="1"/>
          <w:bCs w:val="1"/>
          <w:color w:val="296DC1"/>
          <w:vertAlign w:val="subscript"/>
        </w:rPr>
        <w:t>Maturity date</w:t>
      </w:r>
      <w:r>
        <w:rPr>
          <w:rFonts w:ascii="Arial" w:cs="Arial" w:eastAsia="Arial" w:hAnsi="Arial"/>
          <w:sz w:val="12"/>
          <w:szCs w:val="12"/>
          <w:b w:val="1"/>
          <w:bCs w:val="1"/>
          <w:color w:val="296DC1"/>
        </w:rPr>
        <w:t>†</w:t>
      </w:r>
      <w:r>
        <w:rPr>
          <w:rFonts w:ascii="Arial" w:cs="Arial" w:eastAsia="Arial" w:hAnsi="Arial"/>
          <w:sz w:val="27"/>
          <w:szCs w:val="27"/>
          <w:b w:val="1"/>
          <w:bCs w:val="1"/>
          <w:color w:val="296DC1"/>
          <w:vertAlign w:val="subscript"/>
        </w:rPr>
        <w:t>:</w:t>
      </w:r>
      <w:r>
        <w:rPr>
          <w:sz w:val="20"/>
          <w:szCs w:val="20"/>
          <w:color w:val="auto"/>
        </w:rPr>
        <w:tab/>
      </w:r>
      <w:r>
        <w:rPr>
          <w:rFonts w:ascii="Arial" w:cs="Arial" w:eastAsia="Arial" w:hAnsi="Arial"/>
          <w:sz w:val="13"/>
          <w:szCs w:val="13"/>
          <w:color w:val="auto"/>
        </w:rPr>
        <w:t>September 16,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348869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8690" cy="145415"/>
                    </a:xfrm>
                    <a:prstGeom prst="rect">
                      <a:avLst/>
                    </a:prstGeom>
                    <a:noFill/>
                  </pic:spPr>
                </pic:pic>
              </a:graphicData>
            </a:graphic>
          </wp:anchor>
        </w:drawing>
      </w:r>
    </w:p>
    <w:p>
      <w:pPr>
        <w:ind w:left="100"/>
        <w:spacing w:after="0"/>
        <w:tabs>
          <w:tab w:leader="none" w:pos="1640" w:val="left"/>
        </w:tabs>
        <w:rPr>
          <w:sz w:val="20"/>
          <w:szCs w:val="20"/>
          <w:color w:val="auto"/>
        </w:rPr>
      </w:pPr>
      <w:r>
        <w:rPr>
          <w:rFonts w:ascii="Arial" w:cs="Arial" w:eastAsia="Arial" w:hAnsi="Arial"/>
          <w:sz w:val="14"/>
          <w:szCs w:val="14"/>
          <w:b w:val="1"/>
          <w:bCs w:val="1"/>
          <w:color w:val="296DC1"/>
        </w:rPr>
        <w:t>CUSIP / ISIN:</w:t>
      </w:r>
      <w:r>
        <w:rPr>
          <w:sz w:val="20"/>
          <w:szCs w:val="20"/>
          <w:color w:val="auto"/>
        </w:rPr>
        <w:tab/>
      </w:r>
      <w:r>
        <w:rPr>
          <w:rFonts w:ascii="Arial" w:cs="Arial" w:eastAsia="Arial" w:hAnsi="Arial"/>
          <w:sz w:val="13"/>
          <w:szCs w:val="13"/>
          <w:color w:val="auto"/>
        </w:rPr>
        <w:t>48136GF70 / US48136GF705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348869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8690" cy="231140"/>
                    </a:xfrm>
                    <a:prstGeom prst="rect">
                      <a:avLst/>
                    </a:prstGeom>
                    <a:noFill/>
                  </pic:spPr>
                </pic:pic>
              </a:graphicData>
            </a:graphic>
          </wp:anchor>
        </w:drawing>
      </w:r>
    </w:p>
    <w:p>
      <w:pPr>
        <w:spacing w:after="0" w:line="18" w:lineRule="exact"/>
        <w:rPr>
          <w:sz w:val="24"/>
          <w:szCs w:val="24"/>
          <w:color w:val="auto"/>
        </w:rPr>
      </w:pPr>
    </w:p>
    <w:p>
      <w:pPr>
        <w:ind w:left="100"/>
        <w:spacing w:after="0"/>
        <w:tabs>
          <w:tab w:leader="none" w:pos="1640" w:val="left"/>
        </w:tabs>
        <w:rPr>
          <w:rFonts w:ascii="Arial" w:cs="Arial" w:eastAsia="Arial" w:hAnsi="Arial"/>
          <w:sz w:val="13"/>
          <w:szCs w:val="13"/>
          <w:u w:val="single" w:color="auto"/>
          <w:color w:val="0000EE"/>
        </w:rPr>
      </w:pPr>
      <w:r>
        <w:rPr>
          <w:rFonts w:ascii="Arial" w:cs="Arial" w:eastAsia="Arial" w:hAnsi="Arial"/>
          <w:sz w:val="14"/>
          <w:szCs w:val="14"/>
          <w:b w:val="1"/>
          <w:bCs w:val="1"/>
          <w:color w:val="296DC1"/>
        </w:rPr>
        <w:t>Preliminary pricing</w:t>
      </w:r>
      <w:r>
        <w:rPr>
          <w:sz w:val="20"/>
          <w:szCs w:val="20"/>
          <w:color w:val="auto"/>
        </w:rPr>
        <w:tab/>
      </w:r>
      <w:hyperlink r:id="rId18">
        <w:r>
          <w:rPr>
            <w:rFonts w:ascii="Arial" w:cs="Arial" w:eastAsia="Arial" w:hAnsi="Arial"/>
            <w:sz w:val="13"/>
            <w:szCs w:val="13"/>
            <w:u w:val="single" w:color="auto"/>
            <w:color w:val="0000EE"/>
          </w:rPr>
          <w:t>http://www.sec.gov/Archives/edgar/data/</w:t>
        </w:r>
      </w:hyperlink>
    </w:p>
    <w:p>
      <w:pPr>
        <w:ind w:left="100"/>
        <w:spacing w:after="0" w:line="184" w:lineRule="auto"/>
        <w:tabs>
          <w:tab w:leader="none" w:pos="1640" w:val="left"/>
        </w:tabs>
        <w:rPr>
          <w:rFonts w:ascii="Arial" w:cs="Arial" w:eastAsia="Arial" w:hAnsi="Arial"/>
          <w:sz w:val="10"/>
          <w:szCs w:val="10"/>
          <w:u w:val="single" w:color="auto"/>
          <w:color w:val="0000EE"/>
        </w:rPr>
      </w:pPr>
      <w:r>
        <w:rPr>
          <w:rFonts w:ascii="Arial" w:cs="Arial" w:eastAsia="Arial" w:hAnsi="Arial"/>
          <w:sz w:val="19"/>
          <w:szCs w:val="19"/>
          <w:b w:val="1"/>
          <w:bCs w:val="1"/>
          <w:color w:val="296DC1"/>
          <w:vertAlign w:val="subscript"/>
        </w:rPr>
        <w:t>supplement:</w:t>
      </w:r>
      <w:r>
        <w:rPr>
          <w:sz w:val="20"/>
          <w:szCs w:val="20"/>
          <w:color w:val="auto"/>
        </w:rPr>
        <w:tab/>
      </w:r>
      <w:hyperlink r:id="rId18">
        <w:r>
          <w:rPr>
            <w:rFonts w:ascii="Arial" w:cs="Arial" w:eastAsia="Arial" w:hAnsi="Arial"/>
            <w:sz w:val="10"/>
            <w:szCs w:val="10"/>
            <w:u w:val="single" w:color="auto"/>
            <w:color w:val="0000EE"/>
          </w:rPr>
          <w:t>19617/000121390025084682/ea0256133-01_424b2.htm</w:t>
        </w:r>
      </w:hyperlink>
    </w:p>
    <w:p>
      <w:pPr>
        <w:spacing w:after="0" w:line="9" w:lineRule="exact"/>
        <w:rPr>
          <w:sz w:val="24"/>
          <w:szCs w:val="24"/>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 or early acceleration</w:t>
      </w:r>
    </w:p>
    <w:p>
      <w:pPr>
        <w:ind w:right="40"/>
        <w:spacing w:after="0" w:line="245"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 Any payment on the securities is subject to the credit risk of JPMorgan Financial, as issuer of the securities, and the credit risk of JPMorgan Chase &amp; Co., as guarantor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88900</wp:posOffset>
            </wp:positionH>
            <wp:positionV relativeFrom="paragraph">
              <wp:posOffset>3810</wp:posOffset>
            </wp:positionV>
            <wp:extent cx="331724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17240" cy="617220"/>
                    </a:xfrm>
                    <a:prstGeom prst="rect">
                      <a:avLst/>
                    </a:prstGeom>
                    <a:noFill/>
                  </pic:spPr>
                </pic:pic>
              </a:graphicData>
            </a:graphic>
          </wp:anchor>
        </w:drawing>
      </w:r>
    </w:p>
    <w:p>
      <w:pPr>
        <w:spacing w:after="0" w:line="31"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FFFFFF"/>
        </w:rPr>
        <w:t>Hypothetical Payout at Maturity</w:t>
      </w:r>
    </w:p>
    <w:p>
      <w:pPr>
        <w:spacing w:after="0" w:line="55" w:lineRule="exact"/>
        <w:rPr>
          <w:sz w:val="24"/>
          <w:szCs w:val="24"/>
          <w:color w:val="auto"/>
        </w:rPr>
      </w:pPr>
    </w:p>
    <w:tbl>
      <w:tblPr>
        <w:tblLayout w:type="fixed"/>
        <w:tblInd w:w="140" w:type="dxa"/>
        <w:tblCellMar>
          <w:top w:w="0" w:type="dxa"/>
          <w:left w:w="0" w:type="dxa"/>
          <w:bottom w:w="0" w:type="dxa"/>
          <w:right w:w="0" w:type="dxa"/>
        </w:tblCellMar>
      </w:tblPr>
      <w:tr>
        <w:trPr>
          <w:trHeight w:val="162"/>
        </w:trPr>
        <w:tc>
          <w:tcPr>
            <w:tcW w:w="26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FFFFFF"/>
              </w:rPr>
              <w:t>Change in Worst Performing</w:t>
            </w:r>
          </w:p>
        </w:tc>
        <w:tc>
          <w:tcPr>
            <w:tcW w:w="2560" w:type="dxa"/>
            <w:vAlign w:val="bottom"/>
          </w:tcPr>
          <w:p>
            <w:pPr>
              <w:jc w:val="center"/>
              <w:ind w:left="88"/>
              <w:spacing w:after="0"/>
              <w:rPr>
                <w:sz w:val="20"/>
                <w:szCs w:val="20"/>
                <w:color w:val="auto"/>
              </w:rPr>
            </w:pPr>
            <w:r>
              <w:rPr>
                <w:rFonts w:ascii="Arial" w:cs="Arial" w:eastAsia="Arial" w:hAnsi="Arial"/>
                <w:sz w:val="14"/>
                <w:szCs w:val="14"/>
                <w:b w:val="1"/>
                <w:bCs w:val="1"/>
                <w:color w:val="FFFFFF"/>
              </w:rPr>
              <w:t>Payment at Maturity (excluding</w:t>
            </w:r>
          </w:p>
        </w:tc>
        <w:tc>
          <w:tcPr>
            <w:tcW w:w="0" w:type="dxa"/>
            <w:vAlign w:val="bottom"/>
          </w:tcPr>
          <w:p>
            <w:pPr>
              <w:spacing w:after="0"/>
              <w:rPr>
                <w:sz w:val="1"/>
                <w:szCs w:val="1"/>
                <w:color w:val="auto"/>
              </w:rPr>
            </w:pPr>
          </w:p>
        </w:tc>
      </w:tr>
      <w:tr>
        <w:trPr>
          <w:trHeight w:val="81"/>
        </w:trPr>
        <w:tc>
          <w:tcPr>
            <w:tcW w:w="2660" w:type="dxa"/>
            <w:vAlign w:val="bottom"/>
            <w:vMerge w:val="continue"/>
          </w:tcPr>
          <w:p>
            <w:pPr>
              <w:spacing w:after="0"/>
              <w:rPr>
                <w:sz w:val="7"/>
                <w:szCs w:val="7"/>
                <w:color w:val="auto"/>
              </w:rPr>
            </w:pPr>
          </w:p>
        </w:tc>
        <w:tc>
          <w:tcPr>
            <w:tcW w:w="25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w w:val="99"/>
              </w:rPr>
              <w:t>any</w:t>
            </w:r>
          </w:p>
        </w:tc>
        <w:tc>
          <w:tcPr>
            <w:tcW w:w="0" w:type="dxa"/>
            <w:vAlign w:val="bottom"/>
          </w:tcPr>
          <w:p>
            <w:pPr>
              <w:spacing w:after="0"/>
              <w:rPr>
                <w:sz w:val="1"/>
                <w:szCs w:val="1"/>
                <w:color w:val="auto"/>
              </w:rPr>
            </w:pPr>
          </w:p>
        </w:tc>
      </w:tr>
      <w:tr>
        <w:trPr>
          <w:trHeight w:val="81"/>
        </w:trPr>
        <w:tc>
          <w:tcPr>
            <w:tcW w:w="26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rPr>
              <w:t>Underlying</w:t>
            </w: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60" w:type="dxa"/>
            <w:vAlign w:val="bottom"/>
            <w:vMerge w:val="continue"/>
          </w:tcPr>
          <w:p>
            <w:pPr>
              <w:spacing w:after="0"/>
              <w:rPr>
                <w:sz w:val="7"/>
                <w:szCs w:val="7"/>
                <w:color w:val="auto"/>
              </w:rPr>
            </w:pPr>
          </w:p>
        </w:tc>
        <w:tc>
          <w:tcPr>
            <w:tcW w:w="25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rPr>
              <w:t>contingent quarterly payment</w:t>
            </w:r>
          </w:p>
        </w:tc>
        <w:tc>
          <w:tcPr>
            <w:tcW w:w="0" w:type="dxa"/>
            <w:vAlign w:val="bottom"/>
          </w:tcPr>
          <w:p>
            <w:pPr>
              <w:spacing w:after="0"/>
              <w:rPr>
                <w:sz w:val="1"/>
                <w:szCs w:val="1"/>
                <w:color w:val="auto"/>
              </w:rPr>
            </w:pPr>
          </w:p>
        </w:tc>
      </w:tr>
      <w:tr>
        <w:trPr>
          <w:trHeight w:val="81"/>
        </w:trPr>
        <w:tc>
          <w:tcPr>
            <w:tcW w:w="26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FFFFFF"/>
              </w:rPr>
              <w:t>Index</w:t>
            </w: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660" w:type="dxa"/>
            <w:vAlign w:val="bottom"/>
            <w:vMerge w:val="continue"/>
          </w:tcPr>
          <w:p>
            <w:pPr>
              <w:spacing w:after="0"/>
              <w:rPr>
                <w:sz w:val="10"/>
                <w:szCs w:val="10"/>
                <w:color w:val="auto"/>
              </w:rPr>
            </w:pPr>
          </w:p>
        </w:tc>
        <w:tc>
          <w:tcPr>
            <w:tcW w:w="25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FFFFFF"/>
              </w:rPr>
              <w:t>payable at maturity)</w:t>
            </w: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50.00%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40.00%</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30.00%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20.00%</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5.00%</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-10.00%</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-20.00%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-30.00%</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-35.00%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-35.01%</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$649.90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-40.00%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-50.00%</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-60.00%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212"/>
        </w:trPr>
        <w:tc>
          <w:tcPr>
            <w:tcW w:w="2660" w:type="dxa"/>
            <w:vAlign w:val="bottom"/>
          </w:tcPr>
          <w:p>
            <w:pPr>
              <w:jc w:val="center"/>
              <w:ind w:left="88"/>
              <w:spacing w:after="0"/>
              <w:rPr>
                <w:sz w:val="20"/>
                <w:szCs w:val="20"/>
                <w:color w:val="auto"/>
              </w:rPr>
            </w:pPr>
            <w:r>
              <w:rPr>
                <w:rFonts w:ascii="Arial" w:cs="Arial" w:eastAsia="Arial" w:hAnsi="Arial"/>
                <w:sz w:val="14"/>
                <w:szCs w:val="14"/>
                <w:color w:val="auto"/>
              </w:rPr>
              <w:t>-80.00%</w:t>
            </w:r>
          </w:p>
        </w:tc>
        <w:tc>
          <w:tcPr>
            <w:tcW w:w="2560" w:type="dxa"/>
            <w:vAlign w:val="bottom"/>
          </w:tcPr>
          <w:p>
            <w:pPr>
              <w:jc w:val="center"/>
              <w:ind w:left="8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20"/>
        </w:trPr>
        <w:tc>
          <w:tcPr>
            <w:tcW w:w="26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-100.00%</w:t>
            </w:r>
          </w:p>
        </w:tc>
        <w:tc>
          <w:tcPr>
            <w:tcW w:w="256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pacing w:after="0" w:line="1323" w:lineRule="exact"/>
        <w:rPr>
          <w:sz w:val="24"/>
          <w:szCs w:val="24"/>
          <w:color w:val="auto"/>
        </w:rPr>
      </w:pPr>
    </w:p>
    <w:p>
      <w:pPr>
        <w:sectPr>
          <w:pgSz w:w="11900" w:h="16838" w:orient="portrait"/>
          <w:cols w:equalWidth="0" w:num="3">
            <w:col w:w="1540" w:space="111"/>
            <w:col w:w="3849" w:space="240"/>
            <w:col w:w="5500"/>
          </w:cols>
          <w:pgMar w:left="320" w:top="408"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1540" w:type="dxa"/>
            <w:vAlign w:val="bottom"/>
          </w:tcPr>
          <w:p>
            <w:pPr>
              <w:ind w:left="100"/>
              <w:spacing w:after="0" w:line="150" w:lineRule="exact"/>
              <w:rPr>
                <w:sz w:val="20"/>
                <w:szCs w:val="20"/>
                <w:color w:val="auto"/>
              </w:rPr>
            </w:pPr>
            <w:r>
              <w:rPr>
                <w:rFonts w:ascii="Arial" w:cs="Arial" w:eastAsia="Arial" w:hAnsi="Arial"/>
                <w:sz w:val="14"/>
                <w:szCs w:val="14"/>
                <w:b w:val="1"/>
                <w:bCs w:val="1"/>
                <w:color w:val="296DC1"/>
              </w:rPr>
              <w:t>Final index value:</w:t>
            </w:r>
          </w:p>
        </w:tc>
        <w:tc>
          <w:tcPr>
            <w:tcW w:w="3960" w:type="dxa"/>
            <w:vAlign w:val="bottom"/>
          </w:tcPr>
          <w:p>
            <w:pPr>
              <w:ind w:left="120"/>
              <w:spacing w:after="0"/>
              <w:rPr>
                <w:sz w:val="20"/>
                <w:szCs w:val="20"/>
                <w:color w:val="auto"/>
              </w:rPr>
            </w:pPr>
            <w:r>
              <w:rPr>
                <w:rFonts w:ascii="Arial" w:cs="Arial" w:eastAsia="Arial" w:hAnsi="Arial"/>
                <w:sz w:val="13"/>
                <w:szCs w:val="13"/>
                <w:color w:val="auto"/>
              </w:rPr>
              <w:t>With respect to each underlying index, its closing level on the</w:t>
            </w:r>
          </w:p>
        </w:tc>
      </w:tr>
      <w:tr>
        <w:trPr>
          <w:trHeight w:val="182"/>
        </w:trPr>
        <w:tc>
          <w:tcPr>
            <w:tcW w:w="1540" w:type="dxa"/>
            <w:vAlign w:val="bottom"/>
          </w:tcPr>
          <w:p>
            <w:pPr>
              <w:spacing w:after="0"/>
              <w:rPr>
                <w:sz w:val="15"/>
                <w:szCs w:val="15"/>
                <w:color w:val="auto"/>
              </w:rPr>
            </w:pPr>
          </w:p>
        </w:tc>
        <w:tc>
          <w:tcPr>
            <w:tcW w:w="3960" w:type="dxa"/>
            <w:vAlign w:val="bottom"/>
          </w:tcPr>
          <w:p>
            <w:pPr>
              <w:ind w:left="120"/>
              <w:spacing w:after="0"/>
              <w:rPr>
                <w:sz w:val="20"/>
                <w:szCs w:val="20"/>
                <w:color w:val="auto"/>
              </w:rPr>
            </w:pPr>
            <w:r>
              <w:rPr>
                <w:rFonts w:ascii="Arial" w:cs="Arial" w:eastAsia="Arial" w:hAnsi="Arial"/>
                <w:sz w:val="13"/>
                <w:szCs w:val="13"/>
                <w:color w:val="auto"/>
              </w:rPr>
              <w:t>final determination date</w:t>
            </w:r>
          </w:p>
        </w:tc>
      </w:tr>
      <w:tr>
        <w:trPr>
          <w:trHeight w:val="172"/>
        </w:trPr>
        <w:tc>
          <w:tcPr>
            <w:tcW w:w="15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Worst performing</w:t>
            </w:r>
          </w:p>
        </w:tc>
        <w:tc>
          <w:tcPr>
            <w:tcW w:w="3960" w:type="dxa"/>
            <w:vAlign w:val="bottom"/>
            <w:shd w:val="clear" w:color="auto" w:fill="DCEBF4"/>
          </w:tcPr>
          <w:p>
            <w:pPr>
              <w:ind w:left="120"/>
              <w:spacing w:after="0"/>
              <w:rPr>
                <w:sz w:val="20"/>
                <w:szCs w:val="20"/>
                <w:color w:val="auto"/>
              </w:rPr>
            </w:pPr>
            <w:r>
              <w:rPr>
                <w:rFonts w:ascii="Arial" w:cs="Arial" w:eastAsia="Arial" w:hAnsi="Arial"/>
                <w:sz w:val="13"/>
                <w:szCs w:val="13"/>
                <w:color w:val="auto"/>
              </w:rPr>
              <w:t>The underlying index with the worst index performance factor</w:t>
            </w:r>
          </w:p>
        </w:tc>
      </w:tr>
      <w:tr>
        <w:trPr>
          <w:trHeight w:val="198"/>
        </w:trPr>
        <w:tc>
          <w:tcPr>
            <w:tcW w:w="15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underlying index:</w:t>
            </w:r>
          </w:p>
        </w:tc>
        <w:tc>
          <w:tcPr>
            <w:tcW w:w="3960" w:type="dxa"/>
            <w:vAlign w:val="bottom"/>
            <w:shd w:val="clear" w:color="auto" w:fill="DCEBF4"/>
          </w:tcPr>
          <w:p>
            <w:pPr>
              <w:spacing w:after="0"/>
              <w:rPr>
                <w:sz w:val="17"/>
                <w:szCs w:val="17"/>
                <w:color w:val="auto"/>
              </w:rPr>
            </w:pPr>
          </w:p>
        </w:tc>
      </w:tr>
      <w:tr>
        <w:trPr>
          <w:trHeight w:val="149"/>
        </w:trPr>
        <w:tc>
          <w:tcPr>
            <w:tcW w:w="1540" w:type="dxa"/>
            <w:vAlign w:val="bottom"/>
          </w:tcPr>
          <w:p>
            <w:pPr>
              <w:ind w:left="100"/>
              <w:spacing w:after="0" w:line="149" w:lineRule="exact"/>
              <w:rPr>
                <w:sz w:val="20"/>
                <w:szCs w:val="20"/>
                <w:color w:val="auto"/>
              </w:rPr>
            </w:pPr>
            <w:r>
              <w:rPr>
                <w:rFonts w:ascii="Arial" w:cs="Arial" w:eastAsia="Arial" w:hAnsi="Arial"/>
                <w:sz w:val="14"/>
                <w:szCs w:val="14"/>
                <w:b w:val="1"/>
                <w:bCs w:val="1"/>
                <w:color w:val="296DC1"/>
              </w:rPr>
              <w:t>Index performance</w:t>
            </w:r>
          </w:p>
        </w:tc>
        <w:tc>
          <w:tcPr>
            <w:tcW w:w="3960" w:type="dxa"/>
            <w:vAlign w:val="bottom"/>
          </w:tcPr>
          <w:p>
            <w:pPr>
              <w:ind w:left="120"/>
              <w:spacing w:after="0"/>
              <w:rPr>
                <w:sz w:val="20"/>
                <w:szCs w:val="20"/>
                <w:color w:val="auto"/>
              </w:rPr>
            </w:pPr>
            <w:r>
              <w:rPr>
                <w:rFonts w:ascii="Arial" w:cs="Arial" w:eastAsia="Arial" w:hAnsi="Arial"/>
                <w:sz w:val="13"/>
                <w:szCs w:val="13"/>
                <w:color w:val="auto"/>
              </w:rPr>
              <w:t>With respect to each underlying index, its final index value</w:t>
            </w:r>
          </w:p>
        </w:tc>
      </w:tr>
      <w:tr>
        <w:trPr>
          <w:trHeight w:val="213"/>
        </w:trPr>
        <w:tc>
          <w:tcPr>
            <w:tcW w:w="1540" w:type="dxa"/>
            <w:vAlign w:val="bottom"/>
          </w:tcPr>
          <w:p>
            <w:pPr>
              <w:ind w:left="100"/>
              <w:spacing w:after="0"/>
              <w:rPr>
                <w:sz w:val="20"/>
                <w:szCs w:val="20"/>
                <w:color w:val="auto"/>
              </w:rPr>
            </w:pPr>
            <w:r>
              <w:rPr>
                <w:rFonts w:ascii="Arial" w:cs="Arial" w:eastAsia="Arial" w:hAnsi="Arial"/>
                <w:sz w:val="14"/>
                <w:szCs w:val="14"/>
                <w:b w:val="1"/>
                <w:bCs w:val="1"/>
                <w:color w:val="296DC1"/>
              </w:rPr>
              <w:t>factor:</w:t>
            </w:r>
          </w:p>
        </w:tc>
        <w:tc>
          <w:tcPr>
            <w:tcW w:w="3960" w:type="dxa"/>
            <w:vAlign w:val="bottom"/>
          </w:tcPr>
          <w:p>
            <w:pPr>
              <w:ind w:left="120"/>
              <w:spacing w:after="0"/>
              <w:rPr>
                <w:sz w:val="20"/>
                <w:szCs w:val="20"/>
                <w:color w:val="auto"/>
              </w:rPr>
            </w:pPr>
            <w:r>
              <w:rPr>
                <w:rFonts w:ascii="Arial" w:cs="Arial" w:eastAsia="Arial" w:hAnsi="Arial"/>
                <w:sz w:val="13"/>
                <w:szCs w:val="13"/>
                <w:i w:val="1"/>
                <w:iCs w:val="1"/>
                <w:color w:val="auto"/>
              </w:rPr>
              <w:t xml:space="preserve">divided by </w:t>
            </w:r>
            <w:r>
              <w:rPr>
                <w:rFonts w:ascii="Arial" w:cs="Arial" w:eastAsia="Arial" w:hAnsi="Arial"/>
                <w:sz w:val="13"/>
                <w:szCs w:val="13"/>
                <w:color w:val="auto"/>
              </w:rPr>
              <w:t>its initial index value</w:t>
            </w:r>
          </w:p>
        </w:tc>
      </w:tr>
    </w:tbl>
    <w:p>
      <w:pPr>
        <w:sectPr>
          <w:pgSz w:w="11900" w:h="16838" w:orient="portrait"/>
          <w:cols w:equalWidth="0" w:num="1">
            <w:col w:w="11240"/>
          </w:cols>
          <w:pgMar w:left="320" w:top="4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2yr SX5E/SPX/RTY Contingent Income 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296DC1"/>
        </w:rPr>
        <w:t>Underlying Indices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indices, including historical performance information, see the accompanying preliminary pricing supplement.</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1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and Annex A to the accompanying prospectus addendum for additional information.</w:t>
      </w:r>
    </w:p>
    <w:p>
      <w:pPr>
        <w:spacing w:after="0" w:line="231"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2"/>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46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monitoring period if the closing level of any underlying index is less than its downside threshold level on any day during that quarterly monitoring period.</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on the closing levels of the underlying indices during the quarterly monitoring periods.</w:t>
      </w:r>
    </w:p>
    <w:p>
      <w:pPr>
        <w:spacing w:after="0" w:line="31" w:lineRule="exact"/>
        <w:rPr>
          <w:rFonts w:ascii="Wingdings" w:cs="Wingdings" w:eastAsia="Wingdings" w:hAnsi="Wingdings"/>
          <w:sz w:val="22"/>
          <w:szCs w:val="22"/>
          <w:b w:val="1"/>
          <w:bCs w:val="1"/>
          <w:color w:val="A3C4EB"/>
          <w:vertAlign w:val="subscript"/>
        </w:rPr>
      </w:pPr>
    </w:p>
    <w:p>
      <w:pPr>
        <w:ind w:left="340" w:right="620" w:hanging="332"/>
        <w:spacing w:after="0" w:line="233" w:lineRule="auto"/>
        <w:tabs>
          <w:tab w:leader="none" w:pos="340" w:val="left"/>
        </w:tabs>
        <w:numPr>
          <w:ilvl w:val="0"/>
          <w:numId w:val="2"/>
        </w:numPr>
        <w:rPr>
          <w:rFonts w:ascii="Wingdings" w:cs="Wingdings" w:eastAsia="Wingdings" w:hAnsi="Wingdings"/>
          <w:sz w:val="35"/>
          <w:szCs w:val="35"/>
          <w:b w:val="1"/>
          <w:bCs w:val="1"/>
          <w:color w:val="A3C4EB"/>
          <w:vertAlign w:val="subscript"/>
        </w:rPr>
      </w:pPr>
      <w:r>
        <w:rPr>
          <w:rFonts w:ascii="Arial" w:cs="Arial" w:eastAsia="Arial" w:hAnsi="Arial"/>
          <w:sz w:val="14"/>
          <w:szCs w:val="14"/>
          <w:color w:val="auto"/>
        </w:rPr>
        <w:t>You are exposed to the price risk of all three underlying indices, with respect to all the contingent quarterly payments, if any, and the payment at maturity, if any.</w:t>
      </w:r>
    </w:p>
    <w:p>
      <w:pPr>
        <w:ind w:left="340" w:right="58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p>
      <w:pPr>
        <w:ind w:left="340" w:right="58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right="30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We may accelerate your securities in our sole discretion and the calculation agent may adjust their final payment in good faith and in a commercially reasonable manner if a change-in-law event occurs.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line="182" w:lineRule="auto"/>
        <w:tabs>
          <w:tab w:leader="none" w:pos="340" w:val="left"/>
        </w:tabs>
        <w:numPr>
          <w:ilvl w:val="0"/>
          <w:numId w:val="3"/>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80"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9"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240" w:hanging="332"/>
        <w:spacing w:after="0" w:line="188" w:lineRule="auto"/>
        <w:tabs>
          <w:tab w:leader="none" w:pos="340" w:val="left"/>
        </w:tabs>
        <w:numPr>
          <w:ilvl w:val="0"/>
          <w:numId w:val="4"/>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Indices</w:t>
      </w:r>
    </w:p>
    <w:p>
      <w:pPr>
        <w:ind w:left="340" w:hanging="332"/>
        <w:spacing w:after="0" w:line="185"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JPMorgan Chase &amp; Co. is currently one of the companies that make up the SPX Index.</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Investing in the securities is not equivalent to investing in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Adjustments to any underlying index could adversely affect the value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subject to risks associated with securities issued by non-U.S. companies with respect to the SX5E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not directly exposed to fluctuations in foreign exchange rates with respect to the SX5E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An investment in the securities is subject to risks associated with small capitalization stocks with respect to the RTY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1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34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4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8" Type="http://schemas.openxmlformats.org/officeDocument/2006/relationships/hyperlink" Target="http://www.sec.gov/Archives/edgar/data/%0b19617/000121390025084682/ea0256133-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2025-09-05T10:33:44Z</dcterms:created>
  <dcterms:modified xsi:type="dcterms:W3CDTF">2025-09-05T10:33:44Z</dcterms:modified>
</cp:coreProperties>
</file>