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333-270004 and 333-270004-01</w:t>
      </w:r>
    </w:p>
    <w:p>
      <w:pPr>
        <w:jc w:val="right"/>
        <w:spacing w:after="0" w:line="229" w:lineRule="auto"/>
        <w:rPr>
          <w:sz w:val="20"/>
          <w:szCs w:val="20"/>
          <w:color w:val="auto"/>
        </w:rPr>
      </w:pPr>
      <w:r>
        <w:rPr>
          <w:rFonts w:ascii="Arial" w:cs="Arial" w:eastAsia="Arial" w:hAnsi="Arial"/>
          <w:sz w:val="14"/>
          <w:szCs w:val="14"/>
          <w:color w:val="808080"/>
        </w:rPr>
        <w:t>Dated June 7, 2024</w:t>
      </w:r>
    </w:p>
    <w:p>
      <w:pPr>
        <w:spacing w:after="0" w:line="1" w:lineRule="exact"/>
        <w:rPr>
          <w:sz w:val="24"/>
          <w:szCs w:val="24"/>
          <w:color w:val="auto"/>
        </w:rPr>
      </w:pPr>
    </w:p>
    <w:p>
      <w:pPr>
        <w:spacing w:after="0"/>
        <w:rPr>
          <w:sz w:val="20"/>
          <w:szCs w:val="20"/>
          <w:color w:val="auto"/>
        </w:rPr>
      </w:pPr>
      <w:r>
        <w:rPr>
          <w:rFonts w:ascii="Arial" w:cs="Arial" w:eastAsia="Arial" w:hAnsi="Arial"/>
          <w:sz w:val="29"/>
          <w:szCs w:val="29"/>
          <w:color w:val="296DC1"/>
        </w:rPr>
        <w:t>3yr SNOW Contingent Income Auto-Callable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0" w:right="640"/>
        <w:spacing w:after="0" w:line="264"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prospectus supplement, prospectus and prospectus addendum and the “Risk Considerations” on the following page, prior to making an investment decision.</w:t>
      </w:r>
    </w:p>
    <w:p>
      <w:pPr>
        <w:sectPr>
          <w:pgSz w:w="11900" w:h="16838" w:orient="portrait"/>
          <w:cols w:equalWidth="0" w:num="1">
            <w:col w:w="11240"/>
          </w:cols>
          <w:pgMar w:left="320" w:top="219" w:right="339" w:bottom="1440" w:gutter="0" w:footer="0" w:header="0"/>
        </w:sectPr>
      </w:pPr>
    </w:p>
    <w:p>
      <w:pPr>
        <w:spacing w:after="0" w:line="19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8869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171450"/>
                    </a:xfrm>
                    <a:prstGeom prst="rect">
                      <a:avLst/>
                    </a:prstGeom>
                    <a:noFill/>
                  </pic:spPr>
                </pic:pic>
              </a:graphicData>
            </a:graphic>
          </wp:anchor>
        </w:drawing>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Issuer:</w:t>
            </w:r>
          </w:p>
        </w:tc>
        <w:tc>
          <w:tcPr>
            <w:tcW w:w="4280" w:type="dxa"/>
            <w:vAlign w:val="bottom"/>
            <w:gridSpan w:val="3"/>
          </w:tcPr>
          <w:p>
            <w:pPr>
              <w:ind w:left="60"/>
              <w:spacing w:after="0"/>
              <w:rPr>
                <w:sz w:val="20"/>
                <w:szCs w:val="20"/>
                <w:color w:val="auto"/>
              </w:rPr>
            </w:pPr>
            <w:r>
              <w:rPr>
                <w:rFonts w:ascii="Arial" w:cs="Arial" w:eastAsia="Arial" w:hAnsi="Arial"/>
                <w:sz w:val="14"/>
                <w:szCs w:val="14"/>
                <w:color w:val="auto"/>
              </w:rPr>
              <w:t>JPMorgan Chase Financial Company LLC (“JPMorgan Financial”)</w:t>
            </w:r>
          </w:p>
        </w:tc>
      </w:tr>
      <w:tr>
        <w:trPr>
          <w:trHeight w:val="162"/>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Guarantor:</w:t>
            </w:r>
          </w:p>
        </w:tc>
        <w:tc>
          <w:tcPr>
            <w:tcW w:w="20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JPMorgan Chase &amp; Co.</w:t>
            </w:r>
          </w:p>
        </w:tc>
        <w:tc>
          <w:tcPr>
            <w:tcW w:w="2220" w:type="dxa"/>
            <w:vAlign w:val="bottom"/>
            <w:shd w:val="clear" w:color="auto" w:fill="DCEBF4"/>
          </w:tcPr>
          <w:p>
            <w:pPr>
              <w:spacing w:after="0"/>
              <w:rPr>
                <w:sz w:val="14"/>
                <w:szCs w:val="14"/>
                <w:color w:val="auto"/>
              </w:rPr>
            </w:pPr>
          </w:p>
        </w:tc>
      </w:tr>
      <w:tr>
        <w:trPr>
          <w:trHeight w:val="153"/>
        </w:trPr>
        <w:tc>
          <w:tcPr>
            <w:tcW w:w="122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Underlying</w:t>
            </w:r>
          </w:p>
        </w:tc>
        <w:tc>
          <w:tcPr>
            <w:tcW w:w="4280" w:type="dxa"/>
            <w:vAlign w:val="bottom"/>
            <w:gridSpan w:val="3"/>
          </w:tcPr>
          <w:p>
            <w:pPr>
              <w:ind w:left="60"/>
              <w:spacing w:after="0" w:line="153" w:lineRule="exact"/>
              <w:rPr>
                <w:sz w:val="20"/>
                <w:szCs w:val="20"/>
                <w:color w:val="auto"/>
              </w:rPr>
            </w:pPr>
            <w:r>
              <w:rPr>
                <w:rFonts w:ascii="Arial" w:cs="Arial" w:eastAsia="Arial" w:hAnsi="Arial"/>
                <w:sz w:val="14"/>
                <w:szCs w:val="14"/>
                <w:color w:val="auto"/>
              </w:rPr>
              <w:t>Class A common stock of Snowflake Inc. (Bloomberg ticker:</w:t>
            </w:r>
          </w:p>
        </w:tc>
      </w:tr>
      <w:tr>
        <w:trPr>
          <w:trHeight w:val="171"/>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stock:</w:t>
            </w:r>
          </w:p>
        </w:tc>
        <w:tc>
          <w:tcPr>
            <w:tcW w:w="2060" w:type="dxa"/>
            <w:vAlign w:val="bottom"/>
            <w:gridSpan w:val="2"/>
          </w:tcPr>
          <w:p>
            <w:pPr>
              <w:ind w:left="60"/>
              <w:spacing w:after="0"/>
              <w:rPr>
                <w:sz w:val="20"/>
                <w:szCs w:val="20"/>
                <w:color w:val="auto"/>
              </w:rPr>
            </w:pPr>
            <w:r>
              <w:rPr>
                <w:rFonts w:ascii="Arial" w:cs="Arial" w:eastAsia="Arial" w:hAnsi="Arial"/>
                <w:sz w:val="14"/>
                <w:szCs w:val="14"/>
                <w:color w:val="auto"/>
              </w:rPr>
              <w:t>SNOW UN Equity)</w:t>
            </w:r>
          </w:p>
        </w:tc>
        <w:tc>
          <w:tcPr>
            <w:tcW w:w="2220" w:type="dxa"/>
            <w:vAlign w:val="bottom"/>
          </w:tcPr>
          <w:p>
            <w:pPr>
              <w:spacing w:after="0"/>
              <w:rPr>
                <w:sz w:val="14"/>
                <w:szCs w:val="14"/>
                <w:color w:val="auto"/>
              </w:rPr>
            </w:pPr>
          </w:p>
        </w:tc>
      </w:tr>
      <w:tr>
        <w:trPr>
          <w:trHeight w:val="153"/>
        </w:trPr>
        <w:tc>
          <w:tcPr>
            <w:tcW w:w="1220" w:type="dxa"/>
            <w:vAlign w:val="bottom"/>
            <w:shd w:val="clear" w:color="auto" w:fill="DCEBF4"/>
          </w:tcPr>
          <w:p>
            <w:pPr>
              <w:ind w:left="100"/>
              <w:spacing w:after="0" w:line="153" w:lineRule="exact"/>
              <w:rPr>
                <w:sz w:val="20"/>
                <w:szCs w:val="20"/>
                <w:color w:val="auto"/>
              </w:rPr>
            </w:pPr>
            <w:r>
              <w:rPr>
                <w:rFonts w:ascii="Arial" w:cs="Arial" w:eastAsia="Arial" w:hAnsi="Arial"/>
                <w:sz w:val="14"/>
                <w:szCs w:val="14"/>
                <w:b w:val="1"/>
                <w:bCs w:val="1"/>
                <w:color w:val="296DC1"/>
              </w:rPr>
              <w:t>Early</w:t>
            </w:r>
          </w:p>
        </w:tc>
        <w:tc>
          <w:tcPr>
            <w:tcW w:w="4280" w:type="dxa"/>
            <w:vAlign w:val="bottom"/>
            <w:gridSpan w:val="3"/>
            <w:shd w:val="clear" w:color="auto" w:fill="DCEBF4"/>
          </w:tcPr>
          <w:p>
            <w:pPr>
              <w:ind w:left="60"/>
              <w:spacing w:after="0" w:line="153" w:lineRule="exact"/>
              <w:rPr>
                <w:sz w:val="20"/>
                <w:szCs w:val="20"/>
                <w:color w:val="auto"/>
              </w:rPr>
            </w:pPr>
            <w:r>
              <w:rPr>
                <w:rFonts w:ascii="Arial" w:cs="Arial" w:eastAsia="Arial" w:hAnsi="Arial"/>
                <w:sz w:val="14"/>
                <w:szCs w:val="14"/>
                <w:color w:val="auto"/>
              </w:rPr>
              <w:t>If, on any determination date (other than the final determination</w:t>
            </w:r>
          </w:p>
        </w:tc>
      </w:tr>
      <w:tr>
        <w:trPr>
          <w:trHeight w:val="162"/>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redemption:</w:t>
            </w:r>
          </w:p>
        </w:tc>
        <w:tc>
          <w:tcPr>
            <w:tcW w:w="4280" w:type="dxa"/>
            <w:vAlign w:val="bottom"/>
            <w:gridSpan w:val="3"/>
            <w:shd w:val="clear" w:color="auto" w:fill="DCEBF4"/>
          </w:tcPr>
          <w:p>
            <w:pPr>
              <w:ind w:left="60"/>
              <w:spacing w:after="0"/>
              <w:rPr>
                <w:sz w:val="20"/>
                <w:szCs w:val="20"/>
                <w:color w:val="auto"/>
              </w:rPr>
            </w:pPr>
            <w:r>
              <w:rPr>
                <w:rFonts w:ascii="Arial" w:cs="Arial" w:eastAsia="Arial" w:hAnsi="Arial"/>
                <w:sz w:val="14"/>
                <w:szCs w:val="14"/>
                <w:color w:val="auto"/>
              </w:rPr>
              <w:t xml:space="preserve">date), the closing price of the underlying stock is </w:t>
            </w:r>
            <w:r>
              <w:rPr>
                <w:rFonts w:ascii="Arial" w:cs="Arial" w:eastAsia="Arial" w:hAnsi="Arial"/>
                <w:sz w:val="14"/>
                <w:szCs w:val="14"/>
                <w:b w:val="1"/>
                <w:bCs w:val="1"/>
                <w:color w:val="auto"/>
              </w:rPr>
              <w:t>greater than or</w:t>
            </w:r>
          </w:p>
        </w:tc>
      </w:tr>
      <w:tr>
        <w:trPr>
          <w:trHeight w:val="162"/>
        </w:trPr>
        <w:tc>
          <w:tcPr>
            <w:tcW w:w="1220" w:type="dxa"/>
            <w:vAlign w:val="bottom"/>
            <w:shd w:val="clear" w:color="auto" w:fill="DCEBF4"/>
          </w:tcPr>
          <w:p>
            <w:pPr>
              <w:spacing w:after="0"/>
              <w:rPr>
                <w:sz w:val="14"/>
                <w:szCs w:val="14"/>
                <w:color w:val="auto"/>
              </w:rPr>
            </w:pPr>
          </w:p>
        </w:tc>
        <w:tc>
          <w:tcPr>
            <w:tcW w:w="4280" w:type="dxa"/>
            <w:vAlign w:val="bottom"/>
            <w:gridSpan w:val="3"/>
            <w:shd w:val="clear" w:color="auto" w:fill="DCEBF4"/>
          </w:tcPr>
          <w:p>
            <w:pPr>
              <w:ind w:left="60"/>
              <w:spacing w:after="0"/>
              <w:rPr>
                <w:sz w:val="20"/>
                <w:szCs w:val="20"/>
                <w:color w:val="auto"/>
              </w:rPr>
            </w:pPr>
            <w:r>
              <w:rPr>
                <w:rFonts w:ascii="Arial" w:cs="Arial" w:eastAsia="Arial" w:hAnsi="Arial"/>
                <w:sz w:val="14"/>
                <w:szCs w:val="14"/>
                <w:b w:val="1"/>
                <w:bCs w:val="1"/>
                <w:color w:val="auto"/>
              </w:rPr>
              <w:t xml:space="preserve">equal to </w:t>
            </w:r>
            <w:r>
              <w:rPr>
                <w:rFonts w:ascii="Arial" w:cs="Arial" w:eastAsia="Arial" w:hAnsi="Arial"/>
                <w:sz w:val="14"/>
                <w:szCs w:val="14"/>
                <w:color w:val="auto"/>
              </w:rPr>
              <w:t>the initial stock price, the securities will be automatically</w:t>
            </w:r>
          </w:p>
        </w:tc>
      </w:tr>
      <w:tr>
        <w:trPr>
          <w:trHeight w:val="162"/>
        </w:trPr>
        <w:tc>
          <w:tcPr>
            <w:tcW w:w="1220" w:type="dxa"/>
            <w:vAlign w:val="bottom"/>
            <w:shd w:val="clear" w:color="auto" w:fill="DCEBF4"/>
          </w:tcPr>
          <w:p>
            <w:pPr>
              <w:spacing w:after="0"/>
              <w:rPr>
                <w:sz w:val="14"/>
                <w:szCs w:val="14"/>
                <w:color w:val="auto"/>
              </w:rPr>
            </w:pPr>
          </w:p>
        </w:tc>
        <w:tc>
          <w:tcPr>
            <w:tcW w:w="4280" w:type="dxa"/>
            <w:vAlign w:val="bottom"/>
            <w:gridSpan w:val="3"/>
            <w:shd w:val="clear" w:color="auto" w:fill="DCEBF4"/>
          </w:tcPr>
          <w:p>
            <w:pPr>
              <w:ind w:left="60"/>
              <w:spacing w:after="0"/>
              <w:rPr>
                <w:sz w:val="20"/>
                <w:szCs w:val="20"/>
                <w:color w:val="auto"/>
              </w:rPr>
            </w:pPr>
            <w:r>
              <w:rPr>
                <w:rFonts w:ascii="Arial" w:cs="Arial" w:eastAsia="Arial" w:hAnsi="Arial"/>
                <w:sz w:val="14"/>
                <w:szCs w:val="14"/>
                <w:color w:val="auto"/>
              </w:rPr>
              <w:t>redeemed for an early redemption payment on the first contingent</w:t>
            </w:r>
          </w:p>
        </w:tc>
      </w:tr>
      <w:tr>
        <w:trPr>
          <w:trHeight w:val="162"/>
        </w:trPr>
        <w:tc>
          <w:tcPr>
            <w:tcW w:w="1220" w:type="dxa"/>
            <w:vAlign w:val="bottom"/>
            <w:shd w:val="clear" w:color="auto" w:fill="DCEBF4"/>
          </w:tcPr>
          <w:p>
            <w:pPr>
              <w:spacing w:after="0"/>
              <w:rPr>
                <w:sz w:val="14"/>
                <w:szCs w:val="14"/>
                <w:color w:val="auto"/>
              </w:rPr>
            </w:pPr>
          </w:p>
        </w:tc>
        <w:tc>
          <w:tcPr>
            <w:tcW w:w="4280" w:type="dxa"/>
            <w:vAlign w:val="bottom"/>
            <w:gridSpan w:val="3"/>
            <w:shd w:val="clear" w:color="auto" w:fill="DCEBF4"/>
          </w:tcPr>
          <w:p>
            <w:pPr>
              <w:ind w:left="60"/>
              <w:spacing w:after="0"/>
              <w:rPr>
                <w:sz w:val="20"/>
                <w:szCs w:val="20"/>
                <w:color w:val="auto"/>
              </w:rPr>
            </w:pPr>
            <w:r>
              <w:rPr>
                <w:rFonts w:ascii="Arial" w:cs="Arial" w:eastAsia="Arial" w:hAnsi="Arial"/>
                <w:sz w:val="14"/>
                <w:szCs w:val="14"/>
                <w:color w:val="auto"/>
              </w:rPr>
              <w:t>payment date immediately following the related determination</w:t>
            </w:r>
          </w:p>
        </w:tc>
      </w:tr>
      <w:tr>
        <w:trPr>
          <w:trHeight w:val="162"/>
        </w:trPr>
        <w:tc>
          <w:tcPr>
            <w:tcW w:w="1220" w:type="dxa"/>
            <w:vAlign w:val="bottom"/>
            <w:shd w:val="clear" w:color="auto" w:fill="DCEBF4"/>
          </w:tcPr>
          <w:p>
            <w:pPr>
              <w:spacing w:after="0"/>
              <w:rPr>
                <w:sz w:val="14"/>
                <w:szCs w:val="14"/>
                <w:color w:val="auto"/>
              </w:rPr>
            </w:pPr>
          </w:p>
        </w:tc>
        <w:tc>
          <w:tcPr>
            <w:tcW w:w="4280" w:type="dxa"/>
            <w:vAlign w:val="bottom"/>
            <w:gridSpan w:val="3"/>
            <w:shd w:val="clear" w:color="auto" w:fill="DCEBF4"/>
          </w:tcPr>
          <w:p>
            <w:pPr>
              <w:ind w:left="60"/>
              <w:spacing w:after="0"/>
              <w:rPr>
                <w:sz w:val="20"/>
                <w:szCs w:val="20"/>
                <w:color w:val="auto"/>
              </w:rPr>
            </w:pPr>
            <w:r>
              <w:rPr>
                <w:rFonts w:ascii="Arial" w:cs="Arial" w:eastAsia="Arial" w:hAnsi="Arial"/>
                <w:sz w:val="14"/>
                <w:szCs w:val="14"/>
                <w:color w:val="auto"/>
              </w:rPr>
              <w:t>date. No further payments will be made on the securities once</w:t>
            </w:r>
          </w:p>
        </w:tc>
      </w:tr>
      <w:tr>
        <w:trPr>
          <w:trHeight w:val="162"/>
        </w:trPr>
        <w:tc>
          <w:tcPr>
            <w:tcW w:w="1220" w:type="dxa"/>
            <w:vAlign w:val="bottom"/>
            <w:shd w:val="clear" w:color="auto" w:fill="DCEBF4"/>
          </w:tcPr>
          <w:p>
            <w:pPr>
              <w:spacing w:after="0"/>
              <w:rPr>
                <w:sz w:val="14"/>
                <w:szCs w:val="14"/>
                <w:color w:val="auto"/>
              </w:rPr>
            </w:pPr>
          </w:p>
        </w:tc>
        <w:tc>
          <w:tcPr>
            <w:tcW w:w="20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they have been redeemed.</w:t>
            </w:r>
          </w:p>
        </w:tc>
        <w:tc>
          <w:tcPr>
            <w:tcW w:w="2220" w:type="dxa"/>
            <w:vAlign w:val="bottom"/>
            <w:shd w:val="clear" w:color="auto" w:fill="DCEBF4"/>
          </w:tcPr>
          <w:p>
            <w:pPr>
              <w:spacing w:after="0"/>
              <w:rPr>
                <w:sz w:val="14"/>
                <w:szCs w:val="14"/>
                <w:color w:val="auto"/>
              </w:rPr>
            </w:pPr>
          </w:p>
        </w:tc>
      </w:tr>
      <w:tr>
        <w:trPr>
          <w:trHeight w:val="162"/>
        </w:trPr>
        <w:tc>
          <w:tcPr>
            <w:tcW w:w="1220" w:type="dxa"/>
            <w:vAlign w:val="bottom"/>
            <w:shd w:val="clear" w:color="auto" w:fill="DCEBF4"/>
          </w:tcPr>
          <w:p>
            <w:pPr>
              <w:spacing w:after="0"/>
              <w:rPr>
                <w:sz w:val="14"/>
                <w:szCs w:val="14"/>
                <w:color w:val="auto"/>
              </w:rPr>
            </w:pPr>
          </w:p>
        </w:tc>
        <w:tc>
          <w:tcPr>
            <w:tcW w:w="4280" w:type="dxa"/>
            <w:vAlign w:val="bottom"/>
            <w:gridSpan w:val="3"/>
            <w:shd w:val="clear" w:color="auto" w:fill="DCEBF4"/>
          </w:tcPr>
          <w:p>
            <w:pPr>
              <w:ind w:left="60"/>
              <w:spacing w:after="0"/>
              <w:rPr>
                <w:sz w:val="20"/>
                <w:szCs w:val="20"/>
                <w:color w:val="auto"/>
              </w:rPr>
            </w:pPr>
            <w:r>
              <w:rPr>
                <w:rFonts w:ascii="Arial" w:cs="Arial" w:eastAsia="Arial" w:hAnsi="Arial"/>
                <w:sz w:val="14"/>
                <w:szCs w:val="14"/>
                <w:b w:val="1"/>
                <w:bCs w:val="1"/>
                <w:color w:val="auto"/>
              </w:rPr>
              <w:t>The securities will not be redeemed early on any contingent</w:t>
            </w:r>
          </w:p>
        </w:tc>
      </w:tr>
      <w:tr>
        <w:trPr>
          <w:trHeight w:val="162"/>
        </w:trPr>
        <w:tc>
          <w:tcPr>
            <w:tcW w:w="1220" w:type="dxa"/>
            <w:vAlign w:val="bottom"/>
            <w:shd w:val="clear" w:color="auto" w:fill="DCEBF4"/>
          </w:tcPr>
          <w:p>
            <w:pPr>
              <w:spacing w:after="0"/>
              <w:rPr>
                <w:sz w:val="14"/>
                <w:szCs w:val="14"/>
                <w:color w:val="auto"/>
              </w:rPr>
            </w:pPr>
          </w:p>
        </w:tc>
        <w:tc>
          <w:tcPr>
            <w:tcW w:w="4280" w:type="dxa"/>
            <w:vAlign w:val="bottom"/>
            <w:gridSpan w:val="3"/>
            <w:shd w:val="clear" w:color="auto" w:fill="DCEBF4"/>
          </w:tcPr>
          <w:p>
            <w:pPr>
              <w:ind w:left="60"/>
              <w:spacing w:after="0"/>
              <w:rPr>
                <w:sz w:val="20"/>
                <w:szCs w:val="20"/>
                <w:color w:val="auto"/>
              </w:rPr>
            </w:pPr>
            <w:r>
              <w:rPr>
                <w:rFonts w:ascii="Arial" w:cs="Arial" w:eastAsia="Arial" w:hAnsi="Arial"/>
                <w:sz w:val="14"/>
                <w:szCs w:val="14"/>
                <w:b w:val="1"/>
                <w:bCs w:val="1"/>
                <w:color w:val="auto"/>
              </w:rPr>
              <w:t>payment date if the closing price of the underlying stock is</w:t>
            </w:r>
          </w:p>
        </w:tc>
      </w:tr>
      <w:tr>
        <w:trPr>
          <w:trHeight w:val="162"/>
        </w:trPr>
        <w:tc>
          <w:tcPr>
            <w:tcW w:w="1220" w:type="dxa"/>
            <w:vAlign w:val="bottom"/>
            <w:shd w:val="clear" w:color="auto" w:fill="DCEBF4"/>
          </w:tcPr>
          <w:p>
            <w:pPr>
              <w:spacing w:after="0"/>
              <w:rPr>
                <w:sz w:val="14"/>
                <w:szCs w:val="14"/>
                <w:color w:val="auto"/>
              </w:rPr>
            </w:pPr>
          </w:p>
        </w:tc>
        <w:tc>
          <w:tcPr>
            <w:tcW w:w="4280" w:type="dxa"/>
            <w:vAlign w:val="bottom"/>
            <w:gridSpan w:val="3"/>
            <w:shd w:val="clear" w:color="auto" w:fill="DCEBF4"/>
          </w:tcPr>
          <w:p>
            <w:pPr>
              <w:ind w:left="60"/>
              <w:spacing w:after="0"/>
              <w:rPr>
                <w:sz w:val="20"/>
                <w:szCs w:val="20"/>
                <w:color w:val="auto"/>
              </w:rPr>
            </w:pPr>
            <w:r>
              <w:rPr>
                <w:rFonts w:ascii="Arial" w:cs="Arial" w:eastAsia="Arial" w:hAnsi="Arial"/>
                <w:sz w:val="14"/>
                <w:szCs w:val="14"/>
                <w:b w:val="1"/>
                <w:bCs w:val="1"/>
                <w:color w:val="auto"/>
              </w:rPr>
              <w:t>below the initial stock price on the related determination</w:t>
            </w:r>
          </w:p>
        </w:tc>
      </w:tr>
      <w:tr>
        <w:trPr>
          <w:trHeight w:val="171"/>
        </w:trPr>
        <w:tc>
          <w:tcPr>
            <w:tcW w:w="1220" w:type="dxa"/>
            <w:vAlign w:val="bottom"/>
            <w:shd w:val="clear" w:color="auto" w:fill="DCEBF4"/>
          </w:tcPr>
          <w:p>
            <w:pPr>
              <w:spacing w:after="0"/>
              <w:rPr>
                <w:sz w:val="14"/>
                <w:szCs w:val="14"/>
                <w:color w:val="auto"/>
              </w:rPr>
            </w:pPr>
          </w:p>
        </w:tc>
        <w:tc>
          <w:tcPr>
            <w:tcW w:w="2060" w:type="dxa"/>
            <w:vAlign w:val="bottom"/>
            <w:gridSpan w:val="2"/>
            <w:shd w:val="clear" w:color="auto" w:fill="DCEBF4"/>
          </w:tcPr>
          <w:p>
            <w:pPr>
              <w:ind w:left="60"/>
              <w:spacing w:after="0"/>
              <w:rPr>
                <w:sz w:val="20"/>
                <w:szCs w:val="20"/>
                <w:color w:val="auto"/>
              </w:rPr>
            </w:pPr>
            <w:r>
              <w:rPr>
                <w:rFonts w:ascii="Arial" w:cs="Arial" w:eastAsia="Arial" w:hAnsi="Arial"/>
                <w:sz w:val="14"/>
                <w:szCs w:val="14"/>
                <w:b w:val="1"/>
                <w:bCs w:val="1"/>
                <w:color w:val="auto"/>
              </w:rPr>
              <w:t>date.</w:t>
            </w:r>
          </w:p>
        </w:tc>
        <w:tc>
          <w:tcPr>
            <w:tcW w:w="2220" w:type="dxa"/>
            <w:vAlign w:val="bottom"/>
            <w:shd w:val="clear" w:color="auto" w:fill="DCEBF4"/>
          </w:tcPr>
          <w:p>
            <w:pPr>
              <w:spacing w:after="0"/>
              <w:rPr>
                <w:sz w:val="14"/>
                <w:szCs w:val="14"/>
                <w:color w:val="auto"/>
              </w:rPr>
            </w:pPr>
          </w:p>
        </w:tc>
      </w:tr>
      <w:tr>
        <w:trPr>
          <w:trHeight w:val="153"/>
        </w:trPr>
        <w:tc>
          <w:tcPr>
            <w:tcW w:w="122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Early</w:t>
            </w:r>
          </w:p>
        </w:tc>
        <w:tc>
          <w:tcPr>
            <w:tcW w:w="4280" w:type="dxa"/>
            <w:vAlign w:val="bottom"/>
            <w:gridSpan w:val="3"/>
          </w:tcPr>
          <w:p>
            <w:pPr>
              <w:ind w:left="60"/>
              <w:spacing w:after="0" w:line="153" w:lineRule="exact"/>
              <w:rPr>
                <w:sz w:val="20"/>
                <w:szCs w:val="20"/>
                <w:color w:val="auto"/>
              </w:rPr>
            </w:pPr>
            <w:r>
              <w:rPr>
                <w:rFonts w:ascii="Arial" w:cs="Arial" w:eastAsia="Arial" w:hAnsi="Arial"/>
                <w:sz w:val="14"/>
                <w:szCs w:val="14"/>
                <w:color w:val="auto"/>
              </w:rPr>
              <w:t>The early redemption payment will be an amount equal to (i) the</w:t>
            </w:r>
          </w:p>
        </w:tc>
      </w:tr>
      <w:tr>
        <w:trPr>
          <w:trHeight w:val="162"/>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redemption</w:t>
            </w:r>
          </w:p>
        </w:tc>
        <w:tc>
          <w:tcPr>
            <w:tcW w:w="4280" w:type="dxa"/>
            <w:vAlign w:val="bottom"/>
            <w:gridSpan w:val="3"/>
          </w:tcPr>
          <w:p>
            <w:pPr>
              <w:ind w:left="60"/>
              <w:spacing w:after="0"/>
              <w:rPr>
                <w:sz w:val="20"/>
                <w:szCs w:val="20"/>
                <w:color w:val="auto"/>
              </w:rPr>
            </w:pPr>
            <w:r>
              <w:rPr>
                <w:rFonts w:ascii="Arial" w:cs="Arial" w:eastAsia="Arial" w:hAnsi="Arial"/>
                <w:sz w:val="14"/>
                <w:szCs w:val="14"/>
                <w:color w:val="auto"/>
              </w:rPr>
              <w:t xml:space="preserve">stated principal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(ii) the contingent quarterly payment</w:t>
            </w:r>
          </w:p>
        </w:tc>
      </w:tr>
      <w:tr>
        <w:trPr>
          <w:trHeight w:val="162"/>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payment:</w:t>
            </w:r>
          </w:p>
        </w:tc>
        <w:tc>
          <w:tcPr>
            <w:tcW w:w="4280" w:type="dxa"/>
            <w:vAlign w:val="bottom"/>
            <w:gridSpan w:val="3"/>
          </w:tcPr>
          <w:p>
            <w:pPr>
              <w:ind w:left="60"/>
              <w:spacing w:after="0"/>
              <w:rPr>
                <w:sz w:val="20"/>
                <w:szCs w:val="20"/>
                <w:color w:val="auto"/>
              </w:rPr>
            </w:pPr>
            <w:r>
              <w:rPr>
                <w:rFonts w:ascii="Arial" w:cs="Arial" w:eastAsia="Arial" w:hAnsi="Arial"/>
                <w:sz w:val="14"/>
                <w:szCs w:val="14"/>
                <w:color w:val="auto"/>
              </w:rPr>
              <w:t xml:space="preserve">with respect to the related determination date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(iii) any</w:t>
            </w:r>
          </w:p>
        </w:tc>
      </w:tr>
      <w:tr>
        <w:trPr>
          <w:trHeight w:val="162"/>
        </w:trPr>
        <w:tc>
          <w:tcPr>
            <w:tcW w:w="1220" w:type="dxa"/>
            <w:vAlign w:val="bottom"/>
          </w:tcPr>
          <w:p>
            <w:pPr>
              <w:spacing w:after="0"/>
              <w:rPr>
                <w:sz w:val="14"/>
                <w:szCs w:val="14"/>
                <w:color w:val="auto"/>
              </w:rPr>
            </w:pPr>
          </w:p>
        </w:tc>
        <w:tc>
          <w:tcPr>
            <w:tcW w:w="4280" w:type="dxa"/>
            <w:vAlign w:val="bottom"/>
            <w:gridSpan w:val="3"/>
          </w:tcPr>
          <w:p>
            <w:pPr>
              <w:ind w:left="60"/>
              <w:spacing w:after="0"/>
              <w:rPr>
                <w:sz w:val="20"/>
                <w:szCs w:val="20"/>
                <w:color w:val="auto"/>
              </w:rPr>
            </w:pPr>
            <w:r>
              <w:rPr>
                <w:rFonts w:ascii="Arial" w:cs="Arial" w:eastAsia="Arial" w:hAnsi="Arial"/>
                <w:sz w:val="14"/>
                <w:szCs w:val="14"/>
                <w:color w:val="auto"/>
              </w:rPr>
              <w:t>previously unpaid contingent quarterly payments with respect to</w:t>
            </w:r>
          </w:p>
        </w:tc>
      </w:tr>
      <w:tr>
        <w:trPr>
          <w:trHeight w:val="171"/>
        </w:trPr>
        <w:tc>
          <w:tcPr>
            <w:tcW w:w="1220" w:type="dxa"/>
            <w:vAlign w:val="bottom"/>
          </w:tcPr>
          <w:p>
            <w:pPr>
              <w:spacing w:after="0"/>
              <w:rPr>
                <w:sz w:val="14"/>
                <w:szCs w:val="14"/>
                <w:color w:val="auto"/>
              </w:rPr>
            </w:pPr>
          </w:p>
        </w:tc>
        <w:tc>
          <w:tcPr>
            <w:tcW w:w="2060" w:type="dxa"/>
            <w:vAlign w:val="bottom"/>
            <w:gridSpan w:val="2"/>
          </w:tcPr>
          <w:p>
            <w:pPr>
              <w:ind w:left="60"/>
              <w:spacing w:after="0"/>
              <w:rPr>
                <w:sz w:val="20"/>
                <w:szCs w:val="20"/>
                <w:color w:val="auto"/>
              </w:rPr>
            </w:pPr>
            <w:r>
              <w:rPr>
                <w:rFonts w:ascii="Arial" w:cs="Arial" w:eastAsia="Arial" w:hAnsi="Arial"/>
                <w:sz w:val="14"/>
                <w:szCs w:val="14"/>
                <w:color w:val="auto"/>
              </w:rPr>
              <w:t>any prior determination dates..</w:t>
            </w:r>
          </w:p>
        </w:tc>
        <w:tc>
          <w:tcPr>
            <w:tcW w:w="2220" w:type="dxa"/>
            <w:vAlign w:val="bottom"/>
          </w:tcPr>
          <w:p>
            <w:pPr>
              <w:spacing w:after="0"/>
              <w:rPr>
                <w:sz w:val="14"/>
                <w:szCs w:val="14"/>
                <w:color w:val="auto"/>
              </w:rPr>
            </w:pPr>
          </w:p>
        </w:tc>
      </w:tr>
      <w:tr>
        <w:trPr>
          <w:trHeight w:val="153"/>
        </w:trPr>
        <w:tc>
          <w:tcPr>
            <w:tcW w:w="1220" w:type="dxa"/>
            <w:vAlign w:val="bottom"/>
            <w:shd w:val="clear" w:color="auto" w:fill="DCEBF4"/>
          </w:tcPr>
          <w:p>
            <w:pPr>
              <w:ind w:left="100"/>
              <w:spacing w:after="0" w:line="153" w:lineRule="exact"/>
              <w:rPr>
                <w:sz w:val="20"/>
                <w:szCs w:val="20"/>
                <w:color w:val="auto"/>
              </w:rPr>
            </w:pPr>
            <w:r>
              <w:rPr>
                <w:rFonts w:ascii="Arial" w:cs="Arial" w:eastAsia="Arial" w:hAnsi="Arial"/>
                <w:sz w:val="14"/>
                <w:szCs w:val="14"/>
                <w:b w:val="1"/>
                <w:bCs w:val="1"/>
                <w:color w:val="296DC1"/>
              </w:rPr>
              <w:t>Contingent</w:t>
            </w:r>
          </w:p>
        </w:tc>
        <w:tc>
          <w:tcPr>
            <w:tcW w:w="120" w:type="dxa"/>
            <w:vAlign w:val="bottom"/>
            <w:shd w:val="clear" w:color="auto" w:fill="DCEBF4"/>
          </w:tcPr>
          <w:p>
            <w:pPr>
              <w:ind w:left="60"/>
              <w:spacing w:after="0" w:line="153" w:lineRule="exact"/>
              <w:rPr>
                <w:sz w:val="20"/>
                <w:szCs w:val="20"/>
                <w:color w:val="auto"/>
              </w:rPr>
            </w:pPr>
            <w:r>
              <w:rPr>
                <w:rFonts w:ascii="Times New Roman" w:cs="Times New Roman" w:eastAsia="Times New Roman" w:hAnsi="Times New Roman"/>
                <w:sz w:val="14"/>
                <w:szCs w:val="14"/>
                <w:color w:val="auto"/>
                <w:w w:val="84"/>
              </w:rPr>
              <w:t>·</w:t>
            </w:r>
          </w:p>
        </w:tc>
        <w:tc>
          <w:tcPr>
            <w:tcW w:w="4160" w:type="dxa"/>
            <w:vAlign w:val="bottom"/>
            <w:gridSpan w:val="2"/>
            <w:shd w:val="clear" w:color="auto" w:fill="DCEBF4"/>
          </w:tcPr>
          <w:p>
            <w:pPr>
              <w:ind w:left="40"/>
              <w:spacing w:after="0" w:line="153" w:lineRule="exact"/>
              <w:rPr>
                <w:sz w:val="20"/>
                <w:szCs w:val="20"/>
                <w:color w:val="auto"/>
              </w:rPr>
            </w:pPr>
            <w:r>
              <w:rPr>
                <w:rFonts w:ascii="Arial" w:cs="Arial" w:eastAsia="Arial" w:hAnsi="Arial"/>
                <w:sz w:val="14"/>
                <w:szCs w:val="14"/>
                <w:color w:val="auto"/>
              </w:rPr>
              <w:t>If, on any determination date, the closing price of the underlying</w:t>
            </w:r>
          </w:p>
        </w:tc>
      </w:tr>
      <w:tr>
        <w:trPr>
          <w:trHeight w:val="162"/>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quarterly</w:t>
            </w: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stock is greater than or equal to the downside threshold level,</w:t>
            </w:r>
          </w:p>
        </w:tc>
      </w:tr>
      <w:tr>
        <w:trPr>
          <w:trHeight w:val="162"/>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payment:</w:t>
            </w: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we will pay a contingent quarterly payment of at least $31.25 (at</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least 3.125% of the stated principal amount) per security on the</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 xml:space="preserve">related contingent payment date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any previously unpaid</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contingent quarterly payments with respect to any prior</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determination dates. The actual contingent quarterly payment</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 xml:space="preserve">will be provided in the pricing supplement. </w:t>
            </w:r>
            <w:r>
              <w:rPr>
                <w:rFonts w:ascii="Arial" w:cs="Arial" w:eastAsia="Arial" w:hAnsi="Arial"/>
                <w:sz w:val="14"/>
                <w:szCs w:val="14"/>
                <w:b w:val="1"/>
                <w:bCs w:val="1"/>
                <w:color w:val="auto"/>
              </w:rPr>
              <w:t>However, even if</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b w:val="1"/>
                <w:bCs w:val="1"/>
                <w:color w:val="auto"/>
              </w:rPr>
              <w:t>any unpaid contingent quarterly payment is payable on a</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b w:val="1"/>
                <w:bCs w:val="1"/>
                <w:color w:val="auto"/>
              </w:rPr>
              <w:t>later contingent payment date, no additional interest will</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b w:val="1"/>
                <w:bCs w:val="1"/>
                <w:color w:val="auto"/>
              </w:rPr>
              <w:t>accrue or be payable in respect of that unpaid contingent</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1940" w:type="dxa"/>
            <w:vAlign w:val="bottom"/>
            <w:shd w:val="clear" w:color="auto" w:fill="DCEBF4"/>
          </w:tcPr>
          <w:p>
            <w:pPr>
              <w:ind w:left="60"/>
              <w:spacing w:after="0"/>
              <w:rPr>
                <w:sz w:val="20"/>
                <w:szCs w:val="20"/>
                <w:color w:val="auto"/>
              </w:rPr>
            </w:pPr>
            <w:r>
              <w:rPr>
                <w:rFonts w:ascii="Arial" w:cs="Arial" w:eastAsia="Arial" w:hAnsi="Arial"/>
                <w:sz w:val="14"/>
                <w:szCs w:val="14"/>
                <w:b w:val="1"/>
                <w:bCs w:val="1"/>
                <w:color w:val="auto"/>
              </w:rPr>
              <w:t>quarterly payment.</w:t>
            </w:r>
          </w:p>
        </w:tc>
        <w:tc>
          <w:tcPr>
            <w:tcW w:w="2220" w:type="dxa"/>
            <w:vAlign w:val="bottom"/>
            <w:shd w:val="clear" w:color="auto" w:fill="DCEBF4"/>
          </w:tcPr>
          <w:p>
            <w:pPr>
              <w:spacing w:after="0"/>
              <w:rPr>
                <w:sz w:val="14"/>
                <w:szCs w:val="14"/>
                <w:color w:val="auto"/>
              </w:rPr>
            </w:pP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ind w:left="60"/>
              <w:spacing w:after="0"/>
              <w:rPr>
                <w:sz w:val="20"/>
                <w:szCs w:val="20"/>
                <w:color w:val="auto"/>
              </w:rPr>
            </w:pPr>
            <w:r>
              <w:rPr>
                <w:rFonts w:ascii="Times New Roman" w:cs="Times New Roman" w:eastAsia="Times New Roman" w:hAnsi="Times New Roman"/>
                <w:sz w:val="14"/>
                <w:szCs w:val="14"/>
                <w:color w:val="auto"/>
                <w:w w:val="84"/>
              </w:rPr>
              <w:t>·</w:t>
            </w:r>
          </w:p>
        </w:tc>
        <w:tc>
          <w:tcPr>
            <w:tcW w:w="4160" w:type="dxa"/>
            <w:vAlign w:val="bottom"/>
            <w:gridSpan w:val="2"/>
            <w:shd w:val="clear" w:color="auto" w:fill="DCEBF4"/>
          </w:tcPr>
          <w:p>
            <w:pPr>
              <w:ind w:left="40"/>
              <w:spacing w:after="0"/>
              <w:rPr>
                <w:sz w:val="20"/>
                <w:szCs w:val="20"/>
                <w:color w:val="auto"/>
              </w:rPr>
            </w:pPr>
            <w:r>
              <w:rPr>
                <w:rFonts w:ascii="Arial" w:cs="Arial" w:eastAsia="Arial" w:hAnsi="Arial"/>
                <w:sz w:val="14"/>
                <w:szCs w:val="14"/>
                <w:color w:val="auto"/>
              </w:rPr>
              <w:t>If, on any determination date, the closing price of the underlying</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stock is less than the downside threshold level, no contingent</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quarterly payment will be made with respect to that</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 xml:space="preserve">determination date. </w:t>
            </w:r>
            <w:r>
              <w:rPr>
                <w:rFonts w:ascii="Arial" w:cs="Arial" w:eastAsia="Arial" w:hAnsi="Arial"/>
                <w:sz w:val="14"/>
                <w:szCs w:val="14"/>
                <w:b w:val="1"/>
                <w:bCs w:val="1"/>
                <w:color w:val="auto"/>
              </w:rPr>
              <w:t>It is possible that the closing price of the</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b w:val="1"/>
                <w:bCs w:val="1"/>
                <w:color w:val="auto"/>
              </w:rPr>
              <w:t>underlying stock will be below the downside threshold level</w:t>
            </w:r>
          </w:p>
        </w:tc>
      </w:tr>
      <w:tr>
        <w:trPr>
          <w:trHeight w:val="162"/>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b w:val="1"/>
                <w:bCs w:val="1"/>
                <w:color w:val="auto"/>
              </w:rPr>
              <w:t>on most or all of the determination dates so that you will</w:t>
            </w:r>
          </w:p>
        </w:tc>
      </w:tr>
      <w:tr>
        <w:trPr>
          <w:trHeight w:val="171"/>
        </w:trPr>
        <w:tc>
          <w:tcPr>
            <w:tcW w:w="1220" w:type="dxa"/>
            <w:vAlign w:val="bottom"/>
            <w:shd w:val="clear" w:color="auto" w:fill="DCEBF4"/>
          </w:tcPr>
          <w:p>
            <w:pPr>
              <w:spacing w:after="0"/>
              <w:rPr>
                <w:sz w:val="14"/>
                <w:szCs w:val="14"/>
                <w:color w:val="auto"/>
              </w:rPr>
            </w:pPr>
          </w:p>
        </w:tc>
        <w:tc>
          <w:tcPr>
            <w:tcW w:w="120" w:type="dxa"/>
            <w:vAlign w:val="bottom"/>
            <w:shd w:val="clear" w:color="auto" w:fill="DCEBF4"/>
          </w:tcPr>
          <w:p>
            <w:pPr>
              <w:spacing w:after="0"/>
              <w:rPr>
                <w:sz w:val="14"/>
                <w:szCs w:val="14"/>
                <w:color w:val="auto"/>
              </w:rPr>
            </w:pPr>
          </w:p>
        </w:tc>
        <w:tc>
          <w:tcPr>
            <w:tcW w:w="4160" w:type="dxa"/>
            <w:vAlign w:val="bottom"/>
            <w:gridSpan w:val="2"/>
            <w:shd w:val="clear" w:color="auto" w:fill="DCEBF4"/>
          </w:tcPr>
          <w:p>
            <w:pPr>
              <w:ind w:left="60"/>
              <w:spacing w:after="0"/>
              <w:rPr>
                <w:sz w:val="20"/>
                <w:szCs w:val="20"/>
                <w:color w:val="auto"/>
              </w:rPr>
            </w:pPr>
            <w:r>
              <w:rPr>
                <w:rFonts w:ascii="Arial" w:cs="Arial" w:eastAsia="Arial" w:hAnsi="Arial"/>
                <w:sz w:val="14"/>
                <w:szCs w:val="14"/>
                <w:b w:val="1"/>
                <w:bCs w:val="1"/>
                <w:color w:val="auto"/>
              </w:rPr>
              <w:t>receive few or no contingent quarterly payments.</w:t>
            </w:r>
          </w:p>
        </w:tc>
      </w:tr>
      <w:tr>
        <w:trPr>
          <w:trHeight w:val="136"/>
        </w:trPr>
        <w:tc>
          <w:tcPr>
            <w:tcW w:w="1220" w:type="dxa"/>
            <w:vAlign w:val="bottom"/>
          </w:tcPr>
          <w:p>
            <w:pPr>
              <w:ind w:left="100"/>
              <w:spacing w:after="0" w:line="136" w:lineRule="exact"/>
              <w:rPr>
                <w:sz w:val="20"/>
                <w:szCs w:val="20"/>
                <w:color w:val="auto"/>
              </w:rPr>
            </w:pPr>
            <w:r>
              <w:rPr>
                <w:rFonts w:ascii="Arial" w:cs="Arial" w:eastAsia="Arial" w:hAnsi="Arial"/>
                <w:sz w:val="14"/>
                <w:szCs w:val="14"/>
                <w:b w:val="1"/>
                <w:bCs w:val="1"/>
                <w:color w:val="296DC1"/>
              </w:rPr>
              <w:t>Determination</w:t>
            </w:r>
          </w:p>
        </w:tc>
        <w:tc>
          <w:tcPr>
            <w:tcW w:w="4280" w:type="dxa"/>
            <w:vAlign w:val="bottom"/>
            <w:gridSpan w:val="3"/>
          </w:tcPr>
          <w:p>
            <w:pPr>
              <w:ind w:left="60"/>
              <w:spacing w:after="0" w:line="136" w:lineRule="exact"/>
              <w:rPr>
                <w:sz w:val="20"/>
                <w:szCs w:val="20"/>
                <w:color w:val="auto"/>
              </w:rPr>
            </w:pPr>
            <w:r>
              <w:rPr>
                <w:rFonts w:ascii="Arial" w:cs="Arial" w:eastAsia="Arial" w:hAnsi="Arial"/>
                <w:sz w:val="13"/>
                <w:szCs w:val="13"/>
                <w:color w:val="auto"/>
              </w:rPr>
              <w:t>September 16, 2024, December 16, 2024, March 14, 2025, June 16,</w:t>
            </w:r>
          </w:p>
        </w:tc>
      </w:tr>
      <w:tr>
        <w:trPr>
          <w:trHeight w:val="160"/>
        </w:trPr>
        <w:tc>
          <w:tcPr>
            <w:tcW w:w="1220" w:type="dxa"/>
            <w:vAlign w:val="bottom"/>
          </w:tcPr>
          <w:p>
            <w:pPr>
              <w:ind w:left="100"/>
              <w:spacing w:after="0" w:line="161" w:lineRule="exact"/>
              <w:rPr>
                <w:sz w:val="20"/>
                <w:szCs w:val="20"/>
                <w:color w:val="auto"/>
              </w:rPr>
            </w:pPr>
            <w:r>
              <w:rPr>
                <w:rFonts w:ascii="Arial" w:cs="Arial" w:eastAsia="Arial" w:hAnsi="Arial"/>
                <w:sz w:val="12"/>
                <w:szCs w:val="12"/>
                <w:b w:val="1"/>
                <w:bCs w:val="1"/>
                <w:color w:val="296DC1"/>
              </w:rPr>
              <w:t>dates</w:t>
            </w:r>
            <w:r>
              <w:rPr>
                <w:rFonts w:ascii="Arial" w:cs="Arial" w:eastAsia="Arial" w:hAnsi="Arial"/>
                <w:sz w:val="18"/>
                <w:szCs w:val="18"/>
                <w:b w:val="1"/>
                <w:bCs w:val="1"/>
                <w:color w:val="296DC1"/>
                <w:vertAlign w:val="superscript"/>
              </w:rPr>
              <w:t>†</w:t>
            </w:r>
            <w:r>
              <w:rPr>
                <w:rFonts w:ascii="Arial" w:cs="Arial" w:eastAsia="Arial" w:hAnsi="Arial"/>
                <w:sz w:val="12"/>
                <w:szCs w:val="12"/>
                <w:b w:val="1"/>
                <w:bCs w:val="1"/>
                <w:color w:val="296DC1"/>
              </w:rPr>
              <w:t>:</w:t>
            </w:r>
          </w:p>
        </w:tc>
        <w:tc>
          <w:tcPr>
            <w:tcW w:w="4280" w:type="dxa"/>
            <w:vAlign w:val="bottom"/>
            <w:gridSpan w:val="3"/>
          </w:tcPr>
          <w:p>
            <w:pPr>
              <w:ind w:left="60"/>
              <w:spacing w:after="0"/>
              <w:rPr>
                <w:sz w:val="20"/>
                <w:szCs w:val="20"/>
                <w:color w:val="auto"/>
              </w:rPr>
            </w:pPr>
            <w:r>
              <w:rPr>
                <w:rFonts w:ascii="Arial" w:cs="Arial" w:eastAsia="Arial" w:hAnsi="Arial"/>
                <w:sz w:val="13"/>
                <w:szCs w:val="13"/>
                <w:color w:val="auto"/>
              </w:rPr>
              <w:t>2025, September 15, 2025, December 15, 2025, March 16, 2026,</w:t>
            </w:r>
          </w:p>
        </w:tc>
      </w:tr>
      <w:tr>
        <w:trPr>
          <w:trHeight w:val="137"/>
        </w:trPr>
        <w:tc>
          <w:tcPr>
            <w:tcW w:w="1220" w:type="dxa"/>
            <w:vAlign w:val="bottom"/>
          </w:tcPr>
          <w:p>
            <w:pPr>
              <w:spacing w:after="0"/>
              <w:rPr>
                <w:sz w:val="11"/>
                <w:szCs w:val="11"/>
                <w:color w:val="auto"/>
              </w:rPr>
            </w:pPr>
          </w:p>
        </w:tc>
        <w:tc>
          <w:tcPr>
            <w:tcW w:w="4280" w:type="dxa"/>
            <w:vAlign w:val="bottom"/>
            <w:gridSpan w:val="3"/>
          </w:tcPr>
          <w:p>
            <w:pPr>
              <w:ind w:left="60"/>
              <w:spacing w:after="0" w:line="137" w:lineRule="exact"/>
              <w:rPr>
                <w:sz w:val="20"/>
                <w:szCs w:val="20"/>
                <w:color w:val="auto"/>
              </w:rPr>
            </w:pPr>
            <w:r>
              <w:rPr>
                <w:rFonts w:ascii="Arial" w:cs="Arial" w:eastAsia="Arial" w:hAnsi="Arial"/>
                <w:sz w:val="13"/>
                <w:szCs w:val="13"/>
                <w:color w:val="auto"/>
              </w:rPr>
              <w:t>June 15, 2026, September 14, 2026, December 14, 2026, March 15,</w:t>
            </w:r>
          </w:p>
        </w:tc>
      </w:tr>
      <w:tr>
        <w:trPr>
          <w:trHeight w:val="161"/>
        </w:trPr>
        <w:tc>
          <w:tcPr>
            <w:tcW w:w="1220" w:type="dxa"/>
            <w:vAlign w:val="bottom"/>
          </w:tcPr>
          <w:p>
            <w:pPr>
              <w:spacing w:after="0"/>
              <w:rPr>
                <w:sz w:val="14"/>
                <w:szCs w:val="14"/>
                <w:color w:val="auto"/>
              </w:rPr>
            </w:pPr>
          </w:p>
        </w:tc>
        <w:tc>
          <w:tcPr>
            <w:tcW w:w="2060" w:type="dxa"/>
            <w:vAlign w:val="bottom"/>
            <w:gridSpan w:val="2"/>
          </w:tcPr>
          <w:p>
            <w:pPr>
              <w:ind w:left="60"/>
              <w:spacing w:after="0"/>
              <w:rPr>
                <w:sz w:val="20"/>
                <w:szCs w:val="20"/>
                <w:color w:val="auto"/>
              </w:rPr>
            </w:pPr>
            <w:r>
              <w:rPr>
                <w:rFonts w:ascii="Arial" w:cs="Arial" w:eastAsia="Arial" w:hAnsi="Arial"/>
                <w:sz w:val="13"/>
                <w:szCs w:val="13"/>
                <w:color w:val="auto"/>
              </w:rPr>
              <w:t>2027 and June 14, 2027</w:t>
            </w:r>
          </w:p>
        </w:tc>
        <w:tc>
          <w:tcPr>
            <w:tcW w:w="2220" w:type="dxa"/>
            <w:vAlign w:val="bottom"/>
          </w:tcPr>
          <w:p>
            <w:pPr>
              <w:spacing w:after="0"/>
              <w:rPr>
                <w:sz w:val="14"/>
                <w:szCs w:val="14"/>
                <w:color w:val="auto"/>
              </w:rPr>
            </w:pPr>
          </w:p>
        </w:tc>
      </w:tr>
      <w:tr>
        <w:trPr>
          <w:trHeight w:val="136"/>
        </w:trPr>
        <w:tc>
          <w:tcPr>
            <w:tcW w:w="1220" w:type="dxa"/>
            <w:vAlign w:val="bottom"/>
            <w:shd w:val="clear" w:color="auto" w:fill="DCEBF4"/>
          </w:tcPr>
          <w:p>
            <w:pPr>
              <w:ind w:left="100"/>
              <w:spacing w:after="0" w:line="136" w:lineRule="exact"/>
              <w:rPr>
                <w:sz w:val="20"/>
                <w:szCs w:val="20"/>
                <w:color w:val="auto"/>
              </w:rPr>
            </w:pPr>
            <w:r>
              <w:rPr>
                <w:rFonts w:ascii="Arial" w:cs="Arial" w:eastAsia="Arial" w:hAnsi="Arial"/>
                <w:sz w:val="14"/>
                <w:szCs w:val="14"/>
                <w:b w:val="1"/>
                <w:bCs w:val="1"/>
                <w:color w:val="296DC1"/>
              </w:rPr>
              <w:t>Contingent</w:t>
            </w:r>
          </w:p>
        </w:tc>
        <w:tc>
          <w:tcPr>
            <w:tcW w:w="4280" w:type="dxa"/>
            <w:vAlign w:val="bottom"/>
            <w:gridSpan w:val="3"/>
            <w:shd w:val="clear" w:color="auto" w:fill="DCEBF4"/>
          </w:tcPr>
          <w:p>
            <w:pPr>
              <w:ind w:left="60"/>
              <w:spacing w:after="0" w:line="136" w:lineRule="exact"/>
              <w:rPr>
                <w:sz w:val="20"/>
                <w:szCs w:val="20"/>
                <w:color w:val="auto"/>
              </w:rPr>
            </w:pPr>
            <w:r>
              <w:rPr>
                <w:rFonts w:ascii="Arial" w:cs="Arial" w:eastAsia="Arial" w:hAnsi="Arial"/>
                <w:sz w:val="13"/>
                <w:szCs w:val="13"/>
                <w:color w:val="auto"/>
              </w:rPr>
              <w:t>September 19, 2024, December 19, 2024, March 19, 2025, June 20,</w:t>
            </w:r>
          </w:p>
        </w:tc>
      </w:tr>
      <w:tr>
        <w:trPr>
          <w:trHeight w:val="161"/>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payment</w:t>
            </w:r>
          </w:p>
        </w:tc>
        <w:tc>
          <w:tcPr>
            <w:tcW w:w="4280" w:type="dxa"/>
            <w:vAlign w:val="bottom"/>
            <w:gridSpan w:val="3"/>
            <w:shd w:val="clear" w:color="auto" w:fill="DCEBF4"/>
          </w:tcPr>
          <w:p>
            <w:pPr>
              <w:ind w:left="60"/>
              <w:spacing w:after="0"/>
              <w:rPr>
                <w:sz w:val="20"/>
                <w:szCs w:val="20"/>
                <w:color w:val="auto"/>
              </w:rPr>
            </w:pPr>
            <w:r>
              <w:rPr>
                <w:rFonts w:ascii="Arial" w:cs="Arial" w:eastAsia="Arial" w:hAnsi="Arial"/>
                <w:sz w:val="13"/>
                <w:szCs w:val="13"/>
                <w:color w:val="auto"/>
              </w:rPr>
              <w:t>2025, September 18, 2025, December 18, 2025, March 19, 2026,</w:t>
            </w:r>
          </w:p>
        </w:tc>
      </w:tr>
      <w:tr>
        <w:trPr>
          <w:trHeight w:val="148"/>
        </w:trPr>
        <w:tc>
          <w:tcPr>
            <w:tcW w:w="1220" w:type="dxa"/>
            <w:vAlign w:val="bottom"/>
            <w:shd w:val="clear" w:color="auto" w:fill="DCEBF4"/>
          </w:tcPr>
          <w:p>
            <w:pPr>
              <w:ind w:left="100"/>
              <w:spacing w:after="0" w:line="148" w:lineRule="exact"/>
              <w:rPr>
                <w:sz w:val="20"/>
                <w:szCs w:val="20"/>
                <w:color w:val="auto"/>
              </w:rPr>
            </w:pPr>
            <w:r>
              <w:rPr>
                <w:rFonts w:ascii="Arial" w:cs="Arial" w:eastAsia="Arial" w:hAnsi="Arial"/>
                <w:sz w:val="11"/>
                <w:szCs w:val="11"/>
                <w:b w:val="1"/>
                <w:bCs w:val="1"/>
                <w:color w:val="296DC1"/>
              </w:rPr>
              <w:t>dates</w:t>
            </w:r>
            <w:r>
              <w:rPr>
                <w:rFonts w:ascii="Arial" w:cs="Arial" w:eastAsia="Arial" w:hAnsi="Arial"/>
                <w:sz w:val="17"/>
                <w:szCs w:val="17"/>
                <w:b w:val="1"/>
                <w:bCs w:val="1"/>
                <w:color w:val="296DC1"/>
                <w:vertAlign w:val="superscript"/>
              </w:rPr>
              <w:t>†</w:t>
            </w:r>
            <w:r>
              <w:rPr>
                <w:rFonts w:ascii="Arial" w:cs="Arial" w:eastAsia="Arial" w:hAnsi="Arial"/>
                <w:sz w:val="11"/>
                <w:szCs w:val="11"/>
                <w:b w:val="1"/>
                <w:bCs w:val="1"/>
                <w:color w:val="296DC1"/>
              </w:rPr>
              <w:t>:</w:t>
            </w:r>
          </w:p>
        </w:tc>
        <w:tc>
          <w:tcPr>
            <w:tcW w:w="4280" w:type="dxa"/>
            <w:vAlign w:val="bottom"/>
            <w:gridSpan w:val="3"/>
            <w:shd w:val="clear" w:color="auto" w:fill="DCEBF4"/>
          </w:tcPr>
          <w:p>
            <w:pPr>
              <w:ind w:left="60"/>
              <w:spacing w:after="0" w:line="148" w:lineRule="exact"/>
              <w:rPr>
                <w:sz w:val="20"/>
                <w:szCs w:val="20"/>
                <w:color w:val="auto"/>
              </w:rPr>
            </w:pPr>
            <w:r>
              <w:rPr>
                <w:rFonts w:ascii="Arial" w:cs="Arial" w:eastAsia="Arial" w:hAnsi="Arial"/>
                <w:sz w:val="13"/>
                <w:szCs w:val="13"/>
                <w:color w:val="auto"/>
              </w:rPr>
              <w:t>June 18, 2026, September 17, 2026, December 17, 2026, March 18,</w:t>
            </w:r>
          </w:p>
        </w:tc>
      </w:tr>
      <w:tr>
        <w:trPr>
          <w:trHeight w:val="149"/>
        </w:trPr>
        <w:tc>
          <w:tcPr>
            <w:tcW w:w="1220" w:type="dxa"/>
            <w:vAlign w:val="bottom"/>
            <w:shd w:val="clear" w:color="auto" w:fill="DCEBF4"/>
          </w:tcPr>
          <w:p>
            <w:pPr>
              <w:spacing w:after="0"/>
              <w:rPr>
                <w:sz w:val="12"/>
                <w:szCs w:val="12"/>
                <w:color w:val="auto"/>
              </w:rPr>
            </w:pPr>
          </w:p>
        </w:tc>
        <w:tc>
          <w:tcPr>
            <w:tcW w:w="2060" w:type="dxa"/>
            <w:vAlign w:val="bottom"/>
            <w:gridSpan w:val="2"/>
            <w:shd w:val="clear" w:color="auto" w:fill="DCEBF4"/>
          </w:tcPr>
          <w:p>
            <w:pPr>
              <w:ind w:left="60"/>
              <w:spacing w:after="0"/>
              <w:rPr>
                <w:sz w:val="20"/>
                <w:szCs w:val="20"/>
                <w:color w:val="auto"/>
              </w:rPr>
            </w:pPr>
            <w:r>
              <w:rPr>
                <w:rFonts w:ascii="Arial" w:cs="Arial" w:eastAsia="Arial" w:hAnsi="Arial"/>
                <w:sz w:val="13"/>
                <w:szCs w:val="13"/>
                <w:color w:val="auto"/>
              </w:rPr>
              <w:t>2027 and the maturity date</w:t>
            </w:r>
          </w:p>
        </w:tc>
        <w:tc>
          <w:tcPr>
            <w:tcW w:w="2220" w:type="dxa"/>
            <w:vAlign w:val="bottom"/>
            <w:shd w:val="clear" w:color="auto" w:fill="DCEBF4"/>
          </w:tcPr>
          <w:p>
            <w:pPr>
              <w:spacing w:after="0"/>
              <w:rPr>
                <w:sz w:val="12"/>
                <w:szCs w:val="12"/>
                <w:color w:val="auto"/>
              </w:rPr>
            </w:pPr>
          </w:p>
        </w:tc>
      </w:tr>
      <w:tr>
        <w:trPr>
          <w:trHeight w:val="153"/>
        </w:trPr>
        <w:tc>
          <w:tcPr>
            <w:tcW w:w="1220" w:type="dxa"/>
            <w:vAlign w:val="bottom"/>
          </w:tcPr>
          <w:p>
            <w:pPr>
              <w:ind w:left="100"/>
              <w:spacing w:after="0" w:line="153" w:lineRule="exact"/>
              <w:rPr>
                <w:sz w:val="20"/>
                <w:szCs w:val="20"/>
                <w:color w:val="auto"/>
              </w:rPr>
            </w:pPr>
            <w:r>
              <w:rPr>
                <w:rFonts w:ascii="Arial" w:cs="Arial" w:eastAsia="Arial" w:hAnsi="Arial"/>
                <w:sz w:val="14"/>
                <w:szCs w:val="14"/>
                <w:b w:val="1"/>
                <w:bCs w:val="1"/>
                <w:color w:val="296DC1"/>
              </w:rPr>
              <w:t>Payment at</w:t>
            </w:r>
          </w:p>
        </w:tc>
        <w:tc>
          <w:tcPr>
            <w:tcW w:w="120" w:type="dxa"/>
            <w:vAlign w:val="bottom"/>
          </w:tcPr>
          <w:p>
            <w:pPr>
              <w:ind w:left="60"/>
              <w:spacing w:after="0" w:line="153" w:lineRule="exact"/>
              <w:rPr>
                <w:sz w:val="20"/>
                <w:szCs w:val="20"/>
                <w:color w:val="auto"/>
              </w:rPr>
            </w:pPr>
            <w:r>
              <w:rPr>
                <w:rFonts w:ascii="Times New Roman" w:cs="Times New Roman" w:eastAsia="Times New Roman" w:hAnsi="Times New Roman"/>
                <w:sz w:val="14"/>
                <w:szCs w:val="14"/>
                <w:color w:val="auto"/>
                <w:w w:val="84"/>
              </w:rPr>
              <w:t>·</w:t>
            </w:r>
          </w:p>
        </w:tc>
        <w:tc>
          <w:tcPr>
            <w:tcW w:w="1940" w:type="dxa"/>
            <w:vAlign w:val="bottom"/>
          </w:tcPr>
          <w:p>
            <w:pPr>
              <w:ind w:left="40"/>
              <w:spacing w:after="0" w:line="153" w:lineRule="exact"/>
              <w:rPr>
                <w:sz w:val="20"/>
                <w:szCs w:val="20"/>
                <w:color w:val="auto"/>
              </w:rPr>
            </w:pPr>
            <w:r>
              <w:rPr>
                <w:rFonts w:ascii="Arial" w:cs="Arial" w:eastAsia="Arial" w:hAnsi="Arial"/>
                <w:sz w:val="14"/>
                <w:szCs w:val="14"/>
                <w:color w:val="auto"/>
              </w:rPr>
              <w:t>If the final stock price is</w:t>
            </w:r>
          </w:p>
        </w:tc>
        <w:tc>
          <w:tcPr>
            <w:tcW w:w="2220" w:type="dxa"/>
            <w:vAlign w:val="bottom"/>
          </w:tcPr>
          <w:p>
            <w:pPr>
              <w:ind w:left="40"/>
              <w:spacing w:after="0" w:line="153" w:lineRule="exact"/>
              <w:rPr>
                <w:sz w:val="20"/>
                <w:szCs w:val="20"/>
                <w:color w:val="auto"/>
              </w:rPr>
            </w:pPr>
            <w:r>
              <w:rPr>
                <w:rFonts w:ascii="Arial" w:cs="Arial" w:eastAsia="Arial" w:hAnsi="Arial"/>
                <w:sz w:val="14"/>
                <w:szCs w:val="14"/>
                <w:color w:val="auto"/>
              </w:rPr>
              <w:t>(i) the stated principal amount</w:t>
            </w:r>
          </w:p>
        </w:tc>
      </w:tr>
      <w:tr>
        <w:trPr>
          <w:trHeight w:val="162"/>
        </w:trPr>
        <w:tc>
          <w:tcPr>
            <w:tcW w:w="1220" w:type="dxa"/>
            <w:vAlign w:val="bottom"/>
          </w:tcPr>
          <w:p>
            <w:pPr>
              <w:ind w:left="100"/>
              <w:spacing w:after="0"/>
              <w:rPr>
                <w:sz w:val="20"/>
                <w:szCs w:val="20"/>
                <w:color w:val="auto"/>
              </w:rPr>
            </w:pPr>
            <w:r>
              <w:rPr>
                <w:rFonts w:ascii="Arial" w:cs="Arial" w:eastAsia="Arial" w:hAnsi="Arial"/>
                <w:sz w:val="14"/>
                <w:szCs w:val="14"/>
                <w:b w:val="1"/>
                <w:bCs w:val="1"/>
                <w:color w:val="296DC1"/>
              </w:rPr>
              <w:t>maturity:</w:t>
            </w:r>
          </w:p>
        </w:tc>
        <w:tc>
          <w:tcPr>
            <w:tcW w:w="120" w:type="dxa"/>
            <w:vAlign w:val="bottom"/>
          </w:tcPr>
          <w:p>
            <w:pPr>
              <w:spacing w:after="0"/>
              <w:rPr>
                <w:sz w:val="14"/>
                <w:szCs w:val="14"/>
                <w:color w:val="auto"/>
              </w:rPr>
            </w:pPr>
          </w:p>
        </w:tc>
        <w:tc>
          <w:tcPr>
            <w:tcW w:w="416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greater than or equal to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plus</w:t>
            </w:r>
            <w:r>
              <w:rPr>
                <w:rFonts w:ascii="Arial" w:cs="Arial" w:eastAsia="Arial" w:hAnsi="Arial"/>
                <w:sz w:val="14"/>
                <w:szCs w:val="14"/>
                <w:b w:val="1"/>
                <w:bCs w:val="1"/>
                <w:color w:val="auto"/>
              </w:rPr>
              <w:t xml:space="preserve"> </w:t>
            </w:r>
            <w:r>
              <w:rPr>
                <w:rFonts w:ascii="Arial" w:cs="Arial" w:eastAsia="Arial" w:hAnsi="Arial"/>
                <w:sz w:val="14"/>
                <w:szCs w:val="14"/>
                <w:color w:val="auto"/>
              </w:rPr>
              <w:t>(ii) the contingent quarterly</w:t>
            </w:r>
          </w:p>
        </w:tc>
      </w:t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ind w:left="60"/>
              <w:spacing w:after="0"/>
              <w:rPr>
                <w:sz w:val="20"/>
                <w:szCs w:val="20"/>
                <w:color w:val="auto"/>
              </w:rPr>
            </w:pPr>
            <w:r>
              <w:rPr>
                <w:rFonts w:ascii="Arial" w:cs="Arial" w:eastAsia="Arial" w:hAnsi="Arial"/>
                <w:sz w:val="14"/>
                <w:szCs w:val="14"/>
                <w:color w:val="auto"/>
              </w:rPr>
              <w:t>downside threshold level:</w:t>
            </w:r>
          </w:p>
        </w:tc>
        <w:tc>
          <w:tcPr>
            <w:tcW w:w="2220" w:type="dxa"/>
            <w:vAlign w:val="bottom"/>
          </w:tcPr>
          <w:p>
            <w:pPr>
              <w:ind w:left="40"/>
              <w:spacing w:after="0"/>
              <w:rPr>
                <w:sz w:val="20"/>
                <w:szCs w:val="20"/>
                <w:color w:val="auto"/>
              </w:rPr>
            </w:pPr>
            <w:r>
              <w:rPr>
                <w:rFonts w:ascii="Arial" w:cs="Arial" w:eastAsia="Arial" w:hAnsi="Arial"/>
                <w:sz w:val="14"/>
                <w:szCs w:val="14"/>
                <w:color w:val="auto"/>
              </w:rPr>
              <w:t>payment with respect to the final</w:t>
            </w:r>
          </w:p>
        </w:tc>
      </w:t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 xml:space="preserve">determination date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(iii) any</w:t>
            </w:r>
          </w:p>
        </w:tc>
      </w:t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previously unpaid contingent</w:t>
            </w:r>
          </w:p>
        </w:tc>
      </w:t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quarterly payments with respect</w:t>
            </w:r>
          </w:p>
        </w:tc>
      </w:t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any prior determination dates.</w:t>
            </w:r>
          </w:p>
        </w:tc>
      </w:tr>
      <w:tr>
        <w:trPr>
          <w:trHeight w:val="162"/>
        </w:trPr>
        <w:tc>
          <w:tcPr>
            <w:tcW w:w="1220" w:type="dxa"/>
            <w:vAlign w:val="bottom"/>
          </w:tcPr>
          <w:p>
            <w:pPr>
              <w:spacing w:after="0"/>
              <w:rPr>
                <w:sz w:val="14"/>
                <w:szCs w:val="1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4"/>
              </w:rPr>
              <w:t>·</w:t>
            </w:r>
          </w:p>
        </w:tc>
        <w:tc>
          <w:tcPr>
            <w:tcW w:w="1940" w:type="dxa"/>
            <w:vAlign w:val="bottom"/>
          </w:tcPr>
          <w:p>
            <w:pPr>
              <w:ind w:left="40"/>
              <w:spacing w:after="0"/>
              <w:rPr>
                <w:sz w:val="20"/>
                <w:szCs w:val="20"/>
                <w:color w:val="auto"/>
              </w:rPr>
            </w:pPr>
            <w:r>
              <w:rPr>
                <w:rFonts w:ascii="Arial" w:cs="Arial" w:eastAsia="Arial" w:hAnsi="Arial"/>
                <w:sz w:val="14"/>
                <w:szCs w:val="14"/>
                <w:color w:val="auto"/>
              </w:rPr>
              <w:t xml:space="preserve">If the final stock price is </w:t>
            </w:r>
            <w:r>
              <w:rPr>
                <w:rFonts w:ascii="Arial" w:cs="Arial" w:eastAsia="Arial" w:hAnsi="Arial"/>
                <w:sz w:val="14"/>
                <w:szCs w:val="14"/>
                <w:b w:val="1"/>
                <w:bCs w:val="1"/>
                <w:color w:val="auto"/>
              </w:rPr>
              <w:t>less</w:t>
            </w:r>
          </w:p>
        </w:tc>
        <w:tc>
          <w:tcPr>
            <w:tcW w:w="2220" w:type="dxa"/>
            <w:vAlign w:val="bottom"/>
          </w:tcPr>
          <w:p>
            <w:pPr>
              <w:ind w:left="40"/>
              <w:spacing w:after="0"/>
              <w:rPr>
                <w:sz w:val="20"/>
                <w:szCs w:val="20"/>
                <w:color w:val="auto"/>
              </w:rPr>
            </w:pPr>
            <w:r>
              <w:rPr>
                <w:rFonts w:ascii="Arial" w:cs="Arial" w:eastAsia="Arial" w:hAnsi="Arial"/>
                <w:sz w:val="14"/>
                <w:szCs w:val="14"/>
                <w:color w:val="auto"/>
              </w:rPr>
              <w:t>(i) the stated principal amount</w:t>
            </w:r>
          </w:p>
        </w:tc>
      </w:t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 xml:space="preserve">than </w:t>
            </w:r>
            <w:r>
              <w:rPr>
                <w:rFonts w:ascii="Arial" w:cs="Arial" w:eastAsia="Arial" w:hAnsi="Arial"/>
                <w:sz w:val="14"/>
                <w:szCs w:val="14"/>
                <w:color w:val="auto"/>
              </w:rPr>
              <w:t>the downside threshold</w:t>
            </w:r>
          </w:p>
        </w:tc>
        <w:tc>
          <w:tcPr>
            <w:tcW w:w="2220" w:type="dxa"/>
            <w:vAlign w:val="bottom"/>
          </w:tcPr>
          <w:p>
            <w:pPr>
              <w:ind w:left="40"/>
              <w:spacing w:after="0"/>
              <w:rPr>
                <w:sz w:val="20"/>
                <w:szCs w:val="20"/>
                <w:color w:val="auto"/>
              </w:rPr>
            </w:pPr>
            <w:r>
              <w:rPr>
                <w:rFonts w:ascii="Arial" w:cs="Arial" w:eastAsia="Arial" w:hAnsi="Arial"/>
                <w:sz w:val="14"/>
                <w:szCs w:val="14"/>
                <w:i w:val="1"/>
                <w:iCs w:val="1"/>
                <w:color w:val="auto"/>
              </w:rPr>
              <w:t xml:space="preserve">times </w:t>
            </w:r>
            <w:r>
              <w:rPr>
                <w:rFonts w:ascii="Arial" w:cs="Arial" w:eastAsia="Arial" w:hAnsi="Arial"/>
                <w:sz w:val="14"/>
                <w:szCs w:val="14"/>
                <w:color w:val="auto"/>
              </w:rPr>
              <w:t>(ii) the stock performance</w:t>
            </w:r>
          </w:p>
        </w:tc>
      </w:t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ind w:left="60"/>
              <w:spacing w:after="0"/>
              <w:rPr>
                <w:sz w:val="20"/>
                <w:szCs w:val="20"/>
                <w:color w:val="auto"/>
              </w:rPr>
            </w:pPr>
            <w:r>
              <w:rPr>
                <w:rFonts w:ascii="Arial" w:cs="Arial" w:eastAsia="Arial" w:hAnsi="Arial"/>
                <w:sz w:val="14"/>
                <w:szCs w:val="14"/>
                <w:color w:val="auto"/>
              </w:rPr>
              <w:t>level:</w:t>
            </w:r>
          </w:p>
        </w:tc>
        <w:tc>
          <w:tcPr>
            <w:tcW w:w="2220" w:type="dxa"/>
            <w:vAlign w:val="bottom"/>
          </w:tcPr>
          <w:p>
            <w:pPr>
              <w:ind w:left="40"/>
              <w:spacing w:after="0"/>
              <w:rPr>
                <w:sz w:val="20"/>
                <w:szCs w:val="20"/>
                <w:color w:val="auto"/>
              </w:rPr>
            </w:pPr>
            <w:r>
              <w:rPr>
                <w:rFonts w:ascii="Arial" w:cs="Arial" w:eastAsia="Arial" w:hAnsi="Arial"/>
                <w:sz w:val="14"/>
                <w:szCs w:val="14"/>
                <w:color w:val="auto"/>
              </w:rPr>
              <w:t>factor. This cash payment will be</w:t>
            </w:r>
          </w:p>
        </w:tc>
      </w:t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less than 50% of the stated</w:t>
            </w:r>
          </w:p>
        </w:tc>
      </w:tr>
      <w:tr>
        <w:trPr>
          <w:trHeight w:val="162"/>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principal amount of the securities</w:t>
            </w:r>
          </w:p>
        </w:tc>
      </w:tr>
      <w:tr>
        <w:trPr>
          <w:trHeight w:val="171"/>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and could be zero.</w:t>
            </w:r>
          </w:p>
        </w:tc>
      </w:tr>
      <w:tr>
        <w:trPr>
          <w:trHeight w:val="153"/>
        </w:trPr>
        <w:tc>
          <w:tcPr>
            <w:tcW w:w="1220" w:type="dxa"/>
            <w:vAlign w:val="bottom"/>
            <w:shd w:val="clear" w:color="auto" w:fill="DCEBF4"/>
          </w:tcPr>
          <w:p>
            <w:pPr>
              <w:ind w:left="100"/>
              <w:spacing w:after="0" w:line="153" w:lineRule="exact"/>
              <w:rPr>
                <w:sz w:val="20"/>
                <w:szCs w:val="20"/>
                <w:color w:val="auto"/>
              </w:rPr>
            </w:pPr>
            <w:r>
              <w:rPr>
                <w:rFonts w:ascii="Arial" w:cs="Arial" w:eastAsia="Arial" w:hAnsi="Arial"/>
                <w:sz w:val="14"/>
                <w:szCs w:val="14"/>
                <w:b w:val="1"/>
                <w:bCs w:val="1"/>
                <w:color w:val="296DC1"/>
              </w:rPr>
              <w:t>Downside</w:t>
            </w:r>
          </w:p>
        </w:tc>
        <w:tc>
          <w:tcPr>
            <w:tcW w:w="2060" w:type="dxa"/>
            <w:vAlign w:val="bottom"/>
            <w:gridSpan w:val="2"/>
            <w:shd w:val="clear" w:color="auto" w:fill="DCEBF4"/>
          </w:tcPr>
          <w:p>
            <w:pPr>
              <w:ind w:left="60"/>
              <w:spacing w:after="0" w:line="153" w:lineRule="exact"/>
              <w:rPr>
                <w:sz w:val="20"/>
                <w:szCs w:val="20"/>
                <w:color w:val="auto"/>
              </w:rPr>
            </w:pPr>
            <w:r>
              <w:rPr>
                <w:rFonts w:ascii="Arial" w:cs="Arial" w:eastAsia="Arial" w:hAnsi="Arial"/>
                <w:sz w:val="14"/>
                <w:szCs w:val="14"/>
                <w:color w:val="auto"/>
              </w:rPr>
              <w:t>50% of the initial stock price</w:t>
            </w:r>
          </w:p>
        </w:tc>
        <w:tc>
          <w:tcPr>
            <w:tcW w:w="2220" w:type="dxa"/>
            <w:vAlign w:val="bottom"/>
            <w:shd w:val="clear" w:color="auto" w:fill="DCEBF4"/>
          </w:tcPr>
          <w:p>
            <w:pPr>
              <w:spacing w:after="0"/>
              <w:rPr>
                <w:sz w:val="13"/>
                <w:szCs w:val="13"/>
                <w:color w:val="auto"/>
              </w:rPr>
            </w:pPr>
          </w:p>
        </w:tc>
      </w:tr>
      <w:tr>
        <w:trPr>
          <w:trHeight w:val="171"/>
        </w:trPr>
        <w:tc>
          <w:tcPr>
            <w:tcW w:w="12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threshold level:</w:t>
            </w:r>
          </w:p>
        </w:tc>
        <w:tc>
          <w:tcPr>
            <w:tcW w:w="120" w:type="dxa"/>
            <w:vAlign w:val="bottom"/>
            <w:shd w:val="clear" w:color="auto" w:fill="DCEBF4"/>
          </w:tcPr>
          <w:p>
            <w:pPr>
              <w:spacing w:after="0"/>
              <w:rPr>
                <w:sz w:val="14"/>
                <w:szCs w:val="14"/>
                <w:color w:val="auto"/>
              </w:rPr>
            </w:pPr>
          </w:p>
        </w:tc>
        <w:tc>
          <w:tcPr>
            <w:tcW w:w="1940" w:type="dxa"/>
            <w:vAlign w:val="bottom"/>
            <w:shd w:val="clear" w:color="auto" w:fill="DCEBF4"/>
          </w:tcPr>
          <w:p>
            <w:pPr>
              <w:spacing w:after="0"/>
              <w:rPr>
                <w:sz w:val="14"/>
                <w:szCs w:val="14"/>
                <w:color w:val="auto"/>
              </w:rPr>
            </w:pPr>
          </w:p>
        </w:tc>
        <w:tc>
          <w:tcPr>
            <w:tcW w:w="2220" w:type="dxa"/>
            <w:vAlign w:val="bottom"/>
            <w:shd w:val="clear" w:color="auto" w:fill="DCEBF4"/>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80"/>
              <w:spacing w:after="0"/>
              <w:rPr>
                <w:sz w:val="20"/>
                <w:szCs w:val="20"/>
                <w:color w:val="auto"/>
              </w:rPr>
            </w:pPr>
            <w:r>
              <w:rPr>
                <w:rFonts w:ascii="Arial" w:cs="Arial" w:eastAsia="Arial" w:hAnsi="Arial"/>
                <w:sz w:val="14"/>
                <w:szCs w:val="14"/>
                <w:b w:val="1"/>
                <w:bCs w:val="1"/>
                <w:color w:val="296DC1"/>
              </w:rPr>
              <w:t>Initial stock</w:t>
            </w:r>
          </w:p>
        </w:tc>
        <w:tc>
          <w:tcPr>
            <w:tcW w:w="4220" w:type="dxa"/>
            <w:vAlign w:val="bottom"/>
            <w:gridSpan w:val="3"/>
          </w:tcPr>
          <w:p>
            <w:pPr>
              <w:spacing w:after="0"/>
              <w:rPr>
                <w:sz w:val="20"/>
                <w:szCs w:val="20"/>
                <w:color w:val="auto"/>
              </w:rPr>
            </w:pPr>
            <w:r>
              <w:rPr>
                <w:rFonts w:ascii="Arial" w:cs="Arial" w:eastAsia="Arial" w:hAnsi="Arial"/>
                <w:sz w:val="14"/>
                <w:szCs w:val="14"/>
                <w:color w:val="auto"/>
              </w:rPr>
              <w:t>The closing price of the underlying stock on the pricing date</w:t>
            </w:r>
          </w:p>
        </w:tc>
      </w:tr>
      <w:tr>
        <w:trPr>
          <w:trHeight w:val="171"/>
        </w:trPr>
        <w:tc>
          <w:tcPr>
            <w:tcW w:w="1260" w:type="dxa"/>
            <w:vAlign w:val="bottom"/>
          </w:tcPr>
          <w:p>
            <w:pPr>
              <w:ind w:left="80"/>
              <w:spacing w:after="0"/>
              <w:rPr>
                <w:sz w:val="20"/>
                <w:szCs w:val="20"/>
                <w:color w:val="auto"/>
              </w:rPr>
            </w:pPr>
            <w:r>
              <w:rPr>
                <w:rFonts w:ascii="Arial" w:cs="Arial" w:eastAsia="Arial" w:hAnsi="Arial"/>
                <w:sz w:val="14"/>
                <w:szCs w:val="14"/>
                <w:b w:val="1"/>
                <w:bCs w:val="1"/>
                <w:color w:val="296DC1"/>
              </w:rPr>
              <w:t>price:</w:t>
            </w:r>
          </w:p>
        </w:tc>
        <w:tc>
          <w:tcPr>
            <w:tcW w:w="2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3"/>
        </w:trPr>
        <w:tc>
          <w:tcPr>
            <w:tcW w:w="1260" w:type="dxa"/>
            <w:vAlign w:val="bottom"/>
            <w:shd w:val="clear" w:color="auto" w:fill="DCEBF4"/>
          </w:tcPr>
          <w:p>
            <w:pPr>
              <w:ind w:left="80"/>
              <w:spacing w:after="0" w:line="153" w:lineRule="exact"/>
              <w:rPr>
                <w:sz w:val="20"/>
                <w:szCs w:val="20"/>
                <w:color w:val="auto"/>
              </w:rPr>
            </w:pPr>
            <w:r>
              <w:rPr>
                <w:rFonts w:ascii="Arial" w:cs="Arial" w:eastAsia="Arial" w:hAnsi="Arial"/>
                <w:sz w:val="14"/>
                <w:szCs w:val="14"/>
                <w:b w:val="1"/>
                <w:bCs w:val="1"/>
                <w:color w:val="296DC1"/>
              </w:rPr>
              <w:t>Final stock</w:t>
            </w:r>
          </w:p>
        </w:tc>
        <w:tc>
          <w:tcPr>
            <w:tcW w:w="4220" w:type="dxa"/>
            <w:vAlign w:val="bottom"/>
            <w:gridSpan w:val="3"/>
            <w:shd w:val="clear" w:color="auto" w:fill="DCEBF4"/>
          </w:tcPr>
          <w:p>
            <w:pPr>
              <w:spacing w:after="0" w:line="153" w:lineRule="exact"/>
              <w:rPr>
                <w:sz w:val="20"/>
                <w:szCs w:val="20"/>
                <w:color w:val="auto"/>
              </w:rPr>
            </w:pPr>
            <w:r>
              <w:rPr>
                <w:rFonts w:ascii="Arial" w:cs="Arial" w:eastAsia="Arial" w:hAnsi="Arial"/>
                <w:sz w:val="14"/>
                <w:szCs w:val="14"/>
                <w:color w:val="auto"/>
              </w:rPr>
              <w:t>The closing price of the underlying stock on the final determination</w:t>
            </w:r>
          </w:p>
        </w:tc>
      </w:tr>
      <w:tr>
        <w:trPr>
          <w:trHeight w:val="171"/>
        </w:trPr>
        <w:tc>
          <w:tcPr>
            <w:tcW w:w="1260" w:type="dxa"/>
            <w:vAlign w:val="bottom"/>
            <w:shd w:val="clear" w:color="auto" w:fill="DCEBF4"/>
          </w:tcPr>
          <w:p>
            <w:pPr>
              <w:ind w:left="80"/>
              <w:spacing w:after="0"/>
              <w:rPr>
                <w:sz w:val="20"/>
                <w:szCs w:val="20"/>
                <w:color w:val="auto"/>
              </w:rPr>
            </w:pPr>
            <w:r>
              <w:rPr>
                <w:rFonts w:ascii="Arial" w:cs="Arial" w:eastAsia="Arial" w:hAnsi="Arial"/>
                <w:sz w:val="14"/>
                <w:szCs w:val="14"/>
                <w:b w:val="1"/>
                <w:bCs w:val="1"/>
                <w:color w:val="296DC1"/>
              </w:rPr>
              <w:t>price:</w:t>
            </w:r>
          </w:p>
        </w:tc>
        <w:tc>
          <w:tcPr>
            <w:tcW w:w="422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date</w:t>
            </w:r>
          </w:p>
        </w:tc>
      </w:tr>
      <w:tr>
        <w:trPr>
          <w:trHeight w:val="153"/>
        </w:trPr>
        <w:tc>
          <w:tcPr>
            <w:tcW w:w="1260" w:type="dxa"/>
            <w:vAlign w:val="bottom"/>
          </w:tcPr>
          <w:p>
            <w:pPr>
              <w:ind w:left="80"/>
              <w:spacing w:after="0" w:line="153" w:lineRule="exact"/>
              <w:rPr>
                <w:sz w:val="20"/>
                <w:szCs w:val="20"/>
                <w:color w:val="auto"/>
              </w:rPr>
            </w:pPr>
            <w:r>
              <w:rPr>
                <w:rFonts w:ascii="Arial" w:cs="Arial" w:eastAsia="Arial" w:hAnsi="Arial"/>
                <w:sz w:val="14"/>
                <w:szCs w:val="14"/>
                <w:b w:val="1"/>
                <w:bCs w:val="1"/>
                <w:color w:val="296DC1"/>
              </w:rPr>
              <w:t>Stock</w:t>
            </w:r>
          </w:p>
        </w:tc>
        <w:tc>
          <w:tcPr>
            <w:tcW w:w="4220" w:type="dxa"/>
            <w:vAlign w:val="bottom"/>
            <w:gridSpan w:val="3"/>
          </w:tcPr>
          <w:p>
            <w:pPr>
              <w:spacing w:after="0" w:line="153" w:lineRule="exact"/>
              <w:rPr>
                <w:sz w:val="20"/>
                <w:szCs w:val="20"/>
                <w:color w:val="auto"/>
              </w:rPr>
            </w:pPr>
            <w:r>
              <w:rPr>
                <w:rFonts w:ascii="Arial" w:cs="Arial" w:eastAsia="Arial" w:hAnsi="Arial"/>
                <w:sz w:val="14"/>
                <w:szCs w:val="14"/>
                <w:color w:val="auto"/>
              </w:rPr>
              <w:t>The stock adjustment factor is referenced in determining the</w:t>
            </w:r>
          </w:p>
        </w:tc>
      </w:tr>
      <w:tr>
        <w:trPr>
          <w:trHeight w:val="162"/>
        </w:trPr>
        <w:tc>
          <w:tcPr>
            <w:tcW w:w="1260" w:type="dxa"/>
            <w:vAlign w:val="bottom"/>
          </w:tcPr>
          <w:p>
            <w:pPr>
              <w:ind w:left="80"/>
              <w:spacing w:after="0"/>
              <w:rPr>
                <w:sz w:val="20"/>
                <w:szCs w:val="20"/>
                <w:color w:val="auto"/>
              </w:rPr>
            </w:pPr>
            <w:r>
              <w:rPr>
                <w:rFonts w:ascii="Arial" w:cs="Arial" w:eastAsia="Arial" w:hAnsi="Arial"/>
                <w:sz w:val="14"/>
                <w:szCs w:val="14"/>
                <w:b w:val="1"/>
                <w:bCs w:val="1"/>
                <w:color w:val="296DC1"/>
              </w:rPr>
              <w:t>adjustment</w:t>
            </w:r>
          </w:p>
        </w:tc>
        <w:tc>
          <w:tcPr>
            <w:tcW w:w="4220" w:type="dxa"/>
            <w:vAlign w:val="bottom"/>
            <w:gridSpan w:val="3"/>
          </w:tcPr>
          <w:p>
            <w:pPr>
              <w:spacing w:after="0"/>
              <w:rPr>
                <w:sz w:val="20"/>
                <w:szCs w:val="20"/>
                <w:color w:val="auto"/>
              </w:rPr>
            </w:pPr>
            <w:r>
              <w:rPr>
                <w:rFonts w:ascii="Arial" w:cs="Arial" w:eastAsia="Arial" w:hAnsi="Arial"/>
                <w:sz w:val="14"/>
                <w:szCs w:val="14"/>
                <w:color w:val="auto"/>
              </w:rPr>
              <w:t>closing price of the underlying stock and is set initially at 1.0 on</w:t>
            </w:r>
          </w:p>
        </w:tc>
      </w:tr>
      <w:tr>
        <w:trPr>
          <w:trHeight w:val="162"/>
        </w:trPr>
        <w:tc>
          <w:tcPr>
            <w:tcW w:w="1260" w:type="dxa"/>
            <w:vAlign w:val="bottom"/>
          </w:tcPr>
          <w:p>
            <w:pPr>
              <w:ind w:left="80"/>
              <w:spacing w:after="0"/>
              <w:rPr>
                <w:sz w:val="20"/>
                <w:szCs w:val="20"/>
                <w:color w:val="auto"/>
              </w:rPr>
            </w:pPr>
            <w:r>
              <w:rPr>
                <w:rFonts w:ascii="Arial" w:cs="Arial" w:eastAsia="Arial" w:hAnsi="Arial"/>
                <w:sz w:val="14"/>
                <w:szCs w:val="14"/>
                <w:b w:val="1"/>
                <w:bCs w:val="1"/>
                <w:color w:val="296DC1"/>
              </w:rPr>
              <w:t>factor:</w:t>
            </w:r>
          </w:p>
        </w:tc>
        <w:tc>
          <w:tcPr>
            <w:tcW w:w="4220" w:type="dxa"/>
            <w:vAlign w:val="bottom"/>
            <w:gridSpan w:val="3"/>
          </w:tcPr>
          <w:p>
            <w:pPr>
              <w:spacing w:after="0"/>
              <w:rPr>
                <w:sz w:val="20"/>
                <w:szCs w:val="20"/>
                <w:color w:val="auto"/>
              </w:rPr>
            </w:pPr>
            <w:r>
              <w:rPr>
                <w:rFonts w:ascii="Arial" w:cs="Arial" w:eastAsia="Arial" w:hAnsi="Arial"/>
                <w:sz w:val="14"/>
                <w:szCs w:val="14"/>
                <w:color w:val="auto"/>
              </w:rPr>
              <w:t>the pricing date. The stock adjustment factor is subject to</w:t>
            </w:r>
          </w:p>
        </w:tc>
      </w:tr>
      <w:tr>
        <w:trPr>
          <w:trHeight w:val="162"/>
        </w:trPr>
        <w:tc>
          <w:tcPr>
            <w:tcW w:w="1260" w:type="dxa"/>
            <w:vAlign w:val="bottom"/>
          </w:tcPr>
          <w:p>
            <w:pPr>
              <w:spacing w:after="0"/>
              <w:rPr>
                <w:sz w:val="14"/>
                <w:szCs w:val="14"/>
                <w:color w:val="auto"/>
              </w:rPr>
            </w:pPr>
          </w:p>
        </w:tc>
        <w:tc>
          <w:tcPr>
            <w:tcW w:w="4220" w:type="dxa"/>
            <w:vAlign w:val="bottom"/>
            <w:gridSpan w:val="3"/>
          </w:tcPr>
          <w:p>
            <w:pPr>
              <w:spacing w:after="0"/>
              <w:rPr>
                <w:sz w:val="20"/>
                <w:szCs w:val="20"/>
                <w:color w:val="auto"/>
              </w:rPr>
            </w:pPr>
            <w:r>
              <w:rPr>
                <w:rFonts w:ascii="Arial" w:cs="Arial" w:eastAsia="Arial" w:hAnsi="Arial"/>
                <w:sz w:val="14"/>
                <w:szCs w:val="14"/>
                <w:color w:val="auto"/>
              </w:rPr>
              <w:t>adjustment in the event of certain corporate events affecting the</w:t>
            </w:r>
          </w:p>
        </w:tc>
      </w:tr>
      <w:tr>
        <w:trPr>
          <w:trHeight w:val="171"/>
        </w:trPr>
        <w:tc>
          <w:tcPr>
            <w:tcW w:w="1260" w:type="dxa"/>
            <w:vAlign w:val="bottom"/>
          </w:tcPr>
          <w:p>
            <w:pPr>
              <w:spacing w:after="0"/>
              <w:rPr>
                <w:sz w:val="14"/>
                <w:szCs w:val="14"/>
                <w:color w:val="auto"/>
              </w:rPr>
            </w:pPr>
          </w:p>
        </w:tc>
        <w:tc>
          <w:tcPr>
            <w:tcW w:w="4220" w:type="dxa"/>
            <w:vAlign w:val="bottom"/>
            <w:gridSpan w:val="3"/>
          </w:tcPr>
          <w:p>
            <w:pPr>
              <w:spacing w:after="0"/>
              <w:rPr>
                <w:sz w:val="20"/>
                <w:szCs w:val="20"/>
                <w:color w:val="auto"/>
              </w:rPr>
            </w:pPr>
            <w:r>
              <w:rPr>
                <w:rFonts w:ascii="Arial" w:cs="Arial" w:eastAsia="Arial" w:hAnsi="Arial"/>
                <w:sz w:val="14"/>
                <w:szCs w:val="14"/>
                <w:color w:val="auto"/>
              </w:rPr>
              <w:t>underlying stock.</w:t>
            </w:r>
          </w:p>
        </w:tc>
      </w:tr>
      <w:tr>
        <w:trPr>
          <w:trHeight w:val="153"/>
        </w:trPr>
        <w:tc>
          <w:tcPr>
            <w:tcW w:w="1260" w:type="dxa"/>
            <w:vAlign w:val="bottom"/>
            <w:shd w:val="clear" w:color="auto" w:fill="DCEBF4"/>
          </w:tcPr>
          <w:p>
            <w:pPr>
              <w:ind w:left="80"/>
              <w:spacing w:after="0" w:line="153" w:lineRule="exact"/>
              <w:rPr>
                <w:sz w:val="20"/>
                <w:szCs w:val="20"/>
                <w:color w:val="auto"/>
              </w:rPr>
            </w:pPr>
            <w:r>
              <w:rPr>
                <w:rFonts w:ascii="Arial" w:cs="Arial" w:eastAsia="Arial" w:hAnsi="Arial"/>
                <w:sz w:val="14"/>
                <w:szCs w:val="14"/>
                <w:b w:val="1"/>
                <w:bCs w:val="1"/>
                <w:color w:val="296DC1"/>
              </w:rPr>
              <w:t>Stock</w:t>
            </w:r>
          </w:p>
        </w:tc>
        <w:tc>
          <w:tcPr>
            <w:tcW w:w="4220" w:type="dxa"/>
            <w:vAlign w:val="bottom"/>
            <w:gridSpan w:val="3"/>
            <w:shd w:val="clear" w:color="auto" w:fill="DCEBF4"/>
          </w:tcPr>
          <w:p>
            <w:pPr>
              <w:spacing w:after="0" w:line="153" w:lineRule="exact"/>
              <w:rPr>
                <w:sz w:val="20"/>
                <w:szCs w:val="20"/>
                <w:color w:val="auto"/>
              </w:rPr>
            </w:pPr>
            <w:r>
              <w:rPr>
                <w:rFonts w:ascii="Arial" w:cs="Arial" w:eastAsia="Arial" w:hAnsi="Arial"/>
                <w:sz w:val="14"/>
                <w:szCs w:val="14"/>
                <w:color w:val="auto"/>
              </w:rPr>
              <w:t>final stock price / initial stock price</w:t>
            </w:r>
          </w:p>
        </w:tc>
      </w:tr>
      <w:tr>
        <w:trPr>
          <w:trHeight w:val="162"/>
        </w:trPr>
        <w:tc>
          <w:tcPr>
            <w:tcW w:w="1260" w:type="dxa"/>
            <w:vAlign w:val="bottom"/>
            <w:shd w:val="clear" w:color="auto" w:fill="DCEBF4"/>
          </w:tcPr>
          <w:p>
            <w:pPr>
              <w:ind w:left="80"/>
              <w:spacing w:after="0"/>
              <w:rPr>
                <w:sz w:val="20"/>
                <w:szCs w:val="20"/>
                <w:color w:val="auto"/>
              </w:rPr>
            </w:pPr>
            <w:r>
              <w:rPr>
                <w:rFonts w:ascii="Arial" w:cs="Arial" w:eastAsia="Arial" w:hAnsi="Arial"/>
                <w:sz w:val="14"/>
                <w:szCs w:val="14"/>
                <w:b w:val="1"/>
                <w:bCs w:val="1"/>
                <w:color w:val="296DC1"/>
              </w:rPr>
              <w:t>performance</w:t>
            </w:r>
          </w:p>
        </w:tc>
        <w:tc>
          <w:tcPr>
            <w:tcW w:w="2560" w:type="dxa"/>
            <w:vAlign w:val="bottom"/>
            <w:shd w:val="clear" w:color="auto" w:fill="DCEBF4"/>
          </w:tcPr>
          <w:p>
            <w:pPr>
              <w:spacing w:after="0"/>
              <w:rPr>
                <w:sz w:val="14"/>
                <w:szCs w:val="14"/>
                <w:color w:val="auto"/>
              </w:rPr>
            </w:pPr>
          </w:p>
        </w:tc>
        <w:tc>
          <w:tcPr>
            <w:tcW w:w="920" w:type="dxa"/>
            <w:vAlign w:val="bottom"/>
            <w:shd w:val="clear" w:color="auto" w:fill="DCEBF4"/>
          </w:tcPr>
          <w:p>
            <w:pPr>
              <w:spacing w:after="0"/>
              <w:rPr>
                <w:sz w:val="14"/>
                <w:szCs w:val="14"/>
                <w:color w:val="auto"/>
              </w:rPr>
            </w:pPr>
          </w:p>
        </w:tc>
        <w:tc>
          <w:tcPr>
            <w:tcW w:w="740" w:type="dxa"/>
            <w:vAlign w:val="bottom"/>
            <w:shd w:val="clear" w:color="auto" w:fill="DCEBF4"/>
          </w:tcPr>
          <w:p>
            <w:pPr>
              <w:spacing w:after="0"/>
              <w:rPr>
                <w:sz w:val="14"/>
                <w:szCs w:val="14"/>
                <w:color w:val="auto"/>
              </w:rPr>
            </w:pPr>
          </w:p>
        </w:tc>
      </w:tr>
      <w:tr>
        <w:trPr>
          <w:trHeight w:val="171"/>
        </w:trPr>
        <w:tc>
          <w:tcPr>
            <w:tcW w:w="1260" w:type="dxa"/>
            <w:vAlign w:val="bottom"/>
            <w:shd w:val="clear" w:color="auto" w:fill="DCEBF4"/>
          </w:tcPr>
          <w:p>
            <w:pPr>
              <w:ind w:left="80"/>
              <w:spacing w:after="0"/>
              <w:rPr>
                <w:sz w:val="20"/>
                <w:szCs w:val="20"/>
                <w:color w:val="auto"/>
              </w:rPr>
            </w:pPr>
            <w:r>
              <w:rPr>
                <w:rFonts w:ascii="Arial" w:cs="Arial" w:eastAsia="Arial" w:hAnsi="Arial"/>
                <w:sz w:val="14"/>
                <w:szCs w:val="14"/>
                <w:b w:val="1"/>
                <w:bCs w:val="1"/>
                <w:color w:val="296DC1"/>
              </w:rPr>
              <w:t>factor:</w:t>
            </w:r>
          </w:p>
        </w:tc>
        <w:tc>
          <w:tcPr>
            <w:tcW w:w="2560" w:type="dxa"/>
            <w:vAlign w:val="bottom"/>
            <w:shd w:val="clear" w:color="auto" w:fill="DCEBF4"/>
          </w:tcPr>
          <w:p>
            <w:pPr>
              <w:spacing w:after="0"/>
              <w:rPr>
                <w:sz w:val="14"/>
                <w:szCs w:val="14"/>
                <w:color w:val="auto"/>
              </w:rPr>
            </w:pPr>
          </w:p>
        </w:tc>
        <w:tc>
          <w:tcPr>
            <w:tcW w:w="920" w:type="dxa"/>
            <w:vAlign w:val="bottom"/>
            <w:shd w:val="clear" w:color="auto" w:fill="DCEBF4"/>
          </w:tcPr>
          <w:p>
            <w:pPr>
              <w:spacing w:after="0"/>
              <w:rPr>
                <w:sz w:val="14"/>
                <w:szCs w:val="14"/>
                <w:color w:val="auto"/>
              </w:rPr>
            </w:pPr>
          </w:p>
        </w:tc>
        <w:tc>
          <w:tcPr>
            <w:tcW w:w="740" w:type="dxa"/>
            <w:vAlign w:val="bottom"/>
            <w:shd w:val="clear" w:color="auto" w:fill="DCEBF4"/>
          </w:tcPr>
          <w:p>
            <w:pPr>
              <w:spacing w:after="0"/>
              <w:rPr>
                <w:sz w:val="14"/>
                <w:szCs w:val="14"/>
                <w:color w:val="auto"/>
              </w:rPr>
            </w:pPr>
          </w:p>
        </w:tc>
      </w:tr>
      <w:tr>
        <w:trPr>
          <w:trHeight w:val="153"/>
        </w:trPr>
        <w:tc>
          <w:tcPr>
            <w:tcW w:w="1260" w:type="dxa"/>
            <w:vAlign w:val="bottom"/>
          </w:tcPr>
          <w:p>
            <w:pPr>
              <w:ind w:left="80"/>
              <w:spacing w:after="0" w:line="153" w:lineRule="exact"/>
              <w:rPr>
                <w:sz w:val="20"/>
                <w:szCs w:val="20"/>
                <w:color w:val="auto"/>
              </w:rPr>
            </w:pPr>
            <w:r>
              <w:rPr>
                <w:rFonts w:ascii="Arial" w:cs="Arial" w:eastAsia="Arial" w:hAnsi="Arial"/>
                <w:sz w:val="14"/>
                <w:szCs w:val="14"/>
                <w:b w:val="1"/>
                <w:bCs w:val="1"/>
                <w:color w:val="296DC1"/>
              </w:rPr>
              <w:t>Stated principal</w:t>
            </w:r>
          </w:p>
        </w:tc>
        <w:tc>
          <w:tcPr>
            <w:tcW w:w="4220" w:type="dxa"/>
            <w:vAlign w:val="bottom"/>
            <w:gridSpan w:val="3"/>
          </w:tcPr>
          <w:p>
            <w:pPr>
              <w:spacing w:after="0" w:line="153" w:lineRule="exact"/>
              <w:rPr>
                <w:sz w:val="20"/>
                <w:szCs w:val="20"/>
                <w:color w:val="auto"/>
              </w:rPr>
            </w:pPr>
            <w:r>
              <w:rPr>
                <w:rFonts w:ascii="Arial" w:cs="Arial" w:eastAsia="Arial" w:hAnsi="Arial"/>
                <w:sz w:val="14"/>
                <w:szCs w:val="14"/>
                <w:color w:val="auto"/>
              </w:rPr>
              <w:t>$1,000 per security</w:t>
            </w:r>
          </w:p>
        </w:tc>
      </w:tr>
      <w:tr>
        <w:trPr>
          <w:trHeight w:val="171"/>
        </w:trPr>
        <w:tc>
          <w:tcPr>
            <w:tcW w:w="1260" w:type="dxa"/>
            <w:vAlign w:val="bottom"/>
          </w:tcPr>
          <w:p>
            <w:pPr>
              <w:ind w:left="80"/>
              <w:spacing w:after="0"/>
              <w:rPr>
                <w:sz w:val="20"/>
                <w:szCs w:val="20"/>
                <w:color w:val="auto"/>
              </w:rPr>
            </w:pPr>
            <w:r>
              <w:rPr>
                <w:rFonts w:ascii="Arial" w:cs="Arial" w:eastAsia="Arial" w:hAnsi="Arial"/>
                <w:sz w:val="14"/>
                <w:szCs w:val="14"/>
                <w:b w:val="1"/>
                <w:bCs w:val="1"/>
                <w:color w:val="296DC1"/>
              </w:rPr>
              <w:t>amount:</w:t>
            </w:r>
          </w:p>
        </w:tc>
        <w:tc>
          <w:tcPr>
            <w:tcW w:w="2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260" w:type="dxa"/>
            <w:vAlign w:val="bottom"/>
            <w:shd w:val="clear" w:color="auto" w:fill="DCEBF4"/>
          </w:tcPr>
          <w:p>
            <w:pPr>
              <w:ind w:left="80"/>
              <w:spacing w:after="0"/>
              <w:rPr>
                <w:sz w:val="20"/>
                <w:szCs w:val="20"/>
                <w:color w:val="auto"/>
              </w:rPr>
            </w:pPr>
            <w:r>
              <w:rPr>
                <w:rFonts w:ascii="Arial" w:cs="Arial" w:eastAsia="Arial" w:hAnsi="Arial"/>
                <w:sz w:val="14"/>
                <w:szCs w:val="14"/>
                <w:b w:val="1"/>
                <w:bCs w:val="1"/>
                <w:color w:val="296DC1"/>
              </w:rPr>
              <w:t>Issue price:</w:t>
            </w:r>
          </w:p>
        </w:tc>
        <w:tc>
          <w:tcPr>
            <w:tcW w:w="422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$1,000 per security</w:t>
            </w:r>
          </w:p>
        </w:tc>
      </w:tr>
      <w:tr>
        <w:trPr>
          <w:trHeight w:val="162"/>
        </w:trPr>
        <w:tc>
          <w:tcPr>
            <w:tcW w:w="1260" w:type="dxa"/>
            <w:vAlign w:val="bottom"/>
          </w:tcPr>
          <w:p>
            <w:pPr>
              <w:ind w:left="80"/>
              <w:spacing w:after="0"/>
              <w:rPr>
                <w:sz w:val="20"/>
                <w:szCs w:val="20"/>
                <w:color w:val="auto"/>
              </w:rPr>
            </w:pPr>
            <w:r>
              <w:rPr>
                <w:rFonts w:ascii="Arial" w:cs="Arial" w:eastAsia="Arial" w:hAnsi="Arial"/>
                <w:sz w:val="14"/>
                <w:szCs w:val="14"/>
                <w:b w:val="1"/>
                <w:bCs w:val="1"/>
                <w:color w:val="296DC1"/>
              </w:rPr>
              <w:t>Pricing date:</w:t>
            </w:r>
          </w:p>
        </w:tc>
        <w:tc>
          <w:tcPr>
            <w:tcW w:w="4220" w:type="dxa"/>
            <w:vAlign w:val="bottom"/>
            <w:gridSpan w:val="3"/>
          </w:tcPr>
          <w:p>
            <w:pPr>
              <w:spacing w:after="0"/>
              <w:rPr>
                <w:sz w:val="20"/>
                <w:szCs w:val="20"/>
                <w:color w:val="auto"/>
              </w:rPr>
            </w:pPr>
            <w:r>
              <w:rPr>
                <w:rFonts w:ascii="Arial" w:cs="Arial" w:eastAsia="Arial" w:hAnsi="Arial"/>
                <w:sz w:val="14"/>
                <w:szCs w:val="14"/>
                <w:color w:val="auto"/>
              </w:rPr>
              <w:t>Expected to be June 14, 2024</w:t>
            </w:r>
          </w:p>
        </w:tc>
      </w:tr>
      <w:tr>
        <w:trPr>
          <w:trHeight w:val="153"/>
        </w:trPr>
        <w:tc>
          <w:tcPr>
            <w:tcW w:w="1260" w:type="dxa"/>
            <w:vAlign w:val="bottom"/>
            <w:shd w:val="clear" w:color="auto" w:fill="DCEBF4"/>
          </w:tcPr>
          <w:p>
            <w:pPr>
              <w:ind w:left="80"/>
              <w:spacing w:after="0" w:line="153" w:lineRule="exact"/>
              <w:rPr>
                <w:sz w:val="20"/>
                <w:szCs w:val="20"/>
                <w:color w:val="auto"/>
              </w:rPr>
            </w:pPr>
            <w:r>
              <w:rPr>
                <w:rFonts w:ascii="Arial" w:cs="Arial" w:eastAsia="Arial" w:hAnsi="Arial"/>
                <w:sz w:val="14"/>
                <w:szCs w:val="14"/>
                <w:b w:val="1"/>
                <w:bCs w:val="1"/>
                <w:color w:val="296DC1"/>
              </w:rPr>
              <w:t>Original issue</w:t>
            </w:r>
          </w:p>
        </w:tc>
        <w:tc>
          <w:tcPr>
            <w:tcW w:w="4220" w:type="dxa"/>
            <w:vAlign w:val="bottom"/>
            <w:gridSpan w:val="3"/>
            <w:shd w:val="clear" w:color="auto" w:fill="DCEBF4"/>
          </w:tcPr>
          <w:p>
            <w:pPr>
              <w:spacing w:after="0" w:line="153" w:lineRule="exact"/>
              <w:rPr>
                <w:sz w:val="20"/>
                <w:szCs w:val="20"/>
                <w:color w:val="auto"/>
              </w:rPr>
            </w:pPr>
            <w:r>
              <w:rPr>
                <w:rFonts w:ascii="Arial" w:cs="Arial" w:eastAsia="Arial" w:hAnsi="Arial"/>
                <w:sz w:val="14"/>
                <w:szCs w:val="14"/>
                <w:color w:val="auto"/>
              </w:rPr>
              <w:t>3 business days after the pricing date</w:t>
            </w:r>
          </w:p>
        </w:tc>
      </w:tr>
      <w:tr>
        <w:trPr>
          <w:trHeight w:val="162"/>
        </w:trPr>
        <w:tc>
          <w:tcPr>
            <w:tcW w:w="1260" w:type="dxa"/>
            <w:vAlign w:val="bottom"/>
            <w:shd w:val="clear" w:color="auto" w:fill="DCEBF4"/>
          </w:tcPr>
          <w:p>
            <w:pPr>
              <w:ind w:left="80"/>
              <w:spacing w:after="0"/>
              <w:rPr>
                <w:sz w:val="20"/>
                <w:szCs w:val="20"/>
                <w:color w:val="auto"/>
              </w:rPr>
            </w:pPr>
            <w:r>
              <w:rPr>
                <w:rFonts w:ascii="Arial" w:cs="Arial" w:eastAsia="Arial" w:hAnsi="Arial"/>
                <w:sz w:val="14"/>
                <w:szCs w:val="14"/>
                <w:b w:val="1"/>
                <w:bCs w:val="1"/>
                <w:color w:val="296DC1"/>
              </w:rPr>
              <w:t>date</w:t>
            </w:r>
          </w:p>
        </w:tc>
        <w:tc>
          <w:tcPr>
            <w:tcW w:w="2560" w:type="dxa"/>
            <w:vAlign w:val="bottom"/>
            <w:shd w:val="clear" w:color="auto" w:fill="DCEBF4"/>
          </w:tcPr>
          <w:p>
            <w:pPr>
              <w:spacing w:after="0"/>
              <w:rPr>
                <w:sz w:val="14"/>
                <w:szCs w:val="14"/>
                <w:color w:val="auto"/>
              </w:rPr>
            </w:pPr>
          </w:p>
        </w:tc>
        <w:tc>
          <w:tcPr>
            <w:tcW w:w="920" w:type="dxa"/>
            <w:vAlign w:val="bottom"/>
            <w:shd w:val="clear" w:color="auto" w:fill="DCEBF4"/>
          </w:tcPr>
          <w:p>
            <w:pPr>
              <w:spacing w:after="0"/>
              <w:rPr>
                <w:sz w:val="14"/>
                <w:szCs w:val="14"/>
                <w:color w:val="auto"/>
              </w:rPr>
            </w:pPr>
          </w:p>
        </w:tc>
        <w:tc>
          <w:tcPr>
            <w:tcW w:w="740" w:type="dxa"/>
            <w:vAlign w:val="bottom"/>
            <w:shd w:val="clear" w:color="auto" w:fill="DCEBF4"/>
          </w:tcPr>
          <w:p>
            <w:pPr>
              <w:spacing w:after="0"/>
              <w:rPr>
                <w:sz w:val="14"/>
                <w:szCs w:val="14"/>
                <w:color w:val="auto"/>
              </w:rPr>
            </w:pPr>
          </w:p>
        </w:tc>
      </w:tr>
      <w:tr>
        <w:trPr>
          <w:trHeight w:val="162"/>
        </w:trPr>
        <w:tc>
          <w:tcPr>
            <w:tcW w:w="1260" w:type="dxa"/>
            <w:vAlign w:val="bottom"/>
            <w:shd w:val="clear" w:color="auto" w:fill="DCEBF4"/>
          </w:tcPr>
          <w:p>
            <w:pPr>
              <w:ind w:left="80"/>
              <w:spacing w:after="0"/>
              <w:rPr>
                <w:sz w:val="20"/>
                <w:szCs w:val="20"/>
                <w:color w:val="auto"/>
              </w:rPr>
            </w:pPr>
            <w:r>
              <w:rPr>
                <w:rFonts w:ascii="Arial" w:cs="Arial" w:eastAsia="Arial" w:hAnsi="Arial"/>
                <w:sz w:val="14"/>
                <w:szCs w:val="14"/>
                <w:b w:val="1"/>
                <w:bCs w:val="1"/>
                <w:color w:val="296DC1"/>
              </w:rPr>
              <w:t>(settlement</w:t>
            </w:r>
          </w:p>
        </w:tc>
        <w:tc>
          <w:tcPr>
            <w:tcW w:w="2560" w:type="dxa"/>
            <w:vAlign w:val="bottom"/>
            <w:shd w:val="clear" w:color="auto" w:fill="DCEBF4"/>
          </w:tcPr>
          <w:p>
            <w:pPr>
              <w:spacing w:after="0"/>
              <w:rPr>
                <w:sz w:val="14"/>
                <w:szCs w:val="14"/>
                <w:color w:val="auto"/>
              </w:rPr>
            </w:pPr>
          </w:p>
        </w:tc>
        <w:tc>
          <w:tcPr>
            <w:tcW w:w="920" w:type="dxa"/>
            <w:vAlign w:val="bottom"/>
            <w:shd w:val="clear" w:color="auto" w:fill="DCEBF4"/>
          </w:tcPr>
          <w:p>
            <w:pPr>
              <w:spacing w:after="0"/>
              <w:rPr>
                <w:sz w:val="14"/>
                <w:szCs w:val="14"/>
                <w:color w:val="auto"/>
              </w:rPr>
            </w:pPr>
          </w:p>
        </w:tc>
        <w:tc>
          <w:tcPr>
            <w:tcW w:w="740" w:type="dxa"/>
            <w:vAlign w:val="bottom"/>
            <w:shd w:val="clear" w:color="auto" w:fill="DCEBF4"/>
          </w:tcPr>
          <w:p>
            <w:pPr>
              <w:spacing w:after="0"/>
              <w:rPr>
                <w:sz w:val="14"/>
                <w:szCs w:val="14"/>
                <w:color w:val="auto"/>
              </w:rPr>
            </w:pPr>
          </w:p>
        </w:tc>
      </w:tr>
      <w:tr>
        <w:trPr>
          <w:trHeight w:val="171"/>
        </w:trPr>
        <w:tc>
          <w:tcPr>
            <w:tcW w:w="1260" w:type="dxa"/>
            <w:vAlign w:val="bottom"/>
            <w:shd w:val="clear" w:color="auto" w:fill="DCEBF4"/>
          </w:tcPr>
          <w:p>
            <w:pPr>
              <w:ind w:left="80"/>
              <w:spacing w:after="0"/>
              <w:rPr>
                <w:sz w:val="20"/>
                <w:szCs w:val="20"/>
                <w:color w:val="auto"/>
              </w:rPr>
            </w:pPr>
            <w:r>
              <w:rPr>
                <w:rFonts w:ascii="Arial" w:cs="Arial" w:eastAsia="Arial" w:hAnsi="Arial"/>
                <w:sz w:val="14"/>
                <w:szCs w:val="14"/>
                <w:b w:val="1"/>
                <w:bCs w:val="1"/>
                <w:color w:val="296DC1"/>
              </w:rPr>
              <w:t>date):</w:t>
            </w:r>
          </w:p>
        </w:tc>
        <w:tc>
          <w:tcPr>
            <w:tcW w:w="2560" w:type="dxa"/>
            <w:vAlign w:val="bottom"/>
            <w:shd w:val="clear" w:color="auto" w:fill="DCEBF4"/>
          </w:tcPr>
          <w:p>
            <w:pPr>
              <w:spacing w:after="0"/>
              <w:rPr>
                <w:sz w:val="14"/>
                <w:szCs w:val="14"/>
                <w:color w:val="auto"/>
              </w:rPr>
            </w:pPr>
          </w:p>
        </w:tc>
        <w:tc>
          <w:tcPr>
            <w:tcW w:w="920" w:type="dxa"/>
            <w:vAlign w:val="bottom"/>
            <w:shd w:val="clear" w:color="auto" w:fill="DCEBF4"/>
          </w:tcPr>
          <w:p>
            <w:pPr>
              <w:spacing w:after="0"/>
              <w:rPr>
                <w:sz w:val="14"/>
                <w:szCs w:val="14"/>
                <w:color w:val="auto"/>
              </w:rPr>
            </w:pPr>
          </w:p>
        </w:tc>
        <w:tc>
          <w:tcPr>
            <w:tcW w:w="740" w:type="dxa"/>
            <w:vAlign w:val="bottom"/>
            <w:shd w:val="clear" w:color="auto" w:fill="DCEBF4"/>
          </w:tcPr>
          <w:p>
            <w:pPr>
              <w:spacing w:after="0"/>
              <w:rPr>
                <w:sz w:val="14"/>
                <w:szCs w:val="14"/>
                <w:color w:val="auto"/>
              </w:rPr>
            </w:pPr>
          </w:p>
        </w:tc>
      </w:tr>
      <w:tr>
        <w:trPr>
          <w:trHeight w:val="189"/>
        </w:trPr>
        <w:tc>
          <w:tcPr>
            <w:tcW w:w="1260" w:type="dxa"/>
            <w:vAlign w:val="bottom"/>
          </w:tcPr>
          <w:p>
            <w:pPr>
              <w:ind w:left="80"/>
              <w:spacing w:after="0" w:line="189" w:lineRule="exact"/>
              <w:rPr>
                <w:sz w:val="20"/>
                <w:szCs w:val="20"/>
                <w:color w:val="auto"/>
              </w:rPr>
            </w:pPr>
            <w:r>
              <w:rPr>
                <w:rFonts w:ascii="Arial" w:cs="Arial" w:eastAsia="Arial" w:hAnsi="Arial"/>
                <w:sz w:val="13"/>
                <w:szCs w:val="13"/>
                <w:b w:val="1"/>
                <w:bCs w:val="1"/>
                <w:color w:val="296DC1"/>
              </w:rPr>
              <w:t>Maturity date</w:t>
            </w:r>
            <w:r>
              <w:rPr>
                <w:rFonts w:ascii="Arial" w:cs="Arial" w:eastAsia="Arial" w:hAnsi="Arial"/>
                <w:sz w:val="21"/>
                <w:szCs w:val="21"/>
                <w:b w:val="1"/>
                <w:bCs w:val="1"/>
                <w:color w:val="296DC1"/>
                <w:vertAlign w:val="superscript"/>
              </w:rPr>
              <w:t>†</w:t>
            </w:r>
            <w:r>
              <w:rPr>
                <w:rFonts w:ascii="Arial" w:cs="Arial" w:eastAsia="Arial" w:hAnsi="Arial"/>
                <w:sz w:val="13"/>
                <w:szCs w:val="13"/>
                <w:b w:val="1"/>
                <w:bCs w:val="1"/>
                <w:color w:val="296DC1"/>
              </w:rPr>
              <w:t>:</w:t>
            </w:r>
          </w:p>
        </w:tc>
        <w:tc>
          <w:tcPr>
            <w:tcW w:w="4220" w:type="dxa"/>
            <w:vAlign w:val="bottom"/>
            <w:gridSpan w:val="3"/>
          </w:tcPr>
          <w:p>
            <w:pPr>
              <w:spacing w:after="0"/>
              <w:rPr>
                <w:sz w:val="20"/>
                <w:szCs w:val="20"/>
                <w:color w:val="auto"/>
              </w:rPr>
            </w:pPr>
            <w:r>
              <w:rPr>
                <w:rFonts w:ascii="Arial" w:cs="Arial" w:eastAsia="Arial" w:hAnsi="Arial"/>
                <w:sz w:val="14"/>
                <w:szCs w:val="14"/>
                <w:color w:val="auto"/>
              </w:rPr>
              <w:t>June 17, 2027</w:t>
            </w:r>
          </w:p>
        </w:tc>
      </w:tr>
      <w:tr>
        <w:trPr>
          <w:trHeight w:val="162"/>
        </w:trPr>
        <w:tc>
          <w:tcPr>
            <w:tcW w:w="1260" w:type="dxa"/>
            <w:vAlign w:val="bottom"/>
            <w:shd w:val="clear" w:color="auto" w:fill="DCEBF4"/>
          </w:tcPr>
          <w:p>
            <w:pPr>
              <w:ind w:left="80"/>
              <w:spacing w:after="0"/>
              <w:rPr>
                <w:sz w:val="20"/>
                <w:szCs w:val="20"/>
                <w:color w:val="auto"/>
              </w:rPr>
            </w:pPr>
            <w:r>
              <w:rPr>
                <w:rFonts w:ascii="Arial" w:cs="Arial" w:eastAsia="Arial" w:hAnsi="Arial"/>
                <w:sz w:val="14"/>
                <w:szCs w:val="14"/>
                <w:b w:val="1"/>
                <w:bCs w:val="1"/>
                <w:color w:val="296DC1"/>
              </w:rPr>
              <w:t>CUSIP / ISIN:</w:t>
            </w:r>
          </w:p>
        </w:tc>
        <w:tc>
          <w:tcPr>
            <w:tcW w:w="422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48135NDD5 / US48135NDD57</w:t>
            </w:r>
          </w:p>
        </w:tc>
      </w:tr>
      <w:tr>
        <w:trPr>
          <w:trHeight w:val="148"/>
        </w:trPr>
        <w:tc>
          <w:tcPr>
            <w:tcW w:w="1260" w:type="dxa"/>
            <w:vAlign w:val="bottom"/>
          </w:tcPr>
          <w:p>
            <w:pPr>
              <w:ind w:left="80"/>
              <w:spacing w:after="0" w:line="149" w:lineRule="exact"/>
              <w:rPr>
                <w:sz w:val="20"/>
                <w:szCs w:val="20"/>
                <w:color w:val="auto"/>
              </w:rPr>
            </w:pPr>
            <w:r>
              <w:rPr>
                <w:rFonts w:ascii="Arial" w:cs="Arial" w:eastAsia="Arial" w:hAnsi="Arial"/>
                <w:sz w:val="14"/>
                <w:szCs w:val="14"/>
                <w:b w:val="1"/>
                <w:bCs w:val="1"/>
                <w:color w:val="296DC1"/>
              </w:rPr>
              <w:t>Preliminary</w:t>
            </w:r>
          </w:p>
        </w:tc>
        <w:tc>
          <w:tcPr>
            <w:tcW w:w="4220" w:type="dxa"/>
            <w:vAlign w:val="bottom"/>
            <w:gridSpan w:val="3"/>
          </w:tcPr>
          <w:p>
            <w:pPr>
              <w:spacing w:after="0" w:line="149" w:lineRule="exact"/>
              <w:rPr>
                <w:rFonts w:ascii="Arial" w:cs="Arial" w:eastAsia="Arial" w:hAnsi="Arial"/>
                <w:sz w:val="14"/>
                <w:szCs w:val="14"/>
                <w:color w:val="0000EE"/>
              </w:rPr>
            </w:pPr>
            <w:hyperlink r:id="rId10">
              <w:r>
                <w:rPr>
                  <w:rFonts w:ascii="Arial" w:cs="Arial" w:eastAsia="Arial" w:hAnsi="Arial"/>
                  <w:sz w:val="14"/>
                  <w:szCs w:val="14"/>
                  <w:color w:val="0000EE"/>
                </w:rPr>
                <w:t>http://www.sec.gov/Archives/edgar/data/</w:t>
              </w:r>
            </w:hyperlink>
          </w:p>
        </w:tc>
      </w:tr>
      <w:tr>
        <w:trPr>
          <w:trHeight w:val="142"/>
        </w:trPr>
        <w:tc>
          <w:tcPr>
            <w:tcW w:w="1260" w:type="dxa"/>
            <w:vAlign w:val="bottom"/>
          </w:tcPr>
          <w:p>
            <w:pPr>
              <w:ind w:left="80"/>
              <w:spacing w:after="0" w:line="142" w:lineRule="exact"/>
              <w:rPr>
                <w:sz w:val="20"/>
                <w:szCs w:val="20"/>
                <w:color w:val="auto"/>
              </w:rPr>
            </w:pPr>
            <w:r>
              <w:rPr>
                <w:rFonts w:ascii="Arial" w:cs="Arial" w:eastAsia="Arial" w:hAnsi="Arial"/>
                <w:sz w:val="14"/>
                <w:szCs w:val="14"/>
                <w:b w:val="1"/>
                <w:bCs w:val="1"/>
                <w:color w:val="296DC1"/>
              </w:rPr>
              <w:t>pricing</w:t>
            </w:r>
          </w:p>
        </w:tc>
        <w:tc>
          <w:tcPr>
            <w:tcW w:w="2560" w:type="dxa"/>
            <w:vAlign w:val="bottom"/>
            <w:tcBorders>
              <w:top w:val="single" w:sz="8" w:color="0000EE"/>
            </w:tcBorders>
          </w:tcPr>
          <w:p>
            <w:pPr>
              <w:spacing w:after="0" w:line="142" w:lineRule="exact"/>
              <w:rPr>
                <w:rFonts w:ascii="Arial" w:cs="Arial" w:eastAsia="Arial" w:hAnsi="Arial"/>
                <w:sz w:val="14"/>
                <w:szCs w:val="14"/>
                <w:color w:val="0000EE"/>
                <w:w w:val="95"/>
              </w:rPr>
            </w:pPr>
            <w:hyperlink r:id="rId10">
              <w:r>
                <w:rPr>
                  <w:rFonts w:ascii="Arial" w:cs="Arial" w:eastAsia="Arial" w:hAnsi="Arial"/>
                  <w:sz w:val="14"/>
                  <w:szCs w:val="14"/>
                  <w:color w:val="0000EE"/>
                  <w:w w:val="95"/>
                </w:rPr>
                <w:t>1665650/000121390024050638/ea175617</w:t>
              </w:r>
            </w:hyperlink>
          </w:p>
        </w:tc>
        <w:tc>
          <w:tcPr>
            <w:tcW w:w="1660" w:type="dxa"/>
            <w:vAlign w:val="bottom"/>
            <w:gridSpan w:val="2"/>
          </w:tcPr>
          <w:p>
            <w:pPr>
              <w:ind w:left="160"/>
              <w:spacing w:after="0" w:line="142" w:lineRule="exact"/>
              <w:rPr>
                <w:rFonts w:ascii="Arial" w:cs="Arial" w:eastAsia="Arial" w:hAnsi="Arial"/>
                <w:sz w:val="14"/>
                <w:szCs w:val="14"/>
                <w:color w:val="0000EE"/>
              </w:rPr>
            </w:pPr>
            <w:hyperlink r:id="rId10">
              <w:r>
                <w:rPr>
                  <w:rFonts w:ascii="Arial" w:cs="Arial" w:eastAsia="Arial" w:hAnsi="Arial"/>
                  <w:sz w:val="14"/>
                  <w:szCs w:val="14"/>
                  <w:color w:val="0000EE"/>
                </w:rPr>
                <w:t>_424b2.htm</w:t>
              </w:r>
            </w:hyperlink>
          </w:p>
        </w:tc>
      </w:tr>
      <w:tr>
        <w:trPr>
          <w:trHeight w:val="155"/>
        </w:trPr>
        <w:tc>
          <w:tcPr>
            <w:tcW w:w="1260" w:type="dxa"/>
            <w:vAlign w:val="bottom"/>
          </w:tcPr>
          <w:p>
            <w:pPr>
              <w:ind w:left="80"/>
              <w:spacing w:after="0" w:line="155" w:lineRule="exact"/>
              <w:rPr>
                <w:sz w:val="20"/>
                <w:szCs w:val="20"/>
                <w:color w:val="auto"/>
              </w:rPr>
            </w:pPr>
            <w:r>
              <w:rPr>
                <w:rFonts w:ascii="Arial" w:cs="Arial" w:eastAsia="Arial" w:hAnsi="Arial"/>
                <w:sz w:val="14"/>
                <w:szCs w:val="14"/>
                <w:b w:val="1"/>
                <w:bCs w:val="1"/>
                <w:color w:val="296DC1"/>
              </w:rPr>
              <w:t>supplement:</w:t>
            </w:r>
          </w:p>
        </w:tc>
        <w:tc>
          <w:tcPr>
            <w:tcW w:w="256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740" w:type="dxa"/>
            <w:vAlign w:val="bottom"/>
          </w:tcPr>
          <w:p>
            <w:pPr>
              <w:spacing w:after="0"/>
              <w:rPr>
                <w:sz w:val="13"/>
                <w:szCs w:val="13"/>
                <w:color w:val="auto"/>
              </w:rPr>
            </w:pPr>
          </w:p>
        </w:tc>
      </w:tr>
    </w:tbl>
    <w:p>
      <w:pPr>
        <w:spacing w:after="0" w:line="210"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w:t>
      </w:r>
    </w:p>
    <w:p>
      <w:pPr>
        <w:ind w:right="20"/>
        <w:spacing w:after="0" w:line="246" w:lineRule="auto"/>
        <w:rPr>
          <w:sz w:val="20"/>
          <w:szCs w:val="20"/>
          <w:color w:val="auto"/>
        </w:rPr>
      </w:pPr>
      <w:r>
        <w:rPr>
          <w:rFonts w:ascii="Arial" w:cs="Arial" w:eastAsia="Arial" w:hAnsi="Arial"/>
          <w:sz w:val="16"/>
          <w:szCs w:val="16"/>
          <w:color w:val="auto"/>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6"/>
          <w:szCs w:val="16"/>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48869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88690" cy="4629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FFFFFF"/>
        </w:rPr>
        <w:t>Hypothetical Payout at Maturity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FFFFFF"/>
        </w:rPr>
        <w:t>(if the securities have not previously been redeemed)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vMerge w:val="restart"/>
          </w:tcPr>
          <w:p>
            <w:pPr>
              <w:ind w:left="280"/>
              <w:spacing w:after="0"/>
              <w:rPr>
                <w:sz w:val="20"/>
                <w:szCs w:val="20"/>
                <w:color w:val="auto"/>
              </w:rPr>
            </w:pPr>
            <w:r>
              <w:rPr>
                <w:rFonts w:ascii="Arial" w:cs="Arial" w:eastAsia="Arial" w:hAnsi="Arial"/>
                <w:sz w:val="14"/>
                <w:szCs w:val="14"/>
                <w:b w:val="1"/>
                <w:bCs w:val="1"/>
                <w:color w:val="FFFFFF"/>
              </w:rPr>
              <w:t>Change in Underlying Stock</w:t>
            </w:r>
          </w:p>
        </w:tc>
        <w:tc>
          <w:tcPr>
            <w:tcW w:w="3140" w:type="dxa"/>
            <w:vAlign w:val="bottom"/>
          </w:tcPr>
          <w:p>
            <w:pPr>
              <w:jc w:val="center"/>
              <w:ind w:left="28"/>
              <w:spacing w:after="0"/>
              <w:rPr>
                <w:sz w:val="20"/>
                <w:szCs w:val="20"/>
                <w:color w:val="auto"/>
              </w:rPr>
            </w:pPr>
            <w:r>
              <w:rPr>
                <w:rFonts w:ascii="Arial" w:cs="Arial" w:eastAsia="Arial" w:hAnsi="Arial"/>
                <w:sz w:val="14"/>
                <w:szCs w:val="14"/>
                <w:b w:val="1"/>
                <w:bCs w:val="1"/>
                <w:color w:val="FFFFFF"/>
              </w:rPr>
              <w:t>Payment at Maturity (excluding any coupon</w:t>
            </w:r>
          </w:p>
        </w:tc>
        <w:tc>
          <w:tcPr>
            <w:tcW w:w="0" w:type="dxa"/>
            <w:vAlign w:val="bottom"/>
          </w:tcPr>
          <w:p>
            <w:pPr>
              <w:spacing w:after="0"/>
              <w:rPr>
                <w:sz w:val="1"/>
                <w:szCs w:val="1"/>
                <w:color w:val="auto"/>
              </w:rPr>
            </w:pPr>
          </w:p>
        </w:tc>
      </w:tr>
      <w:tr>
        <w:trPr>
          <w:trHeight w:val="115"/>
        </w:trPr>
        <w:tc>
          <w:tcPr>
            <w:tcW w:w="2340" w:type="dxa"/>
            <w:vAlign w:val="bottom"/>
            <w:vMerge w:val="continue"/>
          </w:tcPr>
          <w:p>
            <w:pPr>
              <w:spacing w:after="0"/>
              <w:rPr>
                <w:sz w:val="10"/>
                <w:szCs w:val="10"/>
                <w:color w:val="auto"/>
              </w:rPr>
            </w:pPr>
          </w:p>
        </w:tc>
        <w:tc>
          <w:tcPr>
            <w:tcW w:w="314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FFFFFF"/>
              </w:rPr>
              <w:t>payable at maturity)</w:t>
            </w:r>
          </w:p>
        </w:tc>
        <w:tc>
          <w:tcPr>
            <w:tcW w:w="0" w:type="dxa"/>
            <w:vAlign w:val="bottom"/>
          </w:tcPr>
          <w:p>
            <w:pPr>
              <w:spacing w:after="0"/>
              <w:rPr>
                <w:sz w:val="1"/>
                <w:szCs w:val="1"/>
                <w:color w:val="auto"/>
              </w:rPr>
            </w:pPr>
          </w:p>
        </w:tc>
      </w:tr>
      <w:tr>
        <w:trPr>
          <w:trHeight w:val="69"/>
        </w:trPr>
        <w:tc>
          <w:tcPr>
            <w:tcW w:w="2340" w:type="dxa"/>
            <w:vAlign w:val="bottom"/>
          </w:tcPr>
          <w:p>
            <w:pPr>
              <w:spacing w:after="0"/>
              <w:rPr>
                <w:sz w:val="6"/>
                <w:szCs w:val="6"/>
                <w:color w:val="auto"/>
              </w:rPr>
            </w:pPr>
          </w:p>
        </w:tc>
        <w:tc>
          <w:tcPr>
            <w:tcW w:w="3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50.00%</w:t>
            </w:r>
          </w:p>
        </w:tc>
        <w:tc>
          <w:tcPr>
            <w:tcW w:w="31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340" w:type="dxa"/>
            <w:vAlign w:val="bottom"/>
          </w:tcPr>
          <w:p>
            <w:pPr>
              <w:jc w:val="center"/>
              <w:ind w:left="48"/>
              <w:spacing w:after="0"/>
              <w:rPr>
                <w:sz w:val="20"/>
                <w:szCs w:val="20"/>
                <w:color w:val="auto"/>
              </w:rPr>
            </w:pPr>
            <w:r>
              <w:rPr>
                <w:rFonts w:ascii="Arial" w:cs="Arial" w:eastAsia="Arial" w:hAnsi="Arial"/>
                <w:sz w:val="14"/>
                <w:szCs w:val="14"/>
                <w:color w:val="auto"/>
              </w:rPr>
              <w:t>40.00%</w:t>
            </w:r>
          </w:p>
        </w:tc>
        <w:tc>
          <w:tcPr>
            <w:tcW w:w="314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34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30.00%</w:t>
            </w:r>
          </w:p>
        </w:tc>
        <w:tc>
          <w:tcPr>
            <w:tcW w:w="31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340" w:type="dxa"/>
            <w:vAlign w:val="bottom"/>
          </w:tcPr>
          <w:p>
            <w:pPr>
              <w:jc w:val="center"/>
              <w:ind w:left="48"/>
              <w:spacing w:after="0"/>
              <w:rPr>
                <w:sz w:val="20"/>
                <w:szCs w:val="20"/>
                <w:color w:val="auto"/>
              </w:rPr>
            </w:pPr>
            <w:r>
              <w:rPr>
                <w:rFonts w:ascii="Arial" w:cs="Arial" w:eastAsia="Arial" w:hAnsi="Arial"/>
                <w:sz w:val="14"/>
                <w:szCs w:val="14"/>
                <w:color w:val="auto"/>
              </w:rPr>
              <w:t>20.00%</w:t>
            </w:r>
          </w:p>
        </w:tc>
        <w:tc>
          <w:tcPr>
            <w:tcW w:w="314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34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10.00%</w:t>
            </w:r>
          </w:p>
        </w:tc>
        <w:tc>
          <w:tcPr>
            <w:tcW w:w="31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340" w:type="dxa"/>
            <w:vAlign w:val="bottom"/>
          </w:tcPr>
          <w:p>
            <w:pPr>
              <w:jc w:val="center"/>
              <w:ind w:left="48"/>
              <w:spacing w:after="0"/>
              <w:rPr>
                <w:sz w:val="20"/>
                <w:szCs w:val="20"/>
                <w:color w:val="auto"/>
              </w:rPr>
            </w:pPr>
            <w:r>
              <w:rPr>
                <w:rFonts w:ascii="Arial" w:cs="Arial" w:eastAsia="Arial" w:hAnsi="Arial"/>
                <w:sz w:val="14"/>
                <w:szCs w:val="14"/>
                <w:color w:val="auto"/>
              </w:rPr>
              <w:t>5.00%</w:t>
            </w:r>
          </w:p>
        </w:tc>
        <w:tc>
          <w:tcPr>
            <w:tcW w:w="314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34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0.00%</w:t>
            </w:r>
          </w:p>
        </w:tc>
        <w:tc>
          <w:tcPr>
            <w:tcW w:w="31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340" w:type="dxa"/>
            <w:vAlign w:val="bottom"/>
          </w:tcPr>
          <w:p>
            <w:pPr>
              <w:jc w:val="center"/>
              <w:ind w:left="48"/>
              <w:spacing w:after="0"/>
              <w:rPr>
                <w:sz w:val="20"/>
                <w:szCs w:val="20"/>
                <w:color w:val="auto"/>
              </w:rPr>
            </w:pPr>
            <w:r>
              <w:rPr>
                <w:rFonts w:ascii="Arial" w:cs="Arial" w:eastAsia="Arial" w:hAnsi="Arial"/>
                <w:sz w:val="14"/>
                <w:szCs w:val="14"/>
                <w:color w:val="auto"/>
              </w:rPr>
              <w:t>-10.00%</w:t>
            </w:r>
          </w:p>
        </w:tc>
        <w:tc>
          <w:tcPr>
            <w:tcW w:w="314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34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-20.00%</w:t>
            </w:r>
          </w:p>
        </w:tc>
        <w:tc>
          <w:tcPr>
            <w:tcW w:w="31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340" w:type="dxa"/>
            <w:vAlign w:val="bottom"/>
          </w:tcPr>
          <w:p>
            <w:pPr>
              <w:jc w:val="center"/>
              <w:ind w:left="48"/>
              <w:spacing w:after="0"/>
              <w:rPr>
                <w:sz w:val="20"/>
                <w:szCs w:val="20"/>
                <w:color w:val="auto"/>
              </w:rPr>
            </w:pPr>
            <w:r>
              <w:rPr>
                <w:rFonts w:ascii="Arial" w:cs="Arial" w:eastAsia="Arial" w:hAnsi="Arial"/>
                <w:sz w:val="14"/>
                <w:szCs w:val="14"/>
                <w:color w:val="auto"/>
              </w:rPr>
              <w:t>-30.00%</w:t>
            </w:r>
          </w:p>
        </w:tc>
        <w:tc>
          <w:tcPr>
            <w:tcW w:w="314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34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-40.00%</w:t>
            </w:r>
          </w:p>
        </w:tc>
        <w:tc>
          <w:tcPr>
            <w:tcW w:w="31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340" w:type="dxa"/>
            <w:vAlign w:val="bottom"/>
          </w:tcPr>
          <w:p>
            <w:pPr>
              <w:jc w:val="center"/>
              <w:ind w:left="48"/>
              <w:spacing w:after="0"/>
              <w:rPr>
                <w:sz w:val="20"/>
                <w:szCs w:val="20"/>
                <w:color w:val="auto"/>
              </w:rPr>
            </w:pPr>
            <w:r>
              <w:rPr>
                <w:rFonts w:ascii="Arial" w:cs="Arial" w:eastAsia="Arial" w:hAnsi="Arial"/>
                <w:sz w:val="14"/>
                <w:szCs w:val="14"/>
                <w:color w:val="auto"/>
              </w:rPr>
              <w:t>-50.00%</w:t>
            </w:r>
          </w:p>
        </w:tc>
        <w:tc>
          <w:tcPr>
            <w:tcW w:w="314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34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-50.01%</w:t>
            </w:r>
          </w:p>
        </w:tc>
        <w:tc>
          <w:tcPr>
            <w:tcW w:w="31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$499.90</w:t>
            </w:r>
          </w:p>
        </w:tc>
        <w:tc>
          <w:tcPr>
            <w:tcW w:w="0" w:type="dxa"/>
            <w:vAlign w:val="bottom"/>
          </w:tcPr>
          <w:p>
            <w:pPr>
              <w:spacing w:after="0"/>
              <w:rPr>
                <w:sz w:val="1"/>
                <w:szCs w:val="1"/>
                <w:color w:val="auto"/>
              </w:rPr>
            </w:pPr>
          </w:p>
        </w:tc>
      </w:tr>
      <w:tr>
        <w:trPr>
          <w:trHeight w:val="212"/>
        </w:trPr>
        <w:tc>
          <w:tcPr>
            <w:tcW w:w="2340" w:type="dxa"/>
            <w:vAlign w:val="bottom"/>
          </w:tcPr>
          <w:p>
            <w:pPr>
              <w:jc w:val="center"/>
              <w:ind w:left="48"/>
              <w:spacing w:after="0"/>
              <w:rPr>
                <w:sz w:val="20"/>
                <w:szCs w:val="20"/>
                <w:color w:val="auto"/>
              </w:rPr>
            </w:pPr>
            <w:r>
              <w:rPr>
                <w:rFonts w:ascii="Arial" w:cs="Arial" w:eastAsia="Arial" w:hAnsi="Arial"/>
                <w:sz w:val="14"/>
                <w:szCs w:val="14"/>
                <w:color w:val="auto"/>
              </w:rPr>
              <w:t>-60.00%</w:t>
            </w:r>
          </w:p>
        </w:tc>
        <w:tc>
          <w:tcPr>
            <w:tcW w:w="3140" w:type="dxa"/>
            <w:vAlign w:val="bottom"/>
          </w:tcPr>
          <w:p>
            <w:pPr>
              <w:jc w:val="center"/>
              <w:ind w:left="6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220"/>
        </w:trPr>
        <w:tc>
          <w:tcPr>
            <w:tcW w:w="234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-80.00%</w:t>
            </w:r>
          </w:p>
        </w:tc>
        <w:tc>
          <w:tcPr>
            <w:tcW w:w="31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08"/>
        </w:trPr>
        <w:tc>
          <w:tcPr>
            <w:tcW w:w="2340" w:type="dxa"/>
            <w:vAlign w:val="bottom"/>
          </w:tcPr>
          <w:p>
            <w:pPr>
              <w:jc w:val="center"/>
              <w:ind w:left="48"/>
              <w:spacing w:after="0"/>
              <w:rPr>
                <w:sz w:val="20"/>
                <w:szCs w:val="20"/>
                <w:color w:val="auto"/>
              </w:rPr>
            </w:pPr>
            <w:r>
              <w:rPr>
                <w:rFonts w:ascii="Arial" w:cs="Arial" w:eastAsia="Arial" w:hAnsi="Arial"/>
                <w:sz w:val="14"/>
                <w:szCs w:val="14"/>
                <w:color w:val="auto"/>
              </w:rPr>
              <w:t>-100.00%</w:t>
            </w:r>
          </w:p>
        </w:tc>
        <w:tc>
          <w:tcPr>
            <w:tcW w:w="3140" w:type="dxa"/>
            <w:vAlign w:val="bottom"/>
          </w:tcPr>
          <w:p>
            <w:pPr>
              <w:jc w:val="center"/>
              <w:ind w:left="6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ectPr>
          <w:pgSz w:w="11900" w:h="16838" w:orient="portrait"/>
          <w:cols w:equalWidth="0" w:num="2">
            <w:col w:w="5500" w:space="240"/>
            <w:col w:w="550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296DC1"/>
        </w:rPr>
        <w:t>3yr SNOW Contingent Income Auto-Callable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color w:val="296DC1"/>
        </w:rPr>
        <w:t>Underlying Stock</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stock, including historical performance information, see the accompanying preliminary pricing supplement.</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72"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and Annex A to the accompanying prospectus addendum for additional information.</w:t>
      </w:r>
    </w:p>
    <w:p>
      <w:pPr>
        <w:spacing w:after="0" w:line="230"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5" w:lineRule="auto"/>
        <w:tabs>
          <w:tab w:leader="none" w:pos="340" w:val="left"/>
        </w:tabs>
        <w:numPr>
          <w:ilvl w:val="0"/>
          <w:numId w:val="1"/>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31" w:lineRule="exact"/>
        <w:rPr>
          <w:rFonts w:ascii="Wingdings" w:cs="Wingdings" w:eastAsia="Wingdings" w:hAnsi="Wingdings"/>
          <w:sz w:val="24"/>
          <w:szCs w:val="24"/>
          <w:b w:val="1"/>
          <w:bCs w:val="1"/>
          <w:color w:val="A3C4EB"/>
          <w:vertAlign w:val="subscript"/>
        </w:rPr>
      </w:pPr>
    </w:p>
    <w:p>
      <w:pPr>
        <w:ind w:left="340" w:right="280" w:hanging="332"/>
        <w:spacing w:after="0" w:line="188" w:lineRule="auto"/>
        <w:tabs>
          <w:tab w:leader="none" w:pos="340" w:val="left"/>
        </w:tabs>
        <w:numPr>
          <w:ilvl w:val="0"/>
          <w:numId w:val="1"/>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You will not receive any contingent quarterly payment for any quarterly period (or any previously unpaid contingent quarterly payments) if the closing price of the underlying stock on the relevant determination date is less than the downside threshold level.</w:t>
      </w: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contingent quarterly payment is based solely on the closing prices of the underlying stock on the specified determination dates.</w:t>
      </w:r>
    </w:p>
    <w:p>
      <w:pPr>
        <w:spacing w:after="0" w:line="31" w:lineRule="exact"/>
        <w:rPr>
          <w:rFonts w:ascii="Wingdings" w:cs="Wingdings" w:eastAsia="Wingdings" w:hAnsi="Wingdings"/>
          <w:sz w:val="22"/>
          <w:szCs w:val="22"/>
          <w:b w:val="1"/>
          <w:bCs w:val="1"/>
          <w:color w:val="A3C4EB"/>
          <w:vertAlign w:val="subscript"/>
        </w:rPr>
      </w:pPr>
    </w:p>
    <w:p>
      <w:pPr>
        <w:ind w:left="340" w:right="580" w:hanging="332"/>
        <w:spacing w:after="0" w:line="188" w:lineRule="auto"/>
        <w:tabs>
          <w:tab w:leader="none" w:pos="340" w:val="left"/>
        </w:tabs>
        <w:numPr>
          <w:ilvl w:val="0"/>
          <w:numId w:val="1"/>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operations and has limited assets.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Investors will not participate in any appreciation of the underlying stock.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1"/>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140" w:hanging="332"/>
        <w:spacing w:after="0" w:line="182" w:lineRule="auto"/>
        <w:tabs>
          <w:tab w:leader="none" w:pos="340" w:val="left"/>
        </w:tabs>
        <w:numPr>
          <w:ilvl w:val="0"/>
          <w:numId w:val="2"/>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2" w:lineRule="exact"/>
        <w:rPr>
          <w:rFonts w:ascii="Wingdings" w:cs="Wingdings" w:eastAsia="Wingdings" w:hAnsi="Wingdings"/>
          <w:sz w:val="31"/>
          <w:szCs w:val="31"/>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40" w:hanging="332"/>
        <w:spacing w:after="0" w:line="185" w:lineRule="auto"/>
        <w:tabs>
          <w:tab w:leader="none" w:pos="340" w:val="left"/>
        </w:tabs>
        <w:numPr>
          <w:ilvl w:val="0"/>
          <w:numId w:val="3"/>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80" w:lineRule="auto"/>
        <w:tabs>
          <w:tab w:leader="none" w:pos="340" w:val="left"/>
        </w:tabs>
        <w:numPr>
          <w:ilvl w:val="0"/>
          <w:numId w:val="3"/>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does not represent future values of the securities and may differ from others’ estimates.</w:t>
      </w:r>
    </w:p>
    <w:p>
      <w:pPr>
        <w:spacing w:after="0" w:line="29"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31" w:lineRule="exact"/>
        <w:rPr>
          <w:rFonts w:ascii="Wingdings" w:cs="Wingdings" w:eastAsia="Wingdings" w:hAnsi="Wingdings"/>
          <w:sz w:val="22"/>
          <w:szCs w:val="22"/>
          <w:b w:val="1"/>
          <w:bCs w:val="1"/>
          <w:color w:val="A3C4EB"/>
          <w:vertAlign w:val="subscript"/>
        </w:rPr>
      </w:pPr>
    </w:p>
    <w:p>
      <w:pPr>
        <w:ind w:left="340" w:right="240" w:hanging="332"/>
        <w:spacing w:after="0" w:line="188" w:lineRule="auto"/>
        <w:tabs>
          <w:tab w:leader="none" w:pos="340" w:val="left"/>
        </w:tabs>
        <w:numPr>
          <w:ilvl w:val="0"/>
          <w:numId w:val="3"/>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Stock</w:t>
      </w:r>
    </w:p>
    <w:p>
      <w:pPr>
        <w:ind w:left="340" w:hanging="332"/>
        <w:spacing w:after="0" w:line="185"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Investing in the securities is not equivalent to investing in the underlying stock.</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No affiliation with Snowflake Inc.</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We may engage in business with or involving Snowflake Inc. without regard to your interests.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Limited trading history.</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Governmental legislative and regulatory actions, including sanctions, could adversely affect your investment in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anti-dilution protection for the underlying stock is limited and may be discretionary.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296DC1"/>
        </w:rPr>
        <w:t>Tax Considerations</w:t>
      </w:r>
    </w:p>
    <w:p>
      <w:pPr>
        <w:spacing w:after="0" w:line="5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31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the this offering will arrange to send you the prospectus and each prospectus supplement as well as any product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4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0" Type="http://schemas.openxmlformats.org/officeDocument/2006/relationships/hyperlink" Target="http://www.sec.gov/Archives/edgar/data/1665650/000121390024050638/ea175617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2024-06-10T05:25:41Z</dcterms:created>
  <dcterms:modified xsi:type="dcterms:W3CDTF">2024-06-10T05:25:41Z</dcterms:modified>
</cp:coreProperties>
</file>