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Pursuant to Section 13 or 15(d) of the</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Exchange Act of 1934</w:t>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22, 2010</w:t>
      </w:r>
    </w:p>
    <w:p>
      <w:pPr>
        <w:spacing w:after="0" w:line="225" w:lineRule="exact"/>
        <w:rPr>
          <w:sz w:val="24"/>
          <w:szCs w:val="24"/>
          <w:color w:val="auto"/>
        </w:rPr>
      </w:pPr>
    </w:p>
    <w:p>
      <w:pPr>
        <w:jc w:val="center"/>
        <w:ind w:left="360"/>
        <w:spacing w:after="0"/>
        <w:rPr>
          <w:sz w:val="20"/>
          <w:szCs w:val="20"/>
          <w:color w:val="auto"/>
        </w:rPr>
      </w:pPr>
      <w:r>
        <w:rPr>
          <w:rFonts w:ascii="Arial" w:cs="Arial" w:eastAsia="Arial" w:hAnsi="Arial"/>
          <w:sz w:val="24"/>
          <w:szCs w:val="24"/>
          <w:b w:val="1"/>
          <w:bCs w:val="1"/>
          <w:color w:val="auto"/>
        </w:rPr>
        <w:t>JPMORGAN CHASE &amp; CO.</w:t>
      </w:r>
    </w:p>
    <w:p>
      <w:pPr>
        <w:spacing w:after="0" w:line="52" w:lineRule="exact"/>
        <w:rPr>
          <w:sz w:val="24"/>
          <w:szCs w:val="24"/>
          <w:color w:val="auto"/>
        </w:rPr>
      </w:pPr>
    </w:p>
    <w:p>
      <w:pPr>
        <w:jc w:val="center"/>
        <w:ind w:left="420"/>
        <w:spacing w:after="0"/>
        <w:rPr>
          <w:sz w:val="20"/>
          <w:szCs w:val="20"/>
          <w:color w:val="auto"/>
        </w:rPr>
      </w:pPr>
      <w:r>
        <w:rPr>
          <w:rFonts w:ascii="Arial" w:cs="Arial" w:eastAsia="Arial" w:hAnsi="Arial"/>
          <w:sz w:val="14"/>
          <w:szCs w:val="14"/>
          <w:color w:val="auto"/>
        </w:rPr>
        <w:t>(Exact Name of Registrant</w:t>
      </w:r>
    </w:p>
    <w:p>
      <w:pPr>
        <w:jc w:val="center"/>
        <w:ind w:left="420"/>
        <w:spacing w:after="0"/>
        <w:rPr>
          <w:sz w:val="20"/>
          <w:szCs w:val="20"/>
          <w:color w:val="auto"/>
        </w:rPr>
      </w:pPr>
      <w:r>
        <w:rPr>
          <w:rFonts w:ascii="Arial" w:cs="Arial" w:eastAsia="Arial" w:hAnsi="Arial"/>
          <w:sz w:val="14"/>
          <w:szCs w:val="14"/>
          <w:color w:val="auto"/>
        </w:rPr>
        <w:t>as Specified in Charter)</w:t>
      </w: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(State or Other Jurisdiction of Incorporation)</w:t>
      </w:r>
    </w:p>
    <w:p>
      <w:pPr>
        <w:sectPr>
          <w:pgSz w:w="11900" w:h="16838" w:orient="portrait"/>
          <w:cols w:equalWidth="0" w:num="1">
            <w:col w:w="11340"/>
          </w:cols>
          <w:pgMar w:left="240" w:top="1137" w:right="319" w:bottom="92" w:gutter="0" w:footer="0" w:header="0"/>
        </w:sectPr>
      </w:pPr>
    </w:p>
    <w:p>
      <w:pPr>
        <w:spacing w:after="0" w:line="308"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001-05805</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13-2624428</w:t>
      </w:r>
    </w:p>
    <w:p>
      <w:pPr>
        <w:spacing w:after="0" w:line="63" w:lineRule="exact"/>
        <w:rPr>
          <w:sz w:val="24"/>
          <w:szCs w:val="24"/>
          <w:color w:val="auto"/>
        </w:rPr>
      </w:pPr>
    </w:p>
    <w:p>
      <w:pPr>
        <w:sectPr>
          <w:pgSz w:w="11900" w:h="16838" w:orient="portrait"/>
          <w:cols w:equalWidth="0" w:num="2">
            <w:col w:w="7520" w:space="720"/>
            <w:col w:w="3100"/>
          </w:cols>
          <w:pgMar w:left="240" w:top="1137" w:right="319" w:bottom="92" w:gutter="0" w:footer="0" w:header="0"/>
          <w:type w:val="continuous"/>
        </w:sectPr>
      </w:pPr>
    </w:p>
    <w:p>
      <w:pPr>
        <w:spacing w:after="0" w:line="148" w:lineRule="exact"/>
        <w:rPr>
          <w:sz w:val="24"/>
          <w:szCs w:val="24"/>
          <w:color w:val="auto"/>
        </w:rPr>
      </w:pPr>
    </w:p>
    <w:p>
      <w:pPr>
        <w:ind w:left="222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2"/>
          <w:szCs w:val="12"/>
          <w:color w:val="auto"/>
        </w:rPr>
        <w:t>(IRS Employer Identification</w:t>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4"/>
          <w:szCs w:val="14"/>
          <w:color w:val="auto"/>
        </w:rPr>
        <w:t>No.)</w:t>
      </w:r>
    </w:p>
    <w:p>
      <w:pPr>
        <w:spacing w:after="0" w:line="200" w:lineRule="exact"/>
        <w:rPr>
          <w:sz w:val="24"/>
          <w:szCs w:val="24"/>
          <w:color w:val="auto"/>
        </w:rPr>
      </w:pPr>
    </w:p>
    <w:p>
      <w:pPr>
        <w:sectPr>
          <w:pgSz w:w="11900" w:h="16838" w:orient="portrait"/>
          <w:cols w:equalWidth="0" w:num="2">
            <w:col w:w="7160" w:space="720"/>
            <w:col w:w="3460"/>
          </w:cols>
          <w:pgMar w:left="240" w:top="1137" w:right="319" w:bottom="92" w:gutter="0" w:footer="0" w:header="0"/>
          <w:type w:val="continuous"/>
        </w:sectPr>
      </w:pPr>
    </w:p>
    <w:p>
      <w:pPr>
        <w:spacing w:after="0" w:line="97" w:lineRule="exact"/>
        <w:rPr>
          <w:sz w:val="24"/>
          <w:szCs w:val="24"/>
          <w:color w:val="auto"/>
        </w:rPr>
      </w:pPr>
    </w:p>
    <w:p>
      <w:pPr>
        <w:ind w:left="2300"/>
        <w:spacing w:after="0"/>
        <w:rPr>
          <w:sz w:val="20"/>
          <w:szCs w:val="20"/>
          <w:color w:val="auto"/>
        </w:rPr>
      </w:pPr>
      <w:r>
        <w:rPr>
          <w:rFonts w:ascii="Arial" w:cs="Arial" w:eastAsia="Arial" w:hAnsi="Arial"/>
          <w:sz w:val="15"/>
          <w:szCs w:val="15"/>
          <w:b w:val="1"/>
          <w:bCs w:val="1"/>
          <w:color w:val="auto"/>
        </w:rPr>
        <w:t>270 Park Avenue,</w:t>
      </w:r>
    </w:p>
    <w:p>
      <w:pPr>
        <w:sectPr>
          <w:pgSz w:w="11900" w:h="16838" w:orient="portrait"/>
          <w:cols w:equalWidth="0" w:num="1">
            <w:col w:w="11340"/>
          </w:cols>
          <w:pgMar w:left="240" w:top="1137" w:right="319" w:bottom="92" w:gutter="0" w:footer="0" w:header="0"/>
          <w:type w:val="continuous"/>
        </w:sectPr>
      </w:pPr>
    </w:p>
    <w:p>
      <w:pPr>
        <w:spacing w:after="0" w:line="98"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New York, NY</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74" w:lineRule="exact"/>
        <w:rPr>
          <w:sz w:val="24"/>
          <w:szCs w:val="24"/>
          <w:color w:val="auto"/>
        </w:rPr>
      </w:pPr>
    </w:p>
    <w:p>
      <w:pPr>
        <w:sectPr>
          <w:pgSz w:w="11900" w:h="16838" w:orient="portrait"/>
          <w:cols w:equalWidth="0" w:num="2">
            <w:col w:w="7700" w:space="720"/>
            <w:col w:w="2920"/>
          </w:cols>
          <w:pgMar w:left="240" w:top="1137" w:right="319" w:bottom="92" w:gutter="0" w:footer="0" w:header="0"/>
          <w:type w:val="continuous"/>
        </w:sectPr>
      </w:pPr>
    </w:p>
    <w:p>
      <w:pPr>
        <w:ind w:left="2100"/>
        <w:spacing w:after="0"/>
        <w:rPr>
          <w:sz w:val="20"/>
          <w:szCs w:val="20"/>
          <w:color w:val="auto"/>
        </w:rPr>
      </w:pPr>
      <w:r>
        <w:rPr>
          <w:rFonts w:ascii="Arial" w:cs="Arial" w:eastAsia="Arial" w:hAnsi="Arial"/>
          <w:sz w:val="12"/>
          <w:szCs w:val="12"/>
          <w:color w:val="auto"/>
        </w:rPr>
        <w:t>(Address of Principal Executive</w:t>
      </w:r>
    </w:p>
    <w:p>
      <w:pPr>
        <w:sectPr>
          <w:pgSz w:w="11900" w:h="16838" w:orient="portrait"/>
          <w:cols w:equalWidth="0" w:num="1">
            <w:col w:w="11340"/>
          </w:cols>
          <w:pgMar w:left="240" w:top="1137" w:right="319" w:bottom="92" w:gutter="0" w:footer="0" w:header="0"/>
          <w:type w:val="continuous"/>
        </w:sectPr>
      </w:pPr>
    </w:p>
    <w:p>
      <w:pPr>
        <w:spacing w:after="0" w:line="78" w:lineRule="exact"/>
        <w:rPr>
          <w:sz w:val="24"/>
          <w:szCs w:val="24"/>
          <w:color w:val="auto"/>
        </w:rPr>
      </w:pPr>
    </w:p>
    <w:p>
      <w:pPr>
        <w:ind w:left="2720"/>
        <w:spacing w:after="0"/>
        <w:rPr>
          <w:sz w:val="20"/>
          <w:szCs w:val="20"/>
          <w:color w:val="auto"/>
        </w:rPr>
      </w:pPr>
      <w:r>
        <w:rPr>
          <w:rFonts w:ascii="Arial" w:cs="Arial" w:eastAsia="Arial" w:hAnsi="Arial"/>
          <w:sz w:val="12"/>
          <w:szCs w:val="12"/>
          <w:color w:val="auto"/>
        </w:rPr>
        <w:t>Offices)</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color w:val="auto"/>
        </w:rPr>
        <w:t>(Zip Code)</w:t>
      </w:r>
    </w:p>
    <w:p>
      <w:pPr>
        <w:spacing w:after="0" w:line="200" w:lineRule="exact"/>
        <w:rPr>
          <w:sz w:val="24"/>
          <w:szCs w:val="24"/>
          <w:color w:val="auto"/>
        </w:rPr>
      </w:pPr>
    </w:p>
    <w:p>
      <w:pPr>
        <w:sectPr>
          <w:pgSz w:w="11900" w:h="16838" w:orient="portrait"/>
          <w:cols w:equalWidth="0" w:num="2">
            <w:col w:w="7620" w:space="720"/>
            <w:col w:w="3000"/>
          </w:cols>
          <w:pgMar w:left="240" w:top="1137" w:right="319" w:bottom="92" w:gutter="0" w:footer="0" w:header="0"/>
          <w:type w:val="continuous"/>
        </w:sectPr>
      </w:pPr>
    </w:p>
    <w:p>
      <w:pPr>
        <w:spacing w:after="0" w:line="135" w:lineRule="exact"/>
        <w:rPr>
          <w:sz w:val="24"/>
          <w:szCs w:val="24"/>
          <w:color w:val="auto"/>
        </w:rPr>
      </w:pPr>
    </w:p>
    <w:p>
      <w:pPr>
        <w:jc w:val="center"/>
        <w:ind w:left="420"/>
        <w:spacing w:after="0"/>
        <w:rPr>
          <w:sz w:val="20"/>
          <w:szCs w:val="20"/>
          <w:color w:val="auto"/>
        </w:rPr>
      </w:pPr>
      <w:r>
        <w:rPr>
          <w:rFonts w:ascii="Arial" w:cs="Arial" w:eastAsia="Arial" w:hAnsi="Arial"/>
          <w:sz w:val="12"/>
          <w:szCs w:val="12"/>
          <w:color w:val="auto"/>
        </w:rPr>
        <w:t>Registrant's telephone number, including area code:</w:t>
      </w:r>
    </w:p>
    <w:p>
      <w:pPr>
        <w:spacing w:after="0" w:line="34"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(212) 270-6000</w:t>
      </w:r>
    </w:p>
    <w:p>
      <w:pPr>
        <w:sectPr>
          <w:pgSz w:w="11900" w:h="16838" w:orient="portrait"/>
          <w:cols w:equalWidth="0" w:num="1">
            <w:col w:w="11340"/>
          </w:cols>
          <w:pgMar w:left="240" w:top="1137" w:right="319" w:bottom="92"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jc w:val="both"/>
        <w:ind w:left="2220" w:right="2340"/>
        <w:spacing w:after="0" w:line="25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2" w:lineRule="exact"/>
        <w:rPr>
          <w:sz w:val="24"/>
          <w:szCs w:val="24"/>
          <w:color w:val="auto"/>
        </w:rPr>
      </w:pPr>
    </w:p>
    <w:p>
      <w:pPr>
        <w:ind w:left="2580" w:hanging="350"/>
        <w:spacing w:after="0"/>
        <w:tabs>
          <w:tab w:leader="none" w:pos="2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rFonts w:ascii="Arial" w:cs="Arial" w:eastAsia="Arial" w:hAnsi="Arial"/>
          <w:sz w:val="18"/>
          <w:szCs w:val="18"/>
          <w:color w:val="auto"/>
        </w:rPr>
      </w:pPr>
    </w:p>
    <w:p>
      <w:pPr>
        <w:ind w:left="2580" w:right="2280" w:hanging="350"/>
        <w:spacing w:after="0" w:line="323" w:lineRule="auto"/>
        <w:tabs>
          <w:tab w:leader="none" w:pos="2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 Pre-commencement communications pursuant to Rule 14d-2(b) under the Exchange Act (17</w:t>
      </w:r>
    </w:p>
    <w:p>
      <w:pPr>
        <w:spacing w:after="0" w:line="1" w:lineRule="exact"/>
        <w:rPr>
          <w:rFonts w:ascii="Arial" w:cs="Arial" w:eastAsia="Arial" w:hAnsi="Arial"/>
          <w:sz w:val="15"/>
          <w:szCs w:val="15"/>
          <w:color w:val="auto"/>
        </w:rPr>
      </w:pPr>
    </w:p>
    <w:p>
      <w:pPr>
        <w:ind w:left="2580" w:hanging="350"/>
        <w:spacing w:after="0"/>
        <w:tabs>
          <w:tab w:leader="none" w:pos="2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CFR 240.14d-2(b))</w:t>
      </w:r>
    </w:p>
    <w:p>
      <w:pPr>
        <w:spacing w:after="0" w:line="29" w:lineRule="exact"/>
        <w:rPr>
          <w:rFonts w:ascii="Arial" w:cs="Arial" w:eastAsia="Arial" w:hAnsi="Arial"/>
          <w:sz w:val="18"/>
          <w:szCs w:val="18"/>
          <w:color w:val="auto"/>
        </w:rPr>
      </w:pPr>
    </w:p>
    <w:p>
      <w:pPr>
        <w:ind w:left="2580"/>
        <w:spacing w:after="0"/>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w:t>
      </w:r>
    </w:p>
    <w:p>
      <w:pPr>
        <w:spacing w:after="0" w:line="15" w:lineRule="exact"/>
        <w:rPr>
          <w:rFonts w:ascii="Arial" w:cs="Arial" w:eastAsia="Arial" w:hAnsi="Arial"/>
          <w:sz w:val="18"/>
          <w:szCs w:val="18"/>
          <w:color w:val="auto"/>
        </w:rPr>
      </w:pPr>
    </w:p>
    <w:p>
      <w:pPr>
        <w:ind w:left="2580" w:hanging="350"/>
        <w:spacing w:after="0"/>
        <w:tabs>
          <w:tab w:leader="none" w:pos="2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1080" w:val="left"/>
        </w:tabs>
        <w:rPr>
          <w:sz w:val="20"/>
          <w:szCs w:val="20"/>
          <w:color w:val="auto"/>
        </w:rPr>
      </w:pPr>
      <w:r>
        <w:rPr>
          <w:rFonts w:ascii="Arial" w:cs="Arial" w:eastAsia="Arial" w:hAnsi="Arial"/>
          <w:sz w:val="22"/>
          <w:szCs w:val="22"/>
          <w:color w:val="auto"/>
        </w:rPr>
        <w:t>Item 8.01.</w:t>
      </w:r>
      <w:r>
        <w:rPr>
          <w:sz w:val="20"/>
          <w:szCs w:val="20"/>
          <w:color w:val="auto"/>
        </w:rPr>
        <w:tab/>
      </w:r>
      <w:r>
        <w:rPr>
          <w:rFonts w:ascii="Arial" w:cs="Arial" w:eastAsia="Arial" w:hAnsi="Arial"/>
          <w:sz w:val="19"/>
          <w:szCs w:val="19"/>
          <w:color w:val="auto"/>
        </w:rPr>
        <w:t>Other Events</w:t>
      </w:r>
    </w:p>
    <w:p>
      <w:pPr>
        <w:spacing w:after="0" w:line="206" w:lineRule="exact"/>
        <w:rPr>
          <w:sz w:val="24"/>
          <w:szCs w:val="24"/>
          <w:color w:val="auto"/>
        </w:rPr>
      </w:pPr>
    </w:p>
    <w:p>
      <w:pPr>
        <w:spacing w:after="0" w:line="287" w:lineRule="auto"/>
        <w:rPr>
          <w:sz w:val="20"/>
          <w:szCs w:val="20"/>
          <w:color w:val="auto"/>
        </w:rPr>
      </w:pPr>
      <w:r>
        <w:rPr>
          <w:rFonts w:ascii="Arial" w:cs="Arial" w:eastAsia="Arial" w:hAnsi="Arial"/>
          <w:sz w:val="19"/>
          <w:szCs w:val="19"/>
          <w:color w:val="auto"/>
        </w:rPr>
        <w:t>On July 22, 2010, JPMorgan Chase &amp; Co. (the "Company") closed a public offering of $2,500,000,000 aggregate principal amount of its 4.40% Notes due 2020 (the "4.40% Notes"). The 4.40% Notes were registered under the Securities Act of 1933, as amended, pursuant to a registration statement on Form S-3 (File No. 333-146731). In connection with the offering of the 4.40% Notes, the Company is filing the legal opinion as to the legality of the 4.40% Notes as Exhibit 5.1 to this report.</w:t>
      </w:r>
    </w:p>
    <w:p>
      <w:pPr>
        <w:spacing w:after="0" w:line="143" w:lineRule="exact"/>
        <w:rPr>
          <w:sz w:val="24"/>
          <w:szCs w:val="24"/>
          <w:color w:val="auto"/>
        </w:rPr>
      </w:pPr>
    </w:p>
    <w:p>
      <w:pPr>
        <w:ind w:right="140"/>
        <w:spacing w:after="0" w:line="287" w:lineRule="auto"/>
        <w:rPr>
          <w:sz w:val="20"/>
          <w:szCs w:val="20"/>
          <w:color w:val="auto"/>
        </w:rPr>
      </w:pPr>
      <w:r>
        <w:rPr>
          <w:rFonts w:ascii="Arial" w:cs="Arial" w:eastAsia="Arial" w:hAnsi="Arial"/>
          <w:sz w:val="19"/>
          <w:szCs w:val="19"/>
          <w:color w:val="auto"/>
        </w:rPr>
        <w:t>On July 22, 2010, JPMorgan Chase &amp; Co. (the "Company") closed a public offering of an additional $400,000,000 aggregate principal amount of its 3.40% Notes due 2015 (the "3.40% Notes"). The 3.40% Notes were registered under the Securities Act of 1933, as amended, pursuant to a registration statement on Form S-3 (File No. 333-146731). In connection with the offering of the 3.40% Notes, the Company is filing the legal opinion as to the legality of the 3.40% Notes as Exhibit 5.2 to this report.</w:t>
      </w:r>
    </w:p>
    <w:p>
      <w:pPr>
        <w:sectPr>
          <w:pgSz w:w="11900" w:h="16838" w:orient="portrait"/>
          <w:cols w:equalWidth="0" w:num="1">
            <w:col w:w="11340"/>
          </w:cols>
          <w:pgMar w:left="240" w:top="1137" w:right="319" w:bottom="92"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22"/>
          <w:szCs w:val="22"/>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 Exhibits</w:t>
      </w:r>
    </w:p>
    <w:p>
      <w:pPr>
        <w:spacing w:after="0" w:line="247"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Opinion of Simpson Thacher &amp; Bartlett LLP as to the legality of the 4.40% Notes</w:t>
      </w:r>
    </w:p>
    <w:p>
      <w:pPr>
        <w:spacing w:after="0" w:line="71"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Opinion of Simpson Thacher &amp; Bartlett LLP as to the legality of the 3.40%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JPMORGAN CHASE &amp; CO.</w:t>
      </w:r>
    </w:p>
    <w:p>
      <w:pPr>
        <w:spacing w:after="0" w:line="22"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53"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By: /s/ Anthony J. Horan</w:t>
      </w:r>
    </w:p>
    <w:p>
      <w:pPr>
        <w:spacing w:after="0" w:line="22"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Name: Anthony J. Horan</w:t>
      </w:r>
    </w:p>
    <w:p>
      <w:pPr>
        <w:spacing w:after="0" w:line="17" w:lineRule="exact"/>
        <w:rPr>
          <w:sz w:val="20"/>
          <w:szCs w:val="20"/>
          <w:color w:val="auto"/>
        </w:rPr>
      </w:pPr>
    </w:p>
    <w:p>
      <w:pPr>
        <w:ind w:left="7900"/>
        <w:spacing w:after="0"/>
        <w:tabs>
          <w:tab w:leader="none" w:pos="8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Dated: July 22,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EXHIBIT INDEX</w:t>
      </w:r>
    </w:p>
    <w:p>
      <w:pPr>
        <w:spacing w:after="0" w:line="247"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22"/>
          <w:szCs w:val="22"/>
          <w:color w:val="auto"/>
        </w:rPr>
        <w:t>Exhibit</w:t>
      </w:r>
      <w:r>
        <w:rPr>
          <w:sz w:val="20"/>
          <w:szCs w:val="20"/>
          <w:color w:val="auto"/>
        </w:rPr>
        <w:tab/>
      </w:r>
      <w:r>
        <w:rPr>
          <w:rFonts w:ascii="Arial" w:cs="Arial" w:eastAsia="Arial" w:hAnsi="Arial"/>
          <w:sz w:val="19"/>
          <w:szCs w:val="19"/>
          <w:color w:val="auto"/>
        </w:rPr>
        <w:t>Description</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Number</w:t>
      </w:r>
    </w:p>
    <w:p>
      <w:pPr>
        <w:spacing w:after="0" w:line="53" w:lineRule="exact"/>
        <w:rPr>
          <w:sz w:val="20"/>
          <w:szCs w:val="20"/>
          <w:color w:val="auto"/>
        </w:rPr>
      </w:pPr>
    </w:p>
    <w:p>
      <w:pPr>
        <w:ind w:left="1020" w:right="3700" w:hanging="661"/>
        <w:spacing w:after="0" w:line="251" w:lineRule="auto"/>
        <w:tabs>
          <w:tab w:leader="none" w:pos="10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Opinion of Simpson Thacher &amp; Bartlett LLP as to the legality of the 4.40% Notes</w:t>
      </w:r>
    </w:p>
    <w:p>
      <w:pPr>
        <w:spacing w:after="0" w:line="38" w:lineRule="exact"/>
        <w:rPr>
          <w:sz w:val="20"/>
          <w:szCs w:val="20"/>
          <w:color w:val="auto"/>
        </w:rPr>
      </w:pPr>
    </w:p>
    <w:p>
      <w:pPr>
        <w:ind w:left="1020" w:right="3700" w:hanging="661"/>
        <w:spacing w:after="0" w:line="251" w:lineRule="auto"/>
        <w:tabs>
          <w:tab w:leader="none" w:pos="10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Opinion of Simpson Thacher &amp; Bartlett LLP as to the legality of the 3.40% Notes</w:t>
      </w:r>
    </w:p>
    <w:p>
      <w:pPr>
        <w:sectPr>
          <w:pgSz w:w="11900" w:h="16838" w:orient="portrait"/>
          <w:cols w:equalWidth="0" w:num="1">
            <w:col w:w="11240"/>
          </w:cols>
          <w:pgMar w:left="240" w:top="118"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July 22, 2010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&amp; Co.</w:t>
      </w:r>
    </w:p>
    <w:p>
      <w:pPr>
        <w:spacing w:after="0" w:line="238" w:lineRule="auto"/>
        <w:rPr>
          <w:sz w:val="20"/>
          <w:szCs w:val="20"/>
          <w:color w:val="auto"/>
        </w:rPr>
      </w:pPr>
      <w:r>
        <w:rPr>
          <w:rFonts w:ascii="Arial" w:cs="Arial" w:eastAsia="Arial" w:hAnsi="Arial"/>
          <w:sz w:val="22"/>
          <w:szCs w:val="22"/>
          <w:color w:val="auto"/>
        </w:rPr>
        <w:t>270 Park Avenue</w:t>
      </w:r>
    </w:p>
    <w:p>
      <w:pPr>
        <w:spacing w:after="0"/>
        <w:rPr>
          <w:sz w:val="20"/>
          <w:szCs w:val="20"/>
          <w:color w:val="auto"/>
        </w:rPr>
      </w:pPr>
      <w:r>
        <w:rPr>
          <w:rFonts w:ascii="Arial" w:cs="Arial" w:eastAsia="Arial" w:hAnsi="Arial"/>
          <w:sz w:val="22"/>
          <w:szCs w:val="22"/>
          <w:color w:val="auto"/>
        </w:rPr>
        <w:t>New York, NY 10017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have acted as counsel to JPMorgan Chase &amp; Co., a Delaware corporation (the "Company"), in connection with the Registration Statement on Form S-3 (File No. 333-146731) (the "Registration Statement") filed by the Company with the Securities and Exchange Commission (the "Commission") under the Securities Act of 1933, as amended, and the issuance by the Company of $2,500,000,000 aggregate principal amount of 4.40% Notes due 2020 (the "Securities") pursuant to the Underwriting Agreement dated July 15, 2010 (the "Underwriting Agreement") between the Company and J.P. Morgan Securities Inc. The Securities are being issued under the indenture dated as of December 1, 1989, as supplemented by the Agreement of Resignation, Appointment and Acceptance, dated March 29, 1996, and as amended by the First Supplemental Indenture, dated as of November 1, 2007, the Second Supplemental Indenture, dated as of December 2, 2008, the Third Supplemental Indenture, dated as of December 9, 2008, the Fourth Supp lemental Indenture, dated as of December 12, 2008, and the Fifth Supplemental Indenture, dated as of December 22, 2008 (as so supplemented and amended, the "Indenture") between the Company and Deutsche Bank Trust Company Americas (formerly known as Bankers Trust Company) (the "Trustee").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examined the Registration Statement; the Indenture, which has been filed with the Commission as an exhibit to the Registration Statement; duplicates of the global notes representing the Securities; and the Underwriting Agreement. We also have examined the originals, or duplicates or certified or conformed copies, of such corporate and other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Based upon the foregoing, and subject to the qualifications, assumptions and limitations stated herein, we are of the opinion that the Securities have been duly authorized, executed and issued by the Company and, assuming due authentication thereof by the Trustee or The Bank of New York Mellon, as authenticating agent under the Indenture on behalf of the Trustee, and upon payment and delivery in accordance with the Underwriting Agreement, the Securities will constitute valid and legally binding obligations of the Company enforceable against the Company in accordance with their terms.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Arial" w:cs="Arial" w:eastAsia="Arial" w:hAnsi="Arial"/>
          <w:sz w:val="21"/>
          <w:szCs w:val="21"/>
          <w:b w:val="1"/>
          <w:bCs w:val="1"/>
          <w:color w:val="auto"/>
        </w:rPr>
        <w:t>.</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do not express any opinion herein concerning any law other than the law of the State of New York, the federal law of the United States and the Delaware General Corporation Law (including the statutory provisions, all applicable provisions of the Delaware Constitution and reported judicial decisions interpreting the foregoing).</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hereby consent to the filing of this opinion letter as Exhibit 5.1 to the Registration Statement and to the use of our name under the caption "Legal Opinions" in the Prospectus included in the Registration Statement.</w:t>
      </w:r>
    </w:p>
    <w:p>
      <w:pPr>
        <w:spacing w:after="0" w:line="26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/s/ Simpson Thacher &amp; Bartlett LLP</w:t>
      </w:r>
    </w:p>
    <w:p>
      <w:pPr>
        <w:spacing w:after="0" w:line="179"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SIMPSON THACHER &amp; BARTLETT LLP</w:t>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July 22, 2010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&amp; Co.</w:t>
      </w:r>
    </w:p>
    <w:p>
      <w:pPr>
        <w:spacing w:after="0" w:line="238" w:lineRule="auto"/>
        <w:rPr>
          <w:sz w:val="20"/>
          <w:szCs w:val="20"/>
          <w:color w:val="auto"/>
        </w:rPr>
      </w:pPr>
      <w:r>
        <w:rPr>
          <w:rFonts w:ascii="Arial" w:cs="Arial" w:eastAsia="Arial" w:hAnsi="Arial"/>
          <w:sz w:val="22"/>
          <w:szCs w:val="22"/>
          <w:color w:val="auto"/>
        </w:rPr>
        <w:t>270 Park Avenue</w:t>
      </w:r>
    </w:p>
    <w:p>
      <w:pPr>
        <w:spacing w:after="0"/>
        <w:rPr>
          <w:sz w:val="20"/>
          <w:szCs w:val="20"/>
          <w:color w:val="auto"/>
        </w:rPr>
      </w:pPr>
      <w:r>
        <w:rPr>
          <w:rFonts w:ascii="Arial" w:cs="Arial" w:eastAsia="Arial" w:hAnsi="Arial"/>
          <w:sz w:val="22"/>
          <w:szCs w:val="22"/>
          <w:color w:val="auto"/>
        </w:rPr>
        <w:t>New York, NY 10017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have acted as counsel to JPMorgan Chase &amp; Co., a Delaware corporation (the "Company"), in connection with the Registration Statement on Form S-3 (File No. 333-146731) (the "Registration Statement") filed by the Company with the Securities and Exchange Commission (the "Commission") under the Securities Act of 1933, as amended, and the issuance by the Company of an additional $400,000,000 aggregate principal amount of 3.40% Notes due 2015 (the "Securities") pursuant to the Underwriting Agreement dated July 15, 2010 (the "Underwriting Agreement") between the Company and J.P. Morgan Securities Inc. The Securities are being issued under the indenture dated as of December 1, 1989, as supplemented by the Agreement of Resignation, Appointment and Acceptance, dated March 29, 1996, and as amended by the First Supplemental Indenture, dated as of November 1, 2007, the Second Supplemental Indenture, dated as of December 2, 2008, the Third Supplemental Indenture, dated as of December 9, 2008, the Fourth Supplemental Indenture, dated as of December 12, 2008, and the Fifth Supplemental Indenture, dated as of December 22, 2008 (as so supplemented and amended, the "Indenture") between the Company and Deutsche Bank Trust Company Americas (formerly known as Bankers Trust Company) (the "Trustee").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examined the Registration Statement; the Indenture, which has been filed with the Commission as an exhibit to the Registration Statement; duplicates of the global notes representing the Securities; and the Underwriting Agreement. We also have examined the originals, or duplicates or certified or conformed copies, of such corporate and other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Based upon the foregoing, and subject to the qualifications, assumptions and limitations stated herein, we are of the opinion that the Securities have been duly authorized, executed and issued by the Company and, assuming due authentication thereof by the Trustee or The Bank of New York Mellon, as authenticating agent under the Indenture on behalf of the Trustee, and upon payment and delivery in accordance with the Underwriting Agreement, the Securities will constitute valid and legally binding obligations of the Company enforceable against the Company in accordance with their terms.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Arial" w:cs="Arial" w:eastAsia="Arial" w:hAnsi="Arial"/>
          <w:sz w:val="21"/>
          <w:szCs w:val="21"/>
          <w:b w:val="1"/>
          <w:bCs w:val="1"/>
          <w:color w:val="auto"/>
        </w:rPr>
        <w:t>.</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do not express any opinion herein concerning any law other than the law of the State of New York, the federal law of the United States and the Delaware General Corporation Law (including the statutory provisions, all applicable provisions of the Delaware Constitution and reported judicial decisions interpreting the foregoing).</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hereby consent to the filing of this opinion letter as Exhibit 5.2 to the Registration Statement and to the use of our name under the caption "Legal Opinions" in the Prospectus included in the Registration Statement.</w:t>
      </w:r>
    </w:p>
    <w:p>
      <w:pPr>
        <w:spacing w:after="0" w:line="268"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/s/ Simpson Thacher &amp; Bartlett LLP</w:t>
      </w:r>
    </w:p>
    <w:p>
      <w:pPr>
        <w:spacing w:after="0" w:line="179"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SIMPSON THACHER &amp; BARTLETT LLP</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2019-12-09T22:37:00Z</dcterms:created>
  <dcterms:modified xsi:type="dcterms:W3CDTF">2019-12-09T22:37:00Z</dcterms:modified>
</cp:coreProperties>
</file>