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0" w:type="dxa"/>
        <w:tblCellMar>
          <w:top w:w="0" w:type="dxa"/>
          <w:left w:w="0" w:type="dxa"/>
          <w:bottom w:w="0" w:type="dxa"/>
          <w:right w:w="0" w:type="dxa"/>
        </w:tblCellMar>
      </w:tblPr>
      <w:tr>
        <w:trPr>
          <w:trHeight w:val="180"/>
        </w:trPr>
        <w:tc>
          <w:tcPr>
            <w:tcW w:w="7120" w:type="dxa"/>
            <w:vAlign w:val="bottom"/>
            <w:vMerge w:val="restart"/>
          </w:tcPr>
          <w:p>
            <w:pPr>
              <w:spacing w:after="0"/>
              <w:rPr>
                <w:sz w:val="20"/>
                <w:szCs w:val="20"/>
                <w:color w:val="auto"/>
              </w:rPr>
            </w:pPr>
            <w:r>
              <w:rPr>
                <w:rFonts w:ascii="Verdana" w:cs="Verdana" w:eastAsia="Verdana" w:hAnsi="Verdana"/>
                <w:sz w:val="27"/>
                <w:szCs w:val="27"/>
                <w:b w:val="1"/>
                <w:bCs w:val="1"/>
                <w:color w:val="BB0826"/>
              </w:rPr>
              <w:t>JPMorgan Chase Financial Company LLC</w:t>
            </w:r>
          </w:p>
        </w:tc>
        <w:tc>
          <w:tcPr>
            <w:tcW w:w="3920" w:type="dxa"/>
            <w:vAlign w:val="bottom"/>
          </w:tcPr>
          <w:p>
            <w:pPr>
              <w:jc w:val="right"/>
              <w:spacing w:after="0"/>
              <w:rPr>
                <w:sz w:val="20"/>
                <w:szCs w:val="20"/>
                <w:color w:val="auto"/>
              </w:rPr>
            </w:pPr>
            <w:r>
              <w:rPr>
                <w:rFonts w:ascii="Verdana" w:cs="Verdana" w:eastAsia="Verdana" w:hAnsi="Verdana"/>
                <w:sz w:val="13"/>
                <w:szCs w:val="13"/>
                <w:color w:val="auto"/>
              </w:rPr>
              <w:t>Filed Pursuant to Rule 433</w:t>
            </w:r>
          </w:p>
        </w:tc>
        <w:tc>
          <w:tcPr>
            <w:tcW w:w="0" w:type="dxa"/>
            <w:vAlign w:val="bottom"/>
          </w:tcPr>
          <w:p>
            <w:pPr>
              <w:spacing w:after="0"/>
              <w:rPr>
                <w:sz w:val="1"/>
                <w:szCs w:val="1"/>
                <w:color w:val="auto"/>
              </w:rPr>
            </w:pPr>
          </w:p>
        </w:tc>
      </w:tr>
      <w:tr>
        <w:trPr>
          <w:trHeight w:val="149"/>
        </w:trPr>
        <w:tc>
          <w:tcPr>
            <w:tcW w:w="7120" w:type="dxa"/>
            <w:vAlign w:val="bottom"/>
            <w:vMerge w:val="continue"/>
          </w:tcPr>
          <w:p>
            <w:pPr>
              <w:spacing w:after="0"/>
              <w:rPr>
                <w:sz w:val="12"/>
                <w:szCs w:val="12"/>
                <w:color w:val="auto"/>
              </w:rPr>
            </w:pPr>
          </w:p>
        </w:tc>
        <w:tc>
          <w:tcPr>
            <w:tcW w:w="3920" w:type="dxa"/>
            <w:vAlign w:val="bottom"/>
          </w:tcPr>
          <w:p>
            <w:pPr>
              <w:jc w:val="right"/>
              <w:spacing w:after="0" w:line="149" w:lineRule="exact"/>
              <w:rPr>
                <w:sz w:val="20"/>
                <w:szCs w:val="20"/>
                <w:color w:val="auto"/>
              </w:rPr>
            </w:pPr>
            <w:r>
              <w:rPr>
                <w:rFonts w:ascii="Verdana" w:cs="Verdana" w:eastAsia="Verdana" w:hAnsi="Verdana"/>
                <w:sz w:val="13"/>
                <w:szCs w:val="13"/>
                <w:color w:val="auto"/>
              </w:rPr>
              <w:t>Registration Statement Nos. 333-293684 and</w:t>
            </w:r>
          </w:p>
        </w:tc>
        <w:tc>
          <w:tcPr>
            <w:tcW w:w="0" w:type="dxa"/>
            <w:vAlign w:val="bottom"/>
          </w:tcPr>
          <w:p>
            <w:pPr>
              <w:spacing w:after="0"/>
              <w:rPr>
                <w:sz w:val="1"/>
                <w:szCs w:val="1"/>
                <w:color w:val="auto"/>
              </w:rPr>
            </w:pPr>
          </w:p>
        </w:tc>
      </w:tr>
      <w:tr>
        <w:trPr>
          <w:trHeight w:val="165"/>
        </w:trPr>
        <w:tc>
          <w:tcPr>
            <w:tcW w:w="7120" w:type="dxa"/>
            <w:vAlign w:val="bottom"/>
            <w:vMerge w:val="restart"/>
          </w:tcPr>
          <w:p>
            <w:pPr>
              <w:spacing w:after="0"/>
              <w:rPr>
                <w:sz w:val="20"/>
                <w:szCs w:val="20"/>
                <w:color w:val="auto"/>
              </w:rPr>
            </w:pPr>
            <w:r>
              <w:rPr>
                <w:rFonts w:ascii="Verdana" w:cs="Verdana" w:eastAsia="Verdana" w:hAnsi="Verdana"/>
                <w:sz w:val="16"/>
                <w:szCs w:val="16"/>
                <w:b w:val="1"/>
                <w:bCs w:val="1"/>
                <w:i w:val="1"/>
                <w:iCs w:val="1"/>
                <w:color w:val="BB0826"/>
              </w:rPr>
              <w:t>Fully and Unconditionally Guaranteed by JPMorgan Chase &amp; Co.</w:t>
            </w:r>
          </w:p>
        </w:tc>
        <w:tc>
          <w:tcPr>
            <w:tcW w:w="3920" w:type="dxa"/>
            <w:vAlign w:val="bottom"/>
          </w:tcPr>
          <w:p>
            <w:pPr>
              <w:jc w:val="right"/>
              <w:spacing w:after="0"/>
              <w:rPr>
                <w:sz w:val="20"/>
                <w:szCs w:val="20"/>
                <w:color w:val="auto"/>
              </w:rPr>
            </w:pPr>
            <w:r>
              <w:rPr>
                <w:rFonts w:ascii="Verdana" w:cs="Verdana" w:eastAsia="Verdana" w:hAnsi="Verdana"/>
                <w:sz w:val="13"/>
                <w:szCs w:val="13"/>
                <w:color w:val="auto"/>
              </w:rPr>
              <w:t>333-293684-01</w:t>
            </w:r>
          </w:p>
        </w:tc>
        <w:tc>
          <w:tcPr>
            <w:tcW w:w="0" w:type="dxa"/>
            <w:vAlign w:val="bottom"/>
          </w:tcPr>
          <w:p>
            <w:pPr>
              <w:spacing w:after="0"/>
              <w:rPr>
                <w:sz w:val="1"/>
                <w:szCs w:val="1"/>
                <w:color w:val="auto"/>
              </w:rPr>
            </w:pPr>
          </w:p>
        </w:tc>
      </w:tr>
      <w:tr>
        <w:trPr>
          <w:trHeight w:val="132"/>
        </w:trPr>
        <w:tc>
          <w:tcPr>
            <w:tcW w:w="7120" w:type="dxa"/>
            <w:vAlign w:val="bottom"/>
            <w:vMerge w:val="continue"/>
          </w:tcPr>
          <w:p>
            <w:pPr>
              <w:spacing w:after="0"/>
              <w:rPr>
                <w:sz w:val="11"/>
                <w:szCs w:val="11"/>
                <w:color w:val="auto"/>
              </w:rPr>
            </w:pPr>
          </w:p>
        </w:tc>
        <w:tc>
          <w:tcPr>
            <w:tcW w:w="39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5705475</wp:posOffset>
            </wp:positionH>
            <wp:positionV relativeFrom="paragraph">
              <wp:posOffset>3810</wp:posOffset>
            </wp:positionV>
            <wp:extent cx="1371600" cy="4032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0" cy="403225"/>
                    </a:xfrm>
                    <a:prstGeom prst="rect">
                      <a:avLst/>
                    </a:prstGeom>
                    <a:noFill/>
                  </pic:spPr>
                </pic:pic>
              </a:graphicData>
            </a:graphic>
          </wp:anchor>
        </w:drawing>
      </w:r>
    </w:p>
    <w:p>
      <w:pPr>
        <w:spacing w:after="0" w:line="30" w:lineRule="exact"/>
        <w:rPr>
          <w:sz w:val="24"/>
          <w:szCs w:val="24"/>
          <w:color w:val="auto"/>
        </w:rPr>
      </w:pPr>
    </w:p>
    <w:p>
      <w:pPr>
        <w:ind w:left="100"/>
        <w:spacing w:after="0"/>
        <w:rPr>
          <w:sz w:val="20"/>
          <w:szCs w:val="20"/>
          <w:color w:val="auto"/>
        </w:rPr>
      </w:pPr>
      <w:r>
        <w:rPr>
          <w:rFonts w:ascii="Verdana" w:cs="Verdana" w:eastAsia="Verdana" w:hAnsi="Verdana"/>
          <w:sz w:val="20"/>
          <w:szCs w:val="20"/>
          <w:b w:val="1"/>
          <w:bCs w:val="1"/>
          <w:color w:val="BB0826"/>
        </w:rPr>
        <w:t>Market Linked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6172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61722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100"/>
        <w:spacing w:after="0"/>
        <w:rPr>
          <w:sz w:val="20"/>
          <w:szCs w:val="20"/>
          <w:color w:val="auto"/>
        </w:rPr>
      </w:pPr>
      <w:r>
        <w:rPr>
          <w:rFonts w:ascii="Verdana" w:cs="Verdana" w:eastAsia="Verdana" w:hAnsi="Verdana"/>
          <w:sz w:val="16"/>
          <w:szCs w:val="16"/>
          <w:color w:val="FFFFFF"/>
        </w:rPr>
        <w:t>Market Linked Securities — Leveraged Upside Participation and Contingent Downside</w:t>
      </w:r>
    </w:p>
    <w:p>
      <w:pPr>
        <w:spacing w:after="0" w:line="43" w:lineRule="exact"/>
        <w:rPr>
          <w:sz w:val="24"/>
          <w:szCs w:val="24"/>
          <w:color w:val="auto"/>
        </w:rPr>
      </w:pPr>
    </w:p>
    <w:p>
      <w:pPr>
        <w:ind w:left="100"/>
        <w:spacing w:after="0"/>
        <w:rPr>
          <w:sz w:val="20"/>
          <w:szCs w:val="20"/>
          <w:color w:val="auto"/>
        </w:rPr>
      </w:pPr>
      <w:r>
        <w:rPr>
          <w:rFonts w:ascii="Verdana" w:cs="Verdana" w:eastAsia="Verdana" w:hAnsi="Verdana"/>
          <w:sz w:val="16"/>
          <w:szCs w:val="16"/>
          <w:color w:val="FFFFFF"/>
        </w:rPr>
        <w:t>Principal at Risk Securities Linked to the EURO STOXX 50</w:t>
      </w:r>
      <w:r>
        <w:rPr>
          <w:rFonts w:ascii="Verdana" w:cs="Verdana" w:eastAsia="Verdana" w:hAnsi="Verdana"/>
          <w:sz w:val="26"/>
          <w:szCs w:val="26"/>
          <w:color w:val="FFFFFF"/>
          <w:vertAlign w:val="superscript"/>
        </w:rPr>
        <w:t>®</w:t>
      </w:r>
      <w:r>
        <w:rPr>
          <w:rFonts w:ascii="Verdana" w:cs="Verdana" w:eastAsia="Verdana" w:hAnsi="Verdana"/>
          <w:sz w:val="16"/>
          <w:szCs w:val="16"/>
          <w:color w:val="FFFFFF"/>
        </w:rPr>
        <w:t xml:space="preserve"> Index due November 14, 2036</w:t>
      </w:r>
    </w:p>
    <w:p>
      <w:pPr>
        <w:ind w:left="100"/>
        <w:spacing w:after="0"/>
        <w:rPr>
          <w:sz w:val="20"/>
          <w:szCs w:val="20"/>
          <w:color w:val="auto"/>
        </w:rPr>
      </w:pPr>
      <w:r>
        <w:rPr>
          <w:rFonts w:ascii="Verdana" w:cs="Verdana" w:eastAsia="Verdana" w:hAnsi="Verdana"/>
          <w:sz w:val="16"/>
          <w:szCs w:val="16"/>
          <w:color w:val="FFFFFF"/>
        </w:rPr>
        <w:t>Fact Sheet dated November 6, 2026 to Preliminary Pricing Supplement dated November 6, 2026</w:t>
      </w:r>
    </w:p>
    <w:p>
      <w:pPr>
        <w:sectPr>
          <w:pgSz w:w="11900" w:h="16838" w:orient="portrait"/>
          <w:cols w:equalWidth="0" w:num="1">
            <w:col w:w="11240"/>
          </w:cols>
          <w:pgMar w:left="320" w:top="211" w:right="339" w:bottom="1440" w:gutter="0" w:footer="0" w:header="0"/>
        </w:sectPr>
      </w:pPr>
    </w:p>
    <w:p>
      <w:pPr>
        <w:spacing w:after="0" w:line="117" w:lineRule="exact"/>
        <w:rPr>
          <w:sz w:val="24"/>
          <w:szCs w:val="24"/>
          <w:color w:val="auto"/>
        </w:rPr>
      </w:pPr>
    </w:p>
    <w:p>
      <w:pPr>
        <w:ind w:left="100"/>
        <w:spacing w:after="0"/>
        <w:rPr>
          <w:sz w:val="20"/>
          <w:szCs w:val="20"/>
          <w:color w:val="auto"/>
        </w:rPr>
      </w:pPr>
      <w:r>
        <w:rPr>
          <w:rFonts w:ascii="Verdana" w:cs="Verdana" w:eastAsia="Verdana" w:hAnsi="Verdana"/>
          <w:sz w:val="20"/>
          <w:szCs w:val="20"/>
          <w:color w:val="8F8F8F"/>
        </w:rPr>
        <w:t>Summary of Terms</w:t>
      </w:r>
    </w:p>
    <w:tbl>
      <w:tblPr>
        <w:tblLayout w:type="fixed"/>
        <w:tblInd w:w="10" w:type="dxa"/>
        <w:tblCellMar>
          <w:top w:w="0" w:type="dxa"/>
          <w:left w:w="0" w:type="dxa"/>
          <w:bottom w:w="0" w:type="dxa"/>
          <w:right w:w="0" w:type="dxa"/>
        </w:tblCellMar>
      </w:tblPr>
      <w:tr>
        <w:trPr>
          <w:trHeight w:val="155"/>
        </w:trPr>
        <w:tc>
          <w:tcPr>
            <w:tcW w:w="1920" w:type="dxa"/>
            <w:vAlign w:val="bottom"/>
            <w:tcBorders>
              <w:top w:val="single" w:sz="8" w:color="auto"/>
              <w:left w:val="single" w:sz="8" w:color="auto"/>
              <w:bottom w:val="single" w:sz="8" w:color="auto"/>
              <w:right w:val="single" w:sz="8" w:color="auto"/>
            </w:tcBorders>
          </w:tcPr>
          <w:p>
            <w:pPr>
              <w:ind w:left="120"/>
              <w:spacing w:after="0" w:line="156" w:lineRule="exact"/>
              <w:rPr>
                <w:sz w:val="20"/>
                <w:szCs w:val="20"/>
                <w:color w:val="auto"/>
              </w:rPr>
            </w:pPr>
            <w:r>
              <w:rPr>
                <w:rFonts w:ascii="Georgia" w:cs="Georgia" w:eastAsia="Georgia" w:hAnsi="Georgia"/>
                <w:sz w:val="14"/>
                <w:szCs w:val="14"/>
                <w:color w:val="auto"/>
              </w:rPr>
              <w:t>Issuer:</w:t>
            </w:r>
          </w:p>
        </w:tc>
        <w:tc>
          <w:tcPr>
            <w:tcW w:w="3640" w:type="dxa"/>
            <w:vAlign w:val="bottom"/>
            <w:tcBorders>
              <w:top w:val="single" w:sz="8" w:color="auto"/>
              <w:bottom w:val="single" w:sz="8" w:color="auto"/>
              <w:right w:val="single" w:sz="8" w:color="auto"/>
            </w:tcBorders>
            <w:gridSpan w:val="5"/>
          </w:tcPr>
          <w:p>
            <w:pPr>
              <w:ind w:left="80"/>
              <w:spacing w:after="0" w:line="156" w:lineRule="exact"/>
              <w:rPr>
                <w:sz w:val="20"/>
                <w:szCs w:val="20"/>
                <w:color w:val="auto"/>
              </w:rPr>
            </w:pPr>
            <w:r>
              <w:rPr>
                <w:rFonts w:ascii="Georgia" w:cs="Georgia" w:eastAsia="Georgia" w:hAnsi="Georgia"/>
                <w:sz w:val="14"/>
                <w:szCs w:val="14"/>
                <w:color w:val="auto"/>
              </w:rPr>
              <w:t>JPMorgan Chase Financial Company LLC</w:t>
            </w:r>
          </w:p>
        </w:tc>
        <w:tc>
          <w:tcPr>
            <w:tcW w:w="0" w:type="dxa"/>
            <w:vAlign w:val="bottom"/>
          </w:tcPr>
          <w:p>
            <w:pPr>
              <w:spacing w:after="0"/>
              <w:rPr>
                <w:sz w:val="1"/>
                <w:szCs w:val="1"/>
                <w:color w:val="auto"/>
              </w:rPr>
            </w:pPr>
          </w:p>
        </w:tc>
      </w:tr>
      <w:tr>
        <w:trPr>
          <w:trHeight w:val="156"/>
        </w:trPr>
        <w:tc>
          <w:tcPr>
            <w:tcW w:w="1920" w:type="dxa"/>
            <w:vAlign w:val="bottom"/>
            <w:tcBorders>
              <w:left w:val="single" w:sz="8" w:color="auto"/>
              <w:bottom w:val="single" w:sz="8" w:color="auto"/>
              <w:right w:val="single" w:sz="8" w:color="auto"/>
            </w:tcBorders>
          </w:tcPr>
          <w:p>
            <w:pPr>
              <w:ind w:left="120"/>
              <w:spacing w:after="0" w:line="156" w:lineRule="exact"/>
              <w:rPr>
                <w:sz w:val="20"/>
                <w:szCs w:val="20"/>
                <w:color w:val="auto"/>
              </w:rPr>
            </w:pPr>
            <w:r>
              <w:rPr>
                <w:rFonts w:ascii="Georgia" w:cs="Georgia" w:eastAsia="Georgia" w:hAnsi="Georgia"/>
                <w:sz w:val="14"/>
                <w:szCs w:val="14"/>
                <w:color w:val="auto"/>
              </w:rPr>
              <w:t>Guarantor:</w:t>
            </w:r>
          </w:p>
        </w:tc>
        <w:tc>
          <w:tcPr>
            <w:tcW w:w="3640" w:type="dxa"/>
            <w:vAlign w:val="bottom"/>
            <w:tcBorders>
              <w:bottom w:val="single" w:sz="8" w:color="auto"/>
              <w:right w:val="single" w:sz="8" w:color="auto"/>
            </w:tcBorders>
            <w:gridSpan w:val="5"/>
          </w:tcPr>
          <w:p>
            <w:pPr>
              <w:ind w:left="80"/>
              <w:spacing w:after="0" w:line="156" w:lineRule="exact"/>
              <w:rPr>
                <w:sz w:val="20"/>
                <w:szCs w:val="20"/>
                <w:color w:val="auto"/>
              </w:rPr>
            </w:pPr>
            <w:r>
              <w:rPr>
                <w:rFonts w:ascii="Georgia" w:cs="Georgia" w:eastAsia="Georgia" w:hAnsi="Georgia"/>
                <w:sz w:val="14"/>
                <w:szCs w:val="14"/>
                <w:color w:val="auto"/>
              </w:rPr>
              <w:t>JPMorgan Chase &amp; Co.</w:t>
            </w:r>
          </w:p>
        </w:tc>
        <w:tc>
          <w:tcPr>
            <w:tcW w:w="0" w:type="dxa"/>
            <w:vAlign w:val="bottom"/>
          </w:tcPr>
          <w:p>
            <w:pPr>
              <w:spacing w:after="0"/>
              <w:rPr>
                <w:sz w:val="1"/>
                <w:szCs w:val="1"/>
                <w:color w:val="auto"/>
              </w:rPr>
            </w:pPr>
          </w:p>
        </w:tc>
      </w:tr>
      <w:tr>
        <w:trPr>
          <w:trHeight w:val="183"/>
        </w:trPr>
        <w:tc>
          <w:tcPr>
            <w:tcW w:w="1920" w:type="dxa"/>
            <w:vAlign w:val="bottom"/>
            <w:tcBorders>
              <w:left w:val="single" w:sz="8" w:color="auto"/>
              <w:bottom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Index:</w:t>
            </w:r>
          </w:p>
        </w:tc>
        <w:tc>
          <w:tcPr>
            <w:tcW w:w="3640" w:type="dxa"/>
            <w:vAlign w:val="bottom"/>
            <w:tcBorders>
              <w:bottom w:val="single" w:sz="8" w:color="auto"/>
              <w:right w:val="single" w:sz="8" w:color="auto"/>
            </w:tcBorders>
            <w:gridSpan w:val="5"/>
          </w:tcPr>
          <w:p>
            <w:pPr>
              <w:ind w:left="80"/>
              <w:spacing w:after="0" w:line="182" w:lineRule="exact"/>
              <w:rPr>
                <w:sz w:val="20"/>
                <w:szCs w:val="20"/>
                <w:color w:val="auto"/>
              </w:rPr>
            </w:pPr>
            <w:r>
              <w:rPr>
                <w:rFonts w:ascii="Georgia" w:cs="Georgia" w:eastAsia="Georgia" w:hAnsi="Georgia"/>
                <w:sz w:val="13"/>
                <w:szCs w:val="13"/>
                <w:color w:val="auto"/>
              </w:rPr>
              <w:t>EURO STOXX 50</w:t>
            </w:r>
            <w:r>
              <w:rPr>
                <w:rFonts w:ascii="Georgia" w:cs="Georgia" w:eastAsia="Georgia" w:hAnsi="Georgia"/>
                <w:sz w:val="21"/>
                <w:szCs w:val="21"/>
                <w:color w:val="auto"/>
                <w:vertAlign w:val="superscript"/>
              </w:rPr>
              <w:t>®</w:t>
            </w:r>
            <w:r>
              <w:rPr>
                <w:rFonts w:ascii="Georgia" w:cs="Georgia" w:eastAsia="Georgia" w:hAnsi="Georgia"/>
                <w:sz w:val="13"/>
                <w:szCs w:val="13"/>
                <w:color w:val="auto"/>
              </w:rPr>
              <w:t xml:space="preserve"> Index (Bloomberg ticker: SX5E)</w:t>
            </w:r>
          </w:p>
        </w:tc>
        <w:tc>
          <w:tcPr>
            <w:tcW w:w="0" w:type="dxa"/>
            <w:vAlign w:val="bottom"/>
          </w:tcPr>
          <w:p>
            <w:pPr>
              <w:spacing w:after="0"/>
              <w:rPr>
                <w:sz w:val="1"/>
                <w:szCs w:val="1"/>
                <w:color w:val="auto"/>
              </w:rPr>
            </w:pPr>
          </w:p>
        </w:tc>
      </w:tr>
      <w:tr>
        <w:trPr>
          <w:trHeight w:val="183"/>
        </w:trPr>
        <w:tc>
          <w:tcPr>
            <w:tcW w:w="192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Georgia" w:cs="Georgia" w:eastAsia="Georgia" w:hAnsi="Georgia"/>
                <w:sz w:val="13"/>
                <w:szCs w:val="13"/>
                <w:color w:val="auto"/>
              </w:rPr>
              <w:t>Pricing Date</w:t>
            </w:r>
            <w:r>
              <w:rPr>
                <w:rFonts w:ascii="Georgia" w:cs="Georgia" w:eastAsia="Georgia" w:hAnsi="Georgia"/>
                <w:sz w:val="21"/>
                <w:szCs w:val="21"/>
                <w:color w:val="auto"/>
                <w:vertAlign w:val="superscript"/>
              </w:rPr>
              <w:t>1</w:t>
            </w:r>
            <w:r>
              <w:rPr>
                <w:rFonts w:ascii="Georgia" w:cs="Georgia" w:eastAsia="Georgia" w:hAnsi="Georgia"/>
                <w:sz w:val="13"/>
                <w:szCs w:val="13"/>
                <w:color w:val="auto"/>
              </w:rPr>
              <w:t>:</w:t>
            </w:r>
          </w:p>
        </w:tc>
        <w:tc>
          <w:tcPr>
            <w:tcW w:w="3640" w:type="dxa"/>
            <w:vAlign w:val="bottom"/>
            <w:tcBorders>
              <w:bottom w:val="single" w:sz="8" w:color="auto"/>
              <w:right w:val="single" w:sz="8" w:color="auto"/>
            </w:tcBorders>
            <w:gridSpan w:val="5"/>
          </w:tcPr>
          <w:p>
            <w:pPr>
              <w:ind w:left="80"/>
              <w:spacing w:after="0"/>
              <w:rPr>
                <w:sz w:val="20"/>
                <w:szCs w:val="20"/>
                <w:color w:val="auto"/>
              </w:rPr>
            </w:pPr>
            <w:r>
              <w:rPr>
                <w:rFonts w:ascii="Georgia" w:cs="Georgia" w:eastAsia="Georgia" w:hAnsi="Georgia"/>
                <w:sz w:val="14"/>
                <w:szCs w:val="14"/>
                <w:color w:val="auto"/>
              </w:rPr>
              <w:t>November 10, 2026</w:t>
            </w:r>
          </w:p>
        </w:tc>
        <w:tc>
          <w:tcPr>
            <w:tcW w:w="0" w:type="dxa"/>
            <w:vAlign w:val="bottom"/>
          </w:tcPr>
          <w:p>
            <w:pPr>
              <w:spacing w:after="0"/>
              <w:rPr>
                <w:sz w:val="1"/>
                <w:szCs w:val="1"/>
                <w:color w:val="auto"/>
              </w:rPr>
            </w:pPr>
          </w:p>
        </w:tc>
      </w:tr>
      <w:tr>
        <w:trPr>
          <w:trHeight w:val="183"/>
        </w:trPr>
        <w:tc>
          <w:tcPr>
            <w:tcW w:w="192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Georgia" w:cs="Georgia" w:eastAsia="Georgia" w:hAnsi="Georgia"/>
                <w:sz w:val="13"/>
                <w:szCs w:val="13"/>
                <w:color w:val="auto"/>
              </w:rPr>
              <w:t>Issue Date</w:t>
            </w:r>
            <w:r>
              <w:rPr>
                <w:rFonts w:ascii="Georgia" w:cs="Georgia" w:eastAsia="Georgia" w:hAnsi="Georgia"/>
                <w:sz w:val="21"/>
                <w:szCs w:val="21"/>
                <w:color w:val="auto"/>
                <w:vertAlign w:val="superscript"/>
              </w:rPr>
              <w:t>1</w:t>
            </w:r>
            <w:r>
              <w:rPr>
                <w:rFonts w:ascii="Georgia" w:cs="Georgia" w:eastAsia="Georgia" w:hAnsi="Georgia"/>
                <w:sz w:val="13"/>
                <w:szCs w:val="13"/>
                <w:color w:val="auto"/>
              </w:rPr>
              <w:t>:</w:t>
            </w:r>
          </w:p>
        </w:tc>
        <w:tc>
          <w:tcPr>
            <w:tcW w:w="3640" w:type="dxa"/>
            <w:vAlign w:val="bottom"/>
            <w:tcBorders>
              <w:bottom w:val="single" w:sz="8" w:color="auto"/>
              <w:right w:val="single" w:sz="8" w:color="auto"/>
            </w:tcBorders>
            <w:gridSpan w:val="5"/>
          </w:tcPr>
          <w:p>
            <w:pPr>
              <w:ind w:left="80"/>
              <w:spacing w:after="0"/>
              <w:rPr>
                <w:sz w:val="20"/>
                <w:szCs w:val="20"/>
                <w:color w:val="auto"/>
              </w:rPr>
            </w:pPr>
            <w:r>
              <w:rPr>
                <w:rFonts w:ascii="Georgia" w:cs="Georgia" w:eastAsia="Georgia" w:hAnsi="Georgia"/>
                <w:sz w:val="14"/>
                <w:szCs w:val="14"/>
                <w:color w:val="auto"/>
              </w:rPr>
              <w:t>November 16, 2026</w:t>
            </w:r>
          </w:p>
        </w:tc>
        <w:tc>
          <w:tcPr>
            <w:tcW w:w="0" w:type="dxa"/>
            <w:vAlign w:val="bottom"/>
          </w:tcPr>
          <w:p>
            <w:pPr>
              <w:spacing w:after="0"/>
              <w:rPr>
                <w:sz w:val="1"/>
                <w:szCs w:val="1"/>
                <w:color w:val="auto"/>
              </w:rPr>
            </w:pPr>
          </w:p>
        </w:tc>
      </w:tr>
      <w:tr>
        <w:trPr>
          <w:trHeight w:val="183"/>
        </w:trPr>
        <w:tc>
          <w:tcPr>
            <w:tcW w:w="192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Georgia" w:cs="Georgia" w:eastAsia="Georgia" w:hAnsi="Georgia"/>
                <w:sz w:val="13"/>
                <w:szCs w:val="13"/>
                <w:color w:val="auto"/>
              </w:rPr>
              <w:t>Calculation Day</w:t>
            </w:r>
            <w:r>
              <w:rPr>
                <w:rFonts w:ascii="Georgia" w:cs="Georgia" w:eastAsia="Georgia" w:hAnsi="Georgia"/>
                <w:sz w:val="21"/>
                <w:szCs w:val="21"/>
                <w:color w:val="auto"/>
                <w:vertAlign w:val="superscript"/>
              </w:rPr>
              <w:t>1, 2</w:t>
            </w:r>
            <w:r>
              <w:rPr>
                <w:rFonts w:ascii="Georgia" w:cs="Georgia" w:eastAsia="Georgia" w:hAnsi="Georgia"/>
                <w:sz w:val="13"/>
                <w:szCs w:val="13"/>
                <w:color w:val="auto"/>
              </w:rPr>
              <w:t>:</w:t>
            </w:r>
          </w:p>
        </w:tc>
        <w:tc>
          <w:tcPr>
            <w:tcW w:w="3640" w:type="dxa"/>
            <w:vAlign w:val="bottom"/>
            <w:tcBorders>
              <w:bottom w:val="single" w:sz="8" w:color="auto"/>
              <w:right w:val="single" w:sz="8" w:color="auto"/>
            </w:tcBorders>
            <w:gridSpan w:val="5"/>
          </w:tcPr>
          <w:p>
            <w:pPr>
              <w:ind w:left="80"/>
              <w:spacing w:after="0"/>
              <w:rPr>
                <w:sz w:val="20"/>
                <w:szCs w:val="20"/>
                <w:color w:val="auto"/>
              </w:rPr>
            </w:pPr>
            <w:r>
              <w:rPr>
                <w:rFonts w:ascii="Georgia" w:cs="Georgia" w:eastAsia="Georgia" w:hAnsi="Georgia"/>
                <w:sz w:val="14"/>
                <w:szCs w:val="14"/>
                <w:color w:val="auto"/>
              </w:rPr>
              <w:t>November 10, 2036</w:t>
            </w:r>
          </w:p>
        </w:tc>
        <w:tc>
          <w:tcPr>
            <w:tcW w:w="0" w:type="dxa"/>
            <w:vAlign w:val="bottom"/>
          </w:tcPr>
          <w:p>
            <w:pPr>
              <w:spacing w:after="0"/>
              <w:rPr>
                <w:sz w:val="1"/>
                <w:szCs w:val="1"/>
                <w:color w:val="auto"/>
              </w:rPr>
            </w:pPr>
          </w:p>
        </w:tc>
      </w:tr>
      <w:tr>
        <w:trPr>
          <w:trHeight w:val="183"/>
        </w:trPr>
        <w:tc>
          <w:tcPr>
            <w:tcW w:w="192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Georgia" w:cs="Georgia" w:eastAsia="Georgia" w:hAnsi="Georgia"/>
                <w:sz w:val="13"/>
                <w:szCs w:val="13"/>
                <w:color w:val="auto"/>
              </w:rPr>
              <w:t>Stated Maturity Date</w:t>
            </w:r>
            <w:r>
              <w:rPr>
                <w:rFonts w:ascii="Georgia" w:cs="Georgia" w:eastAsia="Georgia" w:hAnsi="Georgia"/>
                <w:sz w:val="21"/>
                <w:szCs w:val="21"/>
                <w:color w:val="auto"/>
                <w:vertAlign w:val="superscript"/>
              </w:rPr>
              <w:t>1, 2</w:t>
            </w:r>
            <w:r>
              <w:rPr>
                <w:rFonts w:ascii="Georgia" w:cs="Georgia" w:eastAsia="Georgia" w:hAnsi="Georgia"/>
                <w:sz w:val="13"/>
                <w:szCs w:val="13"/>
                <w:color w:val="auto"/>
              </w:rPr>
              <w:t>:</w:t>
            </w:r>
          </w:p>
        </w:tc>
        <w:tc>
          <w:tcPr>
            <w:tcW w:w="3640" w:type="dxa"/>
            <w:vAlign w:val="bottom"/>
            <w:tcBorders>
              <w:bottom w:val="single" w:sz="8" w:color="auto"/>
              <w:right w:val="single" w:sz="8" w:color="auto"/>
            </w:tcBorders>
            <w:gridSpan w:val="5"/>
          </w:tcPr>
          <w:p>
            <w:pPr>
              <w:ind w:left="80"/>
              <w:spacing w:after="0"/>
              <w:rPr>
                <w:sz w:val="20"/>
                <w:szCs w:val="20"/>
                <w:color w:val="auto"/>
              </w:rPr>
            </w:pPr>
            <w:r>
              <w:rPr>
                <w:rFonts w:ascii="Georgia" w:cs="Georgia" w:eastAsia="Georgia" w:hAnsi="Georgia"/>
                <w:sz w:val="14"/>
                <w:szCs w:val="14"/>
                <w:color w:val="auto"/>
              </w:rPr>
              <w:t>November 14, 2036</w:t>
            </w:r>
          </w:p>
        </w:tc>
        <w:tc>
          <w:tcPr>
            <w:tcW w:w="0" w:type="dxa"/>
            <w:vAlign w:val="bottom"/>
          </w:tcPr>
          <w:p>
            <w:pPr>
              <w:spacing w:after="0"/>
              <w:rPr>
                <w:sz w:val="1"/>
                <w:szCs w:val="1"/>
                <w:color w:val="auto"/>
              </w:rPr>
            </w:pPr>
          </w:p>
        </w:tc>
      </w:tr>
      <w:tr>
        <w:trPr>
          <w:trHeight w:val="155"/>
        </w:trPr>
        <w:tc>
          <w:tcPr>
            <w:tcW w:w="1920" w:type="dxa"/>
            <w:vAlign w:val="bottom"/>
            <w:tcBorders>
              <w:left w:val="single" w:sz="8" w:color="auto"/>
              <w:bottom w:val="single" w:sz="8" w:color="auto"/>
              <w:right w:val="single" w:sz="8" w:color="auto"/>
            </w:tcBorders>
          </w:tcPr>
          <w:p>
            <w:pPr>
              <w:ind w:left="120"/>
              <w:spacing w:after="0" w:line="156" w:lineRule="exact"/>
              <w:rPr>
                <w:sz w:val="20"/>
                <w:szCs w:val="20"/>
                <w:color w:val="auto"/>
              </w:rPr>
            </w:pPr>
            <w:r>
              <w:rPr>
                <w:rFonts w:ascii="Georgia" w:cs="Georgia" w:eastAsia="Georgia" w:hAnsi="Georgia"/>
                <w:sz w:val="14"/>
                <w:szCs w:val="14"/>
                <w:color w:val="auto"/>
              </w:rPr>
              <w:t>Principal Amount:</w:t>
            </w:r>
          </w:p>
        </w:tc>
        <w:tc>
          <w:tcPr>
            <w:tcW w:w="3640" w:type="dxa"/>
            <w:vAlign w:val="bottom"/>
            <w:tcBorders>
              <w:bottom w:val="single" w:sz="8" w:color="auto"/>
              <w:right w:val="single" w:sz="8" w:color="auto"/>
            </w:tcBorders>
            <w:gridSpan w:val="5"/>
          </w:tcPr>
          <w:p>
            <w:pPr>
              <w:ind w:left="80"/>
              <w:spacing w:after="0" w:line="156" w:lineRule="exact"/>
              <w:rPr>
                <w:sz w:val="20"/>
                <w:szCs w:val="20"/>
                <w:color w:val="auto"/>
              </w:rPr>
            </w:pPr>
            <w:r>
              <w:rPr>
                <w:rFonts w:ascii="Georgia" w:cs="Georgia" w:eastAsia="Georgia" w:hAnsi="Georgia"/>
                <w:sz w:val="14"/>
                <w:szCs w:val="14"/>
                <w:color w:val="auto"/>
              </w:rPr>
              <w:t>$1,000 per security (100% of par)</w:t>
            </w:r>
          </w:p>
        </w:tc>
        <w:tc>
          <w:tcPr>
            <w:tcW w:w="0" w:type="dxa"/>
            <w:vAlign w:val="bottom"/>
          </w:tcPr>
          <w:p>
            <w:pPr>
              <w:spacing w:after="0"/>
              <w:rPr>
                <w:sz w:val="1"/>
                <w:szCs w:val="1"/>
                <w:color w:val="auto"/>
              </w:rPr>
            </w:pPr>
          </w:p>
        </w:tc>
      </w:tr>
      <w:tr>
        <w:trPr>
          <w:trHeight w:val="159"/>
        </w:trPr>
        <w:tc>
          <w:tcPr>
            <w:tcW w:w="192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Maturity Payment</w:t>
            </w:r>
          </w:p>
        </w:tc>
        <w:tc>
          <w:tcPr>
            <w:tcW w:w="3640" w:type="dxa"/>
            <w:vAlign w:val="bottom"/>
            <w:tcBorders>
              <w:right w:val="single" w:sz="8" w:color="auto"/>
            </w:tcBorders>
            <w:gridSpan w:val="5"/>
          </w:tcPr>
          <w:p>
            <w:pPr>
              <w:ind w:left="160"/>
              <w:spacing w:after="0" w:line="158" w:lineRule="exact"/>
              <w:rPr>
                <w:sz w:val="20"/>
                <w:szCs w:val="20"/>
                <w:color w:val="auto"/>
              </w:rPr>
            </w:pPr>
            <w:r>
              <w:rPr>
                <w:rFonts w:ascii="Arial" w:cs="Arial" w:eastAsia="Arial" w:hAnsi="Arial"/>
                <w:sz w:val="16"/>
                <w:szCs w:val="16"/>
                <w:b w:val="1"/>
                <w:bCs w:val="1"/>
                <w:color w:val="auto"/>
              </w:rPr>
              <w:t xml:space="preserve">·   </w:t>
            </w:r>
            <w:r>
              <w:rPr>
                <w:rFonts w:ascii="Georgia" w:cs="Georgia" w:eastAsia="Georgia" w:hAnsi="Georgia"/>
                <w:sz w:val="14"/>
                <w:szCs w:val="14"/>
                <w:color w:val="auto"/>
              </w:rPr>
              <w:t>if the ending level is greater than the starting</w:t>
            </w:r>
          </w:p>
        </w:tc>
        <w:tc>
          <w:tcPr>
            <w:tcW w:w="0" w:type="dxa"/>
            <w:vAlign w:val="bottom"/>
          </w:tcPr>
          <w:p>
            <w:pPr>
              <w:spacing w:after="0"/>
              <w:rPr>
                <w:sz w:val="1"/>
                <w:szCs w:val="1"/>
                <w:color w:val="auto"/>
              </w:rPr>
            </w:pPr>
          </w:p>
        </w:tc>
      </w:tr>
      <w:tr>
        <w:trPr>
          <w:trHeight w:val="162"/>
        </w:trPr>
        <w:tc>
          <w:tcPr>
            <w:tcW w:w="192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Amount (per Security):</w:t>
            </w:r>
          </w:p>
        </w:tc>
        <w:tc>
          <w:tcPr>
            <w:tcW w:w="3640" w:type="dxa"/>
            <w:vAlign w:val="bottom"/>
            <w:tcBorders>
              <w:right w:val="single" w:sz="8" w:color="auto"/>
            </w:tcBorders>
            <w:gridSpan w:val="5"/>
            <w:vMerge w:val="restart"/>
          </w:tcPr>
          <w:p>
            <w:pPr>
              <w:ind w:left="320"/>
              <w:spacing w:after="0"/>
              <w:rPr>
                <w:sz w:val="20"/>
                <w:szCs w:val="20"/>
                <w:color w:val="auto"/>
              </w:rPr>
            </w:pPr>
            <w:r>
              <w:rPr>
                <w:rFonts w:ascii="Georgia" w:cs="Georgia" w:eastAsia="Georgia" w:hAnsi="Georgia"/>
                <w:sz w:val="14"/>
                <w:szCs w:val="14"/>
                <w:color w:val="auto"/>
              </w:rPr>
              <w:t>level:</w:t>
            </w:r>
          </w:p>
        </w:tc>
        <w:tc>
          <w:tcPr>
            <w:tcW w:w="0" w:type="dxa"/>
            <w:vAlign w:val="bottom"/>
          </w:tcPr>
          <w:p>
            <w:pPr>
              <w:spacing w:after="0"/>
              <w:rPr>
                <w:sz w:val="1"/>
                <w:szCs w:val="1"/>
                <w:color w:val="auto"/>
              </w:rPr>
            </w:pPr>
          </w:p>
        </w:tc>
      </w:tr>
      <w:tr>
        <w:trPr>
          <w:trHeight w:val="40"/>
        </w:trPr>
        <w:tc>
          <w:tcPr>
            <w:tcW w:w="1920" w:type="dxa"/>
            <w:vAlign w:val="bottom"/>
            <w:tcBorders>
              <w:left w:val="single" w:sz="8" w:color="auto"/>
              <w:right w:val="single" w:sz="8" w:color="auto"/>
            </w:tcBorders>
          </w:tcPr>
          <w:p>
            <w:pPr>
              <w:spacing w:after="0"/>
              <w:rPr>
                <w:sz w:val="3"/>
                <w:szCs w:val="3"/>
                <w:color w:val="auto"/>
              </w:rPr>
            </w:pPr>
          </w:p>
        </w:tc>
        <w:tc>
          <w:tcPr>
            <w:tcW w:w="3640" w:type="dxa"/>
            <w:vAlign w:val="bottom"/>
            <w:tcBorders>
              <w:right w:val="single" w:sz="8" w:color="auto"/>
            </w:tcBorders>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920" w:type="dxa"/>
            <w:vAlign w:val="bottom"/>
            <w:tcBorders>
              <w:left w:val="single" w:sz="8" w:color="auto"/>
              <w:right w:val="single" w:sz="8" w:color="auto"/>
            </w:tcBorders>
          </w:tcPr>
          <w:p>
            <w:pPr>
              <w:spacing w:after="0"/>
              <w:rPr>
                <w:sz w:val="14"/>
                <w:szCs w:val="14"/>
                <w:color w:val="auto"/>
              </w:rPr>
            </w:pPr>
          </w:p>
        </w:tc>
        <w:tc>
          <w:tcPr>
            <w:tcW w:w="3640" w:type="dxa"/>
            <w:vAlign w:val="bottom"/>
            <w:tcBorders>
              <w:right w:val="single" w:sz="8" w:color="auto"/>
            </w:tcBorders>
            <w:gridSpan w:val="5"/>
          </w:tcPr>
          <w:p>
            <w:pPr>
              <w:ind w:left="640"/>
              <w:spacing w:after="0"/>
              <w:rPr>
                <w:sz w:val="20"/>
                <w:szCs w:val="20"/>
                <w:color w:val="auto"/>
              </w:rPr>
            </w:pPr>
            <w:r>
              <w:rPr>
                <w:rFonts w:ascii="Georgia" w:cs="Georgia" w:eastAsia="Georgia" w:hAnsi="Georgia"/>
                <w:sz w:val="14"/>
                <w:szCs w:val="14"/>
                <w:color w:val="auto"/>
              </w:rPr>
              <w:t>$1,000 + ($1,000 × index return × upside</w:t>
            </w:r>
          </w:p>
        </w:tc>
        <w:tc>
          <w:tcPr>
            <w:tcW w:w="0" w:type="dxa"/>
            <w:vAlign w:val="bottom"/>
          </w:tcPr>
          <w:p>
            <w:pPr>
              <w:spacing w:after="0"/>
              <w:rPr>
                <w:sz w:val="1"/>
                <w:szCs w:val="1"/>
                <w:color w:val="auto"/>
              </w:rPr>
            </w:pPr>
          </w:p>
        </w:tc>
      </w:tr>
      <w:tr>
        <w:trPr>
          <w:trHeight w:val="162"/>
        </w:trPr>
        <w:tc>
          <w:tcPr>
            <w:tcW w:w="1920" w:type="dxa"/>
            <w:vAlign w:val="bottom"/>
            <w:tcBorders>
              <w:left w:val="single" w:sz="8" w:color="auto"/>
              <w:right w:val="single" w:sz="8" w:color="auto"/>
            </w:tcBorders>
          </w:tcPr>
          <w:p>
            <w:pPr>
              <w:spacing w:after="0"/>
              <w:rPr>
                <w:sz w:val="14"/>
                <w:szCs w:val="14"/>
                <w:color w:val="auto"/>
              </w:rPr>
            </w:pPr>
          </w:p>
        </w:tc>
        <w:tc>
          <w:tcPr>
            <w:tcW w:w="3640" w:type="dxa"/>
            <w:vAlign w:val="bottom"/>
            <w:tcBorders>
              <w:right w:val="single" w:sz="8" w:color="auto"/>
            </w:tcBorders>
            <w:gridSpan w:val="5"/>
          </w:tcPr>
          <w:p>
            <w:pPr>
              <w:ind w:left="640"/>
              <w:spacing w:after="0"/>
              <w:rPr>
                <w:sz w:val="20"/>
                <w:szCs w:val="20"/>
                <w:color w:val="auto"/>
              </w:rPr>
            </w:pPr>
            <w:r>
              <w:rPr>
                <w:rFonts w:ascii="Georgia" w:cs="Georgia" w:eastAsia="Georgia" w:hAnsi="Georgia"/>
                <w:sz w:val="14"/>
                <w:szCs w:val="14"/>
                <w:color w:val="auto"/>
              </w:rPr>
              <w:t>participation rate);</w:t>
            </w:r>
          </w:p>
        </w:tc>
        <w:tc>
          <w:tcPr>
            <w:tcW w:w="0" w:type="dxa"/>
            <w:vAlign w:val="bottom"/>
          </w:tcPr>
          <w:p>
            <w:pPr>
              <w:spacing w:after="0"/>
              <w:rPr>
                <w:sz w:val="1"/>
                <w:szCs w:val="1"/>
                <w:color w:val="auto"/>
              </w:rPr>
            </w:pPr>
          </w:p>
        </w:tc>
      </w:tr>
      <w:tr>
        <w:trPr>
          <w:trHeight w:val="176"/>
        </w:trPr>
        <w:tc>
          <w:tcPr>
            <w:tcW w:w="1920" w:type="dxa"/>
            <w:vAlign w:val="bottom"/>
            <w:tcBorders>
              <w:left w:val="single" w:sz="8" w:color="auto"/>
              <w:right w:val="single" w:sz="8" w:color="auto"/>
            </w:tcBorders>
          </w:tcPr>
          <w:p>
            <w:pPr>
              <w:spacing w:after="0"/>
              <w:rPr>
                <w:sz w:val="15"/>
                <w:szCs w:val="15"/>
                <w:color w:val="auto"/>
              </w:rPr>
            </w:pPr>
          </w:p>
        </w:tc>
        <w:tc>
          <w:tcPr>
            <w:tcW w:w="3640" w:type="dxa"/>
            <w:vAlign w:val="bottom"/>
            <w:tcBorders>
              <w:right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 xml:space="preserve">·   </w:t>
            </w:r>
            <w:r>
              <w:rPr>
                <w:rFonts w:ascii="Georgia" w:cs="Georgia" w:eastAsia="Georgia" w:hAnsi="Georgia"/>
                <w:sz w:val="14"/>
                <w:szCs w:val="14"/>
                <w:color w:val="auto"/>
              </w:rPr>
              <w:t>if the ending level is less than or equal to the</w:t>
            </w:r>
          </w:p>
        </w:tc>
        <w:tc>
          <w:tcPr>
            <w:tcW w:w="0" w:type="dxa"/>
            <w:vAlign w:val="bottom"/>
          </w:tcPr>
          <w:p>
            <w:pPr>
              <w:spacing w:after="0"/>
              <w:rPr>
                <w:sz w:val="1"/>
                <w:szCs w:val="1"/>
                <w:color w:val="auto"/>
              </w:rPr>
            </w:pPr>
          </w:p>
        </w:tc>
      </w:tr>
      <w:tr>
        <w:trPr>
          <w:trHeight w:val="162"/>
        </w:trPr>
        <w:tc>
          <w:tcPr>
            <w:tcW w:w="1920" w:type="dxa"/>
            <w:vAlign w:val="bottom"/>
            <w:tcBorders>
              <w:left w:val="single" w:sz="8" w:color="auto"/>
              <w:right w:val="single" w:sz="8" w:color="auto"/>
            </w:tcBorders>
          </w:tcPr>
          <w:p>
            <w:pPr>
              <w:spacing w:after="0"/>
              <w:rPr>
                <w:sz w:val="14"/>
                <w:szCs w:val="14"/>
                <w:color w:val="auto"/>
              </w:rPr>
            </w:pPr>
          </w:p>
        </w:tc>
        <w:tc>
          <w:tcPr>
            <w:tcW w:w="3640" w:type="dxa"/>
            <w:vAlign w:val="bottom"/>
            <w:tcBorders>
              <w:right w:val="single" w:sz="8" w:color="auto"/>
            </w:tcBorders>
            <w:gridSpan w:val="5"/>
          </w:tcPr>
          <w:p>
            <w:pPr>
              <w:ind w:left="520"/>
              <w:spacing w:after="0"/>
              <w:rPr>
                <w:sz w:val="20"/>
                <w:szCs w:val="20"/>
                <w:color w:val="auto"/>
              </w:rPr>
            </w:pPr>
            <w:r>
              <w:rPr>
                <w:rFonts w:ascii="Georgia" w:cs="Georgia" w:eastAsia="Georgia" w:hAnsi="Georgia"/>
                <w:sz w:val="14"/>
                <w:szCs w:val="14"/>
                <w:color w:val="auto"/>
              </w:rPr>
              <w:t>starting level, but greater than or equal to the</w:t>
            </w:r>
          </w:p>
        </w:tc>
        <w:tc>
          <w:tcPr>
            <w:tcW w:w="0" w:type="dxa"/>
            <w:vAlign w:val="bottom"/>
          </w:tcPr>
          <w:p>
            <w:pPr>
              <w:spacing w:after="0"/>
              <w:rPr>
                <w:sz w:val="1"/>
                <w:szCs w:val="1"/>
                <w:color w:val="auto"/>
              </w:rPr>
            </w:pPr>
          </w:p>
        </w:tc>
      </w:tr>
      <w:tr>
        <w:trPr>
          <w:trHeight w:val="162"/>
        </w:trPr>
        <w:tc>
          <w:tcPr>
            <w:tcW w:w="1920" w:type="dxa"/>
            <w:vAlign w:val="bottom"/>
            <w:tcBorders>
              <w:left w:val="single" w:sz="8" w:color="auto"/>
              <w:right w:val="single" w:sz="8" w:color="auto"/>
            </w:tcBorders>
          </w:tcPr>
          <w:p>
            <w:pPr>
              <w:spacing w:after="0"/>
              <w:rPr>
                <w:sz w:val="14"/>
                <w:szCs w:val="14"/>
                <w:color w:val="auto"/>
              </w:rPr>
            </w:pPr>
          </w:p>
        </w:tc>
        <w:tc>
          <w:tcPr>
            <w:tcW w:w="3640" w:type="dxa"/>
            <w:vAlign w:val="bottom"/>
            <w:tcBorders>
              <w:right w:val="single" w:sz="8" w:color="auto"/>
            </w:tcBorders>
            <w:gridSpan w:val="5"/>
          </w:tcPr>
          <w:p>
            <w:pPr>
              <w:ind w:left="520"/>
              <w:spacing w:after="0"/>
              <w:rPr>
                <w:sz w:val="20"/>
                <w:szCs w:val="20"/>
                <w:color w:val="auto"/>
              </w:rPr>
            </w:pPr>
            <w:r>
              <w:rPr>
                <w:rFonts w:ascii="Georgia" w:cs="Georgia" w:eastAsia="Georgia" w:hAnsi="Georgia"/>
                <w:sz w:val="14"/>
                <w:szCs w:val="14"/>
                <w:color w:val="auto"/>
              </w:rPr>
              <w:t>threshold level: $1,000; or</w:t>
            </w:r>
          </w:p>
        </w:tc>
        <w:tc>
          <w:tcPr>
            <w:tcW w:w="0" w:type="dxa"/>
            <w:vAlign w:val="bottom"/>
          </w:tcPr>
          <w:p>
            <w:pPr>
              <w:spacing w:after="0"/>
              <w:rPr>
                <w:sz w:val="1"/>
                <w:szCs w:val="1"/>
                <w:color w:val="auto"/>
              </w:rPr>
            </w:pPr>
          </w:p>
        </w:tc>
      </w:tr>
      <w:tr>
        <w:trPr>
          <w:trHeight w:val="175"/>
        </w:trPr>
        <w:tc>
          <w:tcPr>
            <w:tcW w:w="1920" w:type="dxa"/>
            <w:vAlign w:val="bottom"/>
            <w:tcBorders>
              <w:left w:val="single" w:sz="8" w:color="auto"/>
              <w:right w:val="single" w:sz="8" w:color="auto"/>
            </w:tcBorders>
          </w:tcPr>
          <w:p>
            <w:pPr>
              <w:spacing w:after="0"/>
              <w:rPr>
                <w:sz w:val="15"/>
                <w:szCs w:val="15"/>
                <w:color w:val="auto"/>
              </w:rPr>
            </w:pPr>
          </w:p>
        </w:tc>
        <w:tc>
          <w:tcPr>
            <w:tcW w:w="3640" w:type="dxa"/>
            <w:vAlign w:val="bottom"/>
            <w:tcBorders>
              <w:right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 xml:space="preserve">·   </w:t>
            </w:r>
            <w:r>
              <w:rPr>
                <w:rFonts w:ascii="Georgia" w:cs="Georgia" w:eastAsia="Georgia" w:hAnsi="Georgia"/>
                <w:sz w:val="14"/>
                <w:szCs w:val="14"/>
                <w:color w:val="auto"/>
              </w:rPr>
              <w:t>if the ending level is less than the threshold</w:t>
            </w:r>
          </w:p>
        </w:tc>
        <w:tc>
          <w:tcPr>
            <w:tcW w:w="0" w:type="dxa"/>
            <w:vAlign w:val="bottom"/>
          </w:tcPr>
          <w:p>
            <w:pPr>
              <w:spacing w:after="0"/>
              <w:rPr>
                <w:sz w:val="1"/>
                <w:szCs w:val="1"/>
                <w:color w:val="auto"/>
              </w:rPr>
            </w:pPr>
          </w:p>
        </w:tc>
      </w:tr>
      <w:tr>
        <w:trPr>
          <w:trHeight w:val="162"/>
        </w:trPr>
        <w:tc>
          <w:tcPr>
            <w:tcW w:w="1920" w:type="dxa"/>
            <w:vAlign w:val="bottom"/>
            <w:tcBorders>
              <w:left w:val="single" w:sz="8" w:color="auto"/>
              <w:right w:val="single" w:sz="8" w:color="auto"/>
            </w:tcBorders>
          </w:tcPr>
          <w:p>
            <w:pPr>
              <w:spacing w:after="0"/>
              <w:rPr>
                <w:sz w:val="14"/>
                <w:szCs w:val="14"/>
                <w:color w:val="auto"/>
              </w:rPr>
            </w:pPr>
          </w:p>
        </w:tc>
        <w:tc>
          <w:tcPr>
            <w:tcW w:w="3640" w:type="dxa"/>
            <w:vAlign w:val="bottom"/>
            <w:tcBorders>
              <w:right w:val="single" w:sz="8" w:color="auto"/>
            </w:tcBorders>
            <w:gridSpan w:val="5"/>
          </w:tcPr>
          <w:p>
            <w:pPr>
              <w:ind w:left="520"/>
              <w:spacing w:after="0"/>
              <w:rPr>
                <w:sz w:val="20"/>
                <w:szCs w:val="20"/>
                <w:color w:val="auto"/>
              </w:rPr>
            </w:pPr>
            <w:r>
              <w:rPr>
                <w:rFonts w:ascii="Georgia" w:cs="Georgia" w:eastAsia="Georgia" w:hAnsi="Georgia"/>
                <w:sz w:val="14"/>
                <w:szCs w:val="14"/>
                <w:color w:val="auto"/>
              </w:rPr>
              <w:t>level:</w:t>
            </w:r>
          </w:p>
        </w:tc>
        <w:tc>
          <w:tcPr>
            <w:tcW w:w="0" w:type="dxa"/>
            <w:vAlign w:val="bottom"/>
          </w:tcPr>
          <w:p>
            <w:pPr>
              <w:spacing w:after="0"/>
              <w:rPr>
                <w:sz w:val="1"/>
                <w:szCs w:val="1"/>
                <w:color w:val="auto"/>
              </w:rPr>
            </w:pPr>
          </w:p>
        </w:tc>
      </w:tr>
      <w:tr>
        <w:trPr>
          <w:trHeight w:val="162"/>
        </w:trPr>
        <w:tc>
          <w:tcPr>
            <w:tcW w:w="1920" w:type="dxa"/>
            <w:vAlign w:val="bottom"/>
            <w:tcBorders>
              <w:left w:val="single" w:sz="8" w:color="auto"/>
              <w:right w:val="single" w:sz="8" w:color="auto"/>
            </w:tcBorders>
          </w:tcPr>
          <w:p>
            <w:pPr>
              <w:spacing w:after="0"/>
              <w:rPr>
                <w:sz w:val="14"/>
                <w:szCs w:val="14"/>
                <w:color w:val="auto"/>
              </w:rPr>
            </w:pPr>
          </w:p>
        </w:tc>
        <w:tc>
          <w:tcPr>
            <w:tcW w:w="3640" w:type="dxa"/>
            <w:vAlign w:val="bottom"/>
            <w:tcBorders>
              <w:right w:val="single" w:sz="8" w:color="auto"/>
            </w:tcBorders>
            <w:gridSpan w:val="5"/>
          </w:tcPr>
          <w:p>
            <w:pPr>
              <w:ind w:left="80"/>
              <w:spacing w:after="0"/>
              <w:rPr>
                <w:sz w:val="20"/>
                <w:szCs w:val="20"/>
                <w:color w:val="auto"/>
              </w:rPr>
            </w:pPr>
            <w:r>
              <w:rPr>
                <w:rFonts w:ascii="Georgia" w:cs="Georgia" w:eastAsia="Georgia" w:hAnsi="Georgia"/>
                <w:sz w:val="14"/>
                <w:szCs w:val="14"/>
                <w:color w:val="auto"/>
              </w:rPr>
              <w:t>$1,000 + ($1,000 × index return)</w:t>
            </w:r>
          </w:p>
        </w:tc>
        <w:tc>
          <w:tcPr>
            <w:tcW w:w="0" w:type="dxa"/>
            <w:vAlign w:val="bottom"/>
          </w:tcPr>
          <w:p>
            <w:pPr>
              <w:spacing w:after="0"/>
              <w:rPr>
                <w:sz w:val="1"/>
                <w:szCs w:val="1"/>
                <w:color w:val="auto"/>
              </w:rPr>
            </w:pPr>
          </w:p>
        </w:tc>
      </w:tr>
      <w:tr>
        <w:trPr>
          <w:trHeight w:val="321"/>
        </w:trPr>
        <w:tc>
          <w:tcPr>
            <w:tcW w:w="192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920" w:type="dxa"/>
            <w:vAlign w:val="bottom"/>
            <w:tcBorders>
              <w:left w:val="single" w:sz="8" w:color="auto"/>
              <w:bottom w:val="single" w:sz="8" w:color="auto"/>
              <w:right w:val="single" w:sz="8" w:color="auto"/>
            </w:tcBorders>
          </w:tcPr>
          <w:p>
            <w:pPr>
              <w:ind w:left="120"/>
              <w:spacing w:after="0" w:line="156" w:lineRule="exact"/>
              <w:rPr>
                <w:sz w:val="20"/>
                <w:szCs w:val="20"/>
                <w:color w:val="auto"/>
              </w:rPr>
            </w:pPr>
            <w:r>
              <w:rPr>
                <w:rFonts w:ascii="Georgia" w:cs="Georgia" w:eastAsia="Georgia" w:hAnsi="Georgia"/>
                <w:sz w:val="14"/>
                <w:szCs w:val="14"/>
                <w:color w:val="auto"/>
              </w:rPr>
              <w:t>Starting Level:</w:t>
            </w:r>
          </w:p>
        </w:tc>
        <w:tc>
          <w:tcPr>
            <w:tcW w:w="3640" w:type="dxa"/>
            <w:vAlign w:val="bottom"/>
            <w:tcBorders>
              <w:bottom w:val="single" w:sz="8" w:color="auto"/>
              <w:right w:val="single" w:sz="8" w:color="auto"/>
            </w:tcBorders>
            <w:gridSpan w:val="5"/>
          </w:tcPr>
          <w:p>
            <w:pPr>
              <w:ind w:left="80"/>
              <w:spacing w:after="0" w:line="156" w:lineRule="exact"/>
              <w:rPr>
                <w:sz w:val="20"/>
                <w:szCs w:val="20"/>
                <w:color w:val="auto"/>
              </w:rPr>
            </w:pPr>
            <w:r>
              <w:rPr>
                <w:rFonts w:ascii="Georgia" w:cs="Georgia" w:eastAsia="Georgia" w:hAnsi="Georgia"/>
                <w:sz w:val="14"/>
                <w:szCs w:val="14"/>
                <w:color w:val="auto"/>
              </w:rPr>
              <w:t>The closing level of the Index on the pricing date</w:t>
            </w:r>
          </w:p>
        </w:tc>
        <w:tc>
          <w:tcPr>
            <w:tcW w:w="0" w:type="dxa"/>
            <w:vAlign w:val="bottom"/>
          </w:tcPr>
          <w:p>
            <w:pPr>
              <w:spacing w:after="0"/>
              <w:rPr>
                <w:sz w:val="1"/>
                <w:szCs w:val="1"/>
                <w:color w:val="auto"/>
              </w:rPr>
            </w:pPr>
          </w:p>
        </w:tc>
      </w:tr>
      <w:tr>
        <w:trPr>
          <w:trHeight w:val="155"/>
        </w:trPr>
        <w:tc>
          <w:tcPr>
            <w:tcW w:w="1920" w:type="dxa"/>
            <w:vAlign w:val="bottom"/>
            <w:tcBorders>
              <w:left w:val="single" w:sz="8" w:color="auto"/>
              <w:bottom w:val="single" w:sz="8" w:color="auto"/>
              <w:right w:val="single" w:sz="8" w:color="auto"/>
            </w:tcBorders>
          </w:tcPr>
          <w:p>
            <w:pPr>
              <w:ind w:left="120"/>
              <w:spacing w:after="0" w:line="156" w:lineRule="exact"/>
              <w:rPr>
                <w:sz w:val="20"/>
                <w:szCs w:val="20"/>
                <w:color w:val="auto"/>
              </w:rPr>
            </w:pPr>
            <w:r>
              <w:rPr>
                <w:rFonts w:ascii="Georgia" w:cs="Georgia" w:eastAsia="Georgia" w:hAnsi="Georgia"/>
                <w:sz w:val="14"/>
                <w:szCs w:val="14"/>
                <w:color w:val="auto"/>
              </w:rPr>
              <w:t>Ending Level:</w:t>
            </w:r>
          </w:p>
        </w:tc>
        <w:tc>
          <w:tcPr>
            <w:tcW w:w="3640" w:type="dxa"/>
            <w:vAlign w:val="bottom"/>
            <w:tcBorders>
              <w:bottom w:val="single" w:sz="8" w:color="auto"/>
              <w:right w:val="single" w:sz="8" w:color="auto"/>
            </w:tcBorders>
            <w:gridSpan w:val="5"/>
          </w:tcPr>
          <w:p>
            <w:pPr>
              <w:ind w:left="80"/>
              <w:spacing w:after="0" w:line="156" w:lineRule="exact"/>
              <w:rPr>
                <w:sz w:val="20"/>
                <w:szCs w:val="20"/>
                <w:color w:val="auto"/>
              </w:rPr>
            </w:pPr>
            <w:r>
              <w:rPr>
                <w:rFonts w:ascii="Georgia" w:cs="Georgia" w:eastAsia="Georgia" w:hAnsi="Georgia"/>
                <w:sz w:val="14"/>
                <w:szCs w:val="14"/>
                <w:color w:val="auto"/>
              </w:rPr>
              <w:t>The closing level of the Index on the calculation day</w:t>
            </w:r>
          </w:p>
        </w:tc>
        <w:tc>
          <w:tcPr>
            <w:tcW w:w="0" w:type="dxa"/>
            <w:vAlign w:val="bottom"/>
          </w:tcPr>
          <w:p>
            <w:pPr>
              <w:spacing w:after="0"/>
              <w:rPr>
                <w:sz w:val="1"/>
                <w:szCs w:val="1"/>
                <w:color w:val="auto"/>
              </w:rPr>
            </w:pPr>
          </w:p>
        </w:tc>
      </w:tr>
      <w:tr>
        <w:trPr>
          <w:trHeight w:val="159"/>
        </w:trPr>
        <w:tc>
          <w:tcPr>
            <w:tcW w:w="192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Upside Participation Rate:</w:t>
            </w:r>
          </w:p>
        </w:tc>
        <w:tc>
          <w:tcPr>
            <w:tcW w:w="3640" w:type="dxa"/>
            <w:vAlign w:val="bottom"/>
            <w:tcBorders>
              <w:right w:val="single" w:sz="8" w:color="auto"/>
            </w:tcBorders>
            <w:gridSpan w:val="5"/>
          </w:tcPr>
          <w:p>
            <w:pPr>
              <w:ind w:left="80"/>
              <w:spacing w:after="0"/>
              <w:rPr>
                <w:sz w:val="20"/>
                <w:szCs w:val="20"/>
                <w:color w:val="auto"/>
              </w:rPr>
            </w:pPr>
            <w:r>
              <w:rPr>
                <w:rFonts w:ascii="Georgia" w:cs="Georgia" w:eastAsia="Georgia" w:hAnsi="Georgia"/>
                <w:sz w:val="14"/>
                <w:szCs w:val="14"/>
                <w:color w:val="auto"/>
              </w:rPr>
              <w:t>At least 218.60% (to be provided in the pricing</w:t>
            </w:r>
          </w:p>
        </w:tc>
        <w:tc>
          <w:tcPr>
            <w:tcW w:w="0" w:type="dxa"/>
            <w:vAlign w:val="bottom"/>
          </w:tcPr>
          <w:p>
            <w:pPr>
              <w:spacing w:after="0"/>
              <w:rPr>
                <w:sz w:val="1"/>
                <w:szCs w:val="1"/>
                <w:color w:val="auto"/>
              </w:rPr>
            </w:pPr>
          </w:p>
        </w:tc>
      </w:tr>
      <w:tr>
        <w:trPr>
          <w:trHeight w:val="159"/>
        </w:trPr>
        <w:tc>
          <w:tcPr>
            <w:tcW w:w="1920" w:type="dxa"/>
            <w:vAlign w:val="bottom"/>
            <w:tcBorders>
              <w:left w:val="single" w:sz="8" w:color="auto"/>
              <w:bottom w:val="single" w:sz="8" w:color="auto"/>
              <w:right w:val="single" w:sz="8" w:color="auto"/>
            </w:tcBorders>
          </w:tcPr>
          <w:p>
            <w:pPr>
              <w:spacing w:after="0"/>
              <w:rPr>
                <w:sz w:val="13"/>
                <w:szCs w:val="13"/>
                <w:color w:val="auto"/>
              </w:rPr>
            </w:pPr>
          </w:p>
        </w:tc>
        <w:tc>
          <w:tcPr>
            <w:tcW w:w="3640" w:type="dxa"/>
            <w:vAlign w:val="bottom"/>
            <w:tcBorders>
              <w:bottom w:val="single" w:sz="8" w:color="auto"/>
              <w:right w:val="single" w:sz="8" w:color="auto"/>
            </w:tcBorders>
            <w:gridSpan w:val="5"/>
          </w:tcPr>
          <w:p>
            <w:pPr>
              <w:ind w:left="80"/>
              <w:spacing w:after="0"/>
              <w:rPr>
                <w:sz w:val="20"/>
                <w:szCs w:val="20"/>
                <w:color w:val="auto"/>
              </w:rPr>
            </w:pPr>
            <w:r>
              <w:rPr>
                <w:rFonts w:ascii="Georgia" w:cs="Georgia" w:eastAsia="Georgia" w:hAnsi="Georgia"/>
                <w:sz w:val="14"/>
                <w:szCs w:val="14"/>
                <w:color w:val="auto"/>
              </w:rPr>
              <w:t>supplement)</w:t>
            </w:r>
          </w:p>
        </w:tc>
        <w:tc>
          <w:tcPr>
            <w:tcW w:w="0" w:type="dxa"/>
            <w:vAlign w:val="bottom"/>
          </w:tcPr>
          <w:p>
            <w:pPr>
              <w:spacing w:after="0"/>
              <w:rPr>
                <w:sz w:val="1"/>
                <w:szCs w:val="1"/>
                <w:color w:val="auto"/>
              </w:rPr>
            </w:pPr>
          </w:p>
        </w:tc>
      </w:tr>
      <w:tr>
        <w:trPr>
          <w:trHeight w:val="156"/>
        </w:trPr>
        <w:tc>
          <w:tcPr>
            <w:tcW w:w="1920" w:type="dxa"/>
            <w:vAlign w:val="bottom"/>
            <w:tcBorders>
              <w:left w:val="single" w:sz="8" w:color="auto"/>
              <w:bottom w:val="single" w:sz="8" w:color="auto"/>
              <w:right w:val="single" w:sz="8" w:color="auto"/>
            </w:tcBorders>
          </w:tcPr>
          <w:p>
            <w:pPr>
              <w:ind w:left="120"/>
              <w:spacing w:after="0" w:line="156" w:lineRule="exact"/>
              <w:rPr>
                <w:sz w:val="20"/>
                <w:szCs w:val="20"/>
                <w:color w:val="auto"/>
              </w:rPr>
            </w:pPr>
            <w:r>
              <w:rPr>
                <w:rFonts w:ascii="Georgia" w:cs="Georgia" w:eastAsia="Georgia" w:hAnsi="Georgia"/>
                <w:sz w:val="14"/>
                <w:szCs w:val="14"/>
                <w:color w:val="auto"/>
              </w:rPr>
              <w:t>Threshold Level:</w:t>
            </w:r>
          </w:p>
        </w:tc>
        <w:tc>
          <w:tcPr>
            <w:tcW w:w="3640" w:type="dxa"/>
            <w:vAlign w:val="bottom"/>
            <w:tcBorders>
              <w:bottom w:val="single" w:sz="8" w:color="auto"/>
              <w:right w:val="single" w:sz="8" w:color="auto"/>
            </w:tcBorders>
            <w:gridSpan w:val="5"/>
          </w:tcPr>
          <w:p>
            <w:pPr>
              <w:ind w:left="80"/>
              <w:spacing w:after="0" w:line="156" w:lineRule="exact"/>
              <w:rPr>
                <w:sz w:val="20"/>
                <w:szCs w:val="20"/>
                <w:color w:val="auto"/>
              </w:rPr>
            </w:pPr>
            <w:r>
              <w:rPr>
                <w:rFonts w:ascii="Georgia" w:cs="Georgia" w:eastAsia="Georgia" w:hAnsi="Georgia"/>
                <w:sz w:val="14"/>
                <w:szCs w:val="14"/>
                <w:color w:val="auto"/>
              </w:rPr>
              <w:t>75% of the starting level</w:t>
            </w:r>
          </w:p>
        </w:tc>
        <w:tc>
          <w:tcPr>
            <w:tcW w:w="0" w:type="dxa"/>
            <w:vAlign w:val="bottom"/>
          </w:tcPr>
          <w:p>
            <w:pPr>
              <w:spacing w:after="0"/>
              <w:rPr>
                <w:sz w:val="1"/>
                <w:szCs w:val="1"/>
                <w:color w:val="auto"/>
              </w:rPr>
            </w:pPr>
          </w:p>
        </w:tc>
      </w:tr>
      <w:tr>
        <w:trPr>
          <w:trHeight w:val="155"/>
        </w:trPr>
        <w:tc>
          <w:tcPr>
            <w:tcW w:w="1920" w:type="dxa"/>
            <w:vAlign w:val="bottom"/>
            <w:tcBorders>
              <w:left w:val="single" w:sz="8" w:color="auto"/>
              <w:bottom w:val="single" w:sz="8" w:color="auto"/>
              <w:right w:val="single" w:sz="8" w:color="auto"/>
            </w:tcBorders>
          </w:tcPr>
          <w:p>
            <w:pPr>
              <w:ind w:left="120"/>
              <w:spacing w:after="0" w:line="156" w:lineRule="exact"/>
              <w:rPr>
                <w:sz w:val="20"/>
                <w:szCs w:val="20"/>
                <w:color w:val="auto"/>
              </w:rPr>
            </w:pPr>
            <w:r>
              <w:rPr>
                <w:rFonts w:ascii="Georgia" w:cs="Georgia" w:eastAsia="Georgia" w:hAnsi="Georgia"/>
                <w:sz w:val="14"/>
                <w:szCs w:val="14"/>
                <w:color w:val="auto"/>
              </w:rPr>
              <w:t>Index Return:</w:t>
            </w:r>
          </w:p>
        </w:tc>
        <w:tc>
          <w:tcPr>
            <w:tcW w:w="3640" w:type="dxa"/>
            <w:vAlign w:val="bottom"/>
            <w:tcBorders>
              <w:bottom w:val="single" w:sz="8" w:color="auto"/>
              <w:right w:val="single" w:sz="8" w:color="auto"/>
            </w:tcBorders>
            <w:gridSpan w:val="5"/>
          </w:tcPr>
          <w:p>
            <w:pPr>
              <w:ind w:left="80"/>
              <w:spacing w:after="0" w:line="156" w:lineRule="exact"/>
              <w:rPr>
                <w:sz w:val="20"/>
                <w:szCs w:val="20"/>
                <w:color w:val="auto"/>
              </w:rPr>
            </w:pPr>
            <w:r>
              <w:rPr>
                <w:rFonts w:ascii="Georgia" w:cs="Georgia" w:eastAsia="Georgia" w:hAnsi="Georgia"/>
                <w:sz w:val="14"/>
                <w:szCs w:val="14"/>
                <w:color w:val="auto"/>
              </w:rPr>
              <w:t>(ending level – starting level) / starting level</w:t>
            </w:r>
          </w:p>
        </w:tc>
        <w:tc>
          <w:tcPr>
            <w:tcW w:w="0" w:type="dxa"/>
            <w:vAlign w:val="bottom"/>
          </w:tcPr>
          <w:p>
            <w:pPr>
              <w:spacing w:after="0"/>
              <w:rPr>
                <w:sz w:val="1"/>
                <w:szCs w:val="1"/>
                <w:color w:val="auto"/>
              </w:rPr>
            </w:pPr>
          </w:p>
        </w:tc>
      </w:tr>
      <w:tr>
        <w:trPr>
          <w:trHeight w:val="149"/>
        </w:trPr>
        <w:tc>
          <w:tcPr>
            <w:tcW w:w="192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Georgia" w:cs="Georgia" w:eastAsia="Georgia" w:hAnsi="Georgia"/>
                <w:sz w:val="14"/>
                <w:szCs w:val="14"/>
                <w:color w:val="auto"/>
              </w:rPr>
              <w:t>Calculation Agent:</w:t>
            </w:r>
          </w:p>
        </w:tc>
        <w:tc>
          <w:tcPr>
            <w:tcW w:w="3640" w:type="dxa"/>
            <w:vAlign w:val="bottom"/>
            <w:tcBorders>
              <w:bottom w:val="single" w:sz="8" w:color="auto"/>
              <w:right w:val="single" w:sz="8" w:color="auto"/>
            </w:tcBorders>
            <w:gridSpan w:val="5"/>
          </w:tcPr>
          <w:p>
            <w:pPr>
              <w:ind w:left="80"/>
              <w:spacing w:after="0" w:line="142" w:lineRule="exact"/>
              <w:rPr>
                <w:sz w:val="20"/>
                <w:szCs w:val="20"/>
                <w:color w:val="auto"/>
              </w:rPr>
            </w:pPr>
            <w:r>
              <w:rPr>
                <w:rFonts w:ascii="Georgia" w:cs="Georgia" w:eastAsia="Georgia" w:hAnsi="Georgia"/>
                <w:sz w:val="14"/>
                <w:szCs w:val="14"/>
                <w:color w:val="auto"/>
              </w:rPr>
              <w:t>J.P. Morgan Securities LLC (“JPMS”)</w:t>
            </w:r>
          </w:p>
        </w:tc>
        <w:tc>
          <w:tcPr>
            <w:tcW w:w="0" w:type="dxa"/>
            <w:vAlign w:val="bottom"/>
          </w:tcPr>
          <w:p>
            <w:pPr>
              <w:spacing w:after="0"/>
              <w:rPr>
                <w:sz w:val="1"/>
                <w:szCs w:val="1"/>
                <w:color w:val="auto"/>
              </w:rPr>
            </w:pPr>
          </w:p>
        </w:tc>
      </w:tr>
      <w:tr>
        <w:trPr>
          <w:trHeight w:val="162"/>
        </w:trPr>
        <w:tc>
          <w:tcPr>
            <w:tcW w:w="1920" w:type="dxa"/>
            <w:vAlign w:val="bottom"/>
            <w:tcBorders>
              <w:left w:val="single" w:sz="8" w:color="auto"/>
              <w:bottom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Denominations:</w:t>
            </w:r>
          </w:p>
        </w:tc>
        <w:tc>
          <w:tcPr>
            <w:tcW w:w="3640" w:type="dxa"/>
            <w:vAlign w:val="bottom"/>
            <w:tcBorders>
              <w:bottom w:val="single" w:sz="8" w:color="auto"/>
              <w:right w:val="single" w:sz="8" w:color="auto"/>
            </w:tcBorders>
            <w:gridSpan w:val="5"/>
          </w:tcPr>
          <w:p>
            <w:pPr>
              <w:ind w:left="80"/>
              <w:spacing w:after="0"/>
              <w:rPr>
                <w:sz w:val="20"/>
                <w:szCs w:val="20"/>
                <w:color w:val="auto"/>
              </w:rPr>
            </w:pPr>
            <w:r>
              <w:rPr>
                <w:rFonts w:ascii="Georgia" w:cs="Georgia" w:eastAsia="Georgia" w:hAnsi="Georgia"/>
                <w:sz w:val="14"/>
                <w:szCs w:val="14"/>
                <w:color w:val="auto"/>
              </w:rPr>
              <w:t>$1,000 and any integral multiple of $1,000</w:t>
            </w:r>
          </w:p>
        </w:tc>
        <w:tc>
          <w:tcPr>
            <w:tcW w:w="0" w:type="dxa"/>
            <w:vAlign w:val="bottom"/>
          </w:tcPr>
          <w:p>
            <w:pPr>
              <w:spacing w:after="0"/>
              <w:rPr>
                <w:sz w:val="1"/>
                <w:szCs w:val="1"/>
                <w:color w:val="auto"/>
              </w:rPr>
            </w:pPr>
          </w:p>
        </w:tc>
      </w:tr>
      <w:tr>
        <w:trPr>
          <w:trHeight w:val="155"/>
        </w:trPr>
        <w:tc>
          <w:tcPr>
            <w:tcW w:w="1920" w:type="dxa"/>
            <w:vAlign w:val="bottom"/>
            <w:tcBorders>
              <w:left w:val="single" w:sz="8" w:color="auto"/>
              <w:bottom w:val="single" w:sz="8" w:color="auto"/>
              <w:right w:val="single" w:sz="8" w:color="auto"/>
            </w:tcBorders>
          </w:tcPr>
          <w:p>
            <w:pPr>
              <w:ind w:left="120"/>
              <w:spacing w:after="0" w:line="156" w:lineRule="exact"/>
              <w:rPr>
                <w:sz w:val="20"/>
                <w:szCs w:val="20"/>
                <w:color w:val="auto"/>
              </w:rPr>
            </w:pPr>
            <w:r>
              <w:rPr>
                <w:rFonts w:ascii="Georgia" w:cs="Georgia" w:eastAsia="Georgia" w:hAnsi="Georgia"/>
                <w:sz w:val="14"/>
                <w:szCs w:val="14"/>
                <w:color w:val="auto"/>
              </w:rPr>
              <w:t>CUSIP:</w:t>
            </w:r>
          </w:p>
        </w:tc>
        <w:tc>
          <w:tcPr>
            <w:tcW w:w="3640" w:type="dxa"/>
            <w:vAlign w:val="bottom"/>
            <w:tcBorders>
              <w:bottom w:val="single" w:sz="8" w:color="auto"/>
              <w:right w:val="single" w:sz="8" w:color="auto"/>
            </w:tcBorders>
            <w:gridSpan w:val="5"/>
          </w:tcPr>
          <w:p>
            <w:pPr>
              <w:ind w:left="80"/>
              <w:spacing w:after="0" w:line="156" w:lineRule="exact"/>
              <w:rPr>
                <w:sz w:val="20"/>
                <w:szCs w:val="20"/>
                <w:color w:val="auto"/>
              </w:rPr>
            </w:pPr>
            <w:r>
              <w:rPr>
                <w:rFonts w:ascii="Georgia" w:cs="Georgia" w:eastAsia="Georgia" w:hAnsi="Georgia"/>
                <w:sz w:val="14"/>
                <w:szCs w:val="14"/>
                <w:color w:val="auto"/>
              </w:rPr>
              <w:t>46661Q5F8</w:t>
            </w:r>
          </w:p>
        </w:tc>
        <w:tc>
          <w:tcPr>
            <w:tcW w:w="0" w:type="dxa"/>
            <w:vAlign w:val="bottom"/>
          </w:tcPr>
          <w:p>
            <w:pPr>
              <w:spacing w:after="0"/>
              <w:rPr>
                <w:sz w:val="1"/>
                <w:szCs w:val="1"/>
                <w:color w:val="auto"/>
              </w:rPr>
            </w:pPr>
          </w:p>
        </w:tc>
      </w:tr>
      <w:tr>
        <w:trPr>
          <w:trHeight w:val="142"/>
        </w:trPr>
        <w:tc>
          <w:tcPr>
            <w:tcW w:w="1920" w:type="dxa"/>
            <w:vAlign w:val="bottom"/>
            <w:tcBorders>
              <w:left w:val="single" w:sz="8" w:color="auto"/>
              <w:right w:val="single" w:sz="8" w:color="auto"/>
            </w:tcBorders>
          </w:tcPr>
          <w:p>
            <w:pPr>
              <w:ind w:left="120"/>
              <w:spacing w:after="0" w:line="142" w:lineRule="exact"/>
              <w:rPr>
                <w:sz w:val="20"/>
                <w:szCs w:val="20"/>
                <w:color w:val="auto"/>
              </w:rPr>
            </w:pPr>
            <w:r>
              <w:rPr>
                <w:rFonts w:ascii="Georgia" w:cs="Georgia" w:eastAsia="Georgia" w:hAnsi="Georgia"/>
                <w:sz w:val="14"/>
                <w:szCs w:val="14"/>
                <w:color w:val="auto"/>
              </w:rPr>
              <w:t>Fees and Commissions:</w:t>
            </w:r>
          </w:p>
        </w:tc>
        <w:tc>
          <w:tcPr>
            <w:tcW w:w="3640" w:type="dxa"/>
            <w:vAlign w:val="bottom"/>
            <w:tcBorders>
              <w:right w:val="single" w:sz="8" w:color="auto"/>
            </w:tcBorders>
            <w:gridSpan w:val="5"/>
          </w:tcPr>
          <w:p>
            <w:pPr>
              <w:ind w:left="80"/>
              <w:spacing w:after="0" w:line="142" w:lineRule="exact"/>
              <w:rPr>
                <w:sz w:val="20"/>
                <w:szCs w:val="20"/>
                <w:color w:val="auto"/>
              </w:rPr>
            </w:pPr>
            <w:r>
              <w:rPr>
                <w:rFonts w:ascii="Georgia" w:cs="Georgia" w:eastAsia="Georgia" w:hAnsi="Georgia"/>
                <w:sz w:val="14"/>
                <w:szCs w:val="14"/>
                <w:color w:val="auto"/>
              </w:rPr>
              <w:t>Up to 4.37% for Wells Fargo Securities, LLC (“WFS”);</w:t>
            </w:r>
          </w:p>
        </w:tc>
        <w:tc>
          <w:tcPr>
            <w:tcW w:w="0" w:type="dxa"/>
            <w:vAlign w:val="bottom"/>
          </w:tcPr>
          <w:p>
            <w:pPr>
              <w:spacing w:after="0"/>
              <w:rPr>
                <w:sz w:val="1"/>
                <w:szCs w:val="1"/>
                <w:color w:val="auto"/>
              </w:rPr>
            </w:pPr>
          </w:p>
        </w:tc>
      </w:tr>
      <w:tr>
        <w:trPr>
          <w:trHeight w:val="20"/>
        </w:trPr>
        <w:tc>
          <w:tcPr>
            <w:tcW w:w="1920" w:type="dxa"/>
            <w:vAlign w:val="bottom"/>
            <w:tcBorders>
              <w:left w:val="single" w:sz="8" w:color="auto"/>
              <w:right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1920" w:type="dxa"/>
            <w:vAlign w:val="bottom"/>
            <w:tcBorders>
              <w:left w:val="single" w:sz="8" w:color="auto"/>
              <w:right w:val="single" w:sz="8" w:color="auto"/>
            </w:tcBorders>
          </w:tcPr>
          <w:p>
            <w:pPr>
              <w:spacing w:after="0"/>
              <w:rPr>
                <w:sz w:val="13"/>
                <w:szCs w:val="13"/>
                <w:color w:val="auto"/>
              </w:rPr>
            </w:pPr>
          </w:p>
        </w:tc>
        <w:tc>
          <w:tcPr>
            <w:tcW w:w="3640" w:type="dxa"/>
            <w:vAlign w:val="bottom"/>
            <w:tcBorders>
              <w:right w:val="single" w:sz="8" w:color="auto"/>
            </w:tcBorders>
            <w:gridSpan w:val="5"/>
          </w:tcPr>
          <w:p>
            <w:pPr>
              <w:ind w:left="80"/>
              <w:spacing w:after="0"/>
              <w:rPr>
                <w:sz w:val="20"/>
                <w:szCs w:val="20"/>
                <w:color w:val="auto"/>
              </w:rPr>
            </w:pPr>
            <w:r>
              <w:rPr>
                <w:rFonts w:ascii="Georgia" w:cs="Georgia" w:eastAsia="Georgia" w:hAnsi="Georgia"/>
                <w:sz w:val="14"/>
                <w:szCs w:val="14"/>
                <w:color w:val="auto"/>
              </w:rPr>
              <w:t>WFS has advised us that dealers, including Wells</w:t>
            </w:r>
          </w:p>
        </w:tc>
        <w:tc>
          <w:tcPr>
            <w:tcW w:w="0" w:type="dxa"/>
            <w:vAlign w:val="bottom"/>
          </w:tcPr>
          <w:p>
            <w:pPr>
              <w:spacing w:after="0"/>
              <w:rPr>
                <w:sz w:val="1"/>
                <w:szCs w:val="1"/>
                <w:color w:val="auto"/>
              </w:rPr>
            </w:pPr>
          </w:p>
        </w:tc>
      </w:tr>
      <w:tr>
        <w:trPr>
          <w:trHeight w:val="146"/>
        </w:trPr>
        <w:tc>
          <w:tcPr>
            <w:tcW w:w="1920" w:type="dxa"/>
            <w:vAlign w:val="bottom"/>
            <w:tcBorders>
              <w:left w:val="single" w:sz="8" w:color="auto"/>
              <w:right w:val="single" w:sz="8" w:color="auto"/>
            </w:tcBorders>
          </w:tcPr>
          <w:p>
            <w:pPr>
              <w:spacing w:after="0"/>
              <w:rPr>
                <w:sz w:val="12"/>
                <w:szCs w:val="12"/>
                <w:color w:val="auto"/>
              </w:rPr>
            </w:pPr>
          </w:p>
        </w:tc>
        <w:tc>
          <w:tcPr>
            <w:tcW w:w="3640" w:type="dxa"/>
            <w:vAlign w:val="bottom"/>
            <w:tcBorders>
              <w:right w:val="single" w:sz="8" w:color="auto"/>
            </w:tcBorders>
            <w:gridSpan w:val="5"/>
          </w:tcPr>
          <w:p>
            <w:pPr>
              <w:ind w:left="80"/>
              <w:spacing w:after="0" w:line="146" w:lineRule="exact"/>
              <w:rPr>
                <w:sz w:val="20"/>
                <w:szCs w:val="20"/>
                <w:color w:val="auto"/>
              </w:rPr>
            </w:pPr>
            <w:r>
              <w:rPr>
                <w:rFonts w:ascii="Georgia" w:cs="Georgia" w:eastAsia="Georgia" w:hAnsi="Georgia"/>
                <w:sz w:val="14"/>
                <w:szCs w:val="14"/>
                <w:color w:val="auto"/>
              </w:rPr>
              <w:t>Fargo Advisors (“WFA”), may receive a selling</w:t>
            </w:r>
          </w:p>
        </w:tc>
        <w:tc>
          <w:tcPr>
            <w:tcW w:w="0" w:type="dxa"/>
            <w:vAlign w:val="bottom"/>
          </w:tcPr>
          <w:p>
            <w:pPr>
              <w:spacing w:after="0"/>
              <w:rPr>
                <w:sz w:val="1"/>
                <w:szCs w:val="1"/>
                <w:color w:val="auto"/>
              </w:rPr>
            </w:pPr>
          </w:p>
        </w:tc>
      </w:tr>
      <w:tr>
        <w:trPr>
          <w:trHeight w:val="20"/>
        </w:trPr>
        <w:tc>
          <w:tcPr>
            <w:tcW w:w="1920" w:type="dxa"/>
            <w:vAlign w:val="bottom"/>
            <w:tcBorders>
              <w:left w:val="single" w:sz="8" w:color="auto"/>
              <w:right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20" w:type="dxa"/>
            <w:vAlign w:val="bottom"/>
            <w:tcBorders>
              <w:right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1920" w:type="dxa"/>
            <w:vAlign w:val="bottom"/>
            <w:tcBorders>
              <w:left w:val="single" w:sz="8" w:color="auto"/>
              <w:right w:val="single" w:sz="8" w:color="auto"/>
            </w:tcBorders>
          </w:tcPr>
          <w:p>
            <w:pPr>
              <w:spacing w:after="0"/>
              <w:rPr>
                <w:sz w:val="13"/>
                <w:szCs w:val="13"/>
                <w:color w:val="auto"/>
              </w:rPr>
            </w:pPr>
          </w:p>
        </w:tc>
        <w:tc>
          <w:tcPr>
            <w:tcW w:w="3640" w:type="dxa"/>
            <w:vAlign w:val="bottom"/>
            <w:tcBorders>
              <w:right w:val="single" w:sz="8" w:color="auto"/>
            </w:tcBorders>
            <w:gridSpan w:val="5"/>
          </w:tcPr>
          <w:p>
            <w:pPr>
              <w:ind w:left="80"/>
              <w:spacing w:after="0"/>
              <w:rPr>
                <w:sz w:val="20"/>
                <w:szCs w:val="20"/>
                <w:color w:val="auto"/>
              </w:rPr>
            </w:pPr>
            <w:r>
              <w:rPr>
                <w:rFonts w:ascii="Georgia" w:cs="Georgia" w:eastAsia="Georgia" w:hAnsi="Georgia"/>
                <w:sz w:val="14"/>
                <w:szCs w:val="14"/>
                <w:color w:val="auto"/>
              </w:rPr>
              <w:t>concession of 3.50%, and WFA may also receive a</w:t>
            </w:r>
          </w:p>
        </w:tc>
        <w:tc>
          <w:tcPr>
            <w:tcW w:w="0" w:type="dxa"/>
            <w:vAlign w:val="bottom"/>
          </w:tcPr>
          <w:p>
            <w:pPr>
              <w:spacing w:after="0"/>
              <w:rPr>
                <w:sz w:val="1"/>
                <w:szCs w:val="1"/>
                <w:color w:val="auto"/>
              </w:rPr>
            </w:pPr>
          </w:p>
        </w:tc>
      </w:tr>
      <w:tr>
        <w:trPr>
          <w:trHeight w:val="162"/>
        </w:trPr>
        <w:tc>
          <w:tcPr>
            <w:tcW w:w="1920" w:type="dxa"/>
            <w:vAlign w:val="bottom"/>
            <w:tcBorders>
              <w:left w:val="single" w:sz="8" w:color="auto"/>
              <w:right w:val="single" w:sz="8" w:color="auto"/>
            </w:tcBorders>
          </w:tcPr>
          <w:p>
            <w:pPr>
              <w:spacing w:after="0"/>
              <w:rPr>
                <w:sz w:val="14"/>
                <w:szCs w:val="14"/>
                <w:color w:val="auto"/>
              </w:rPr>
            </w:pPr>
          </w:p>
        </w:tc>
        <w:tc>
          <w:tcPr>
            <w:tcW w:w="3640" w:type="dxa"/>
            <w:vAlign w:val="bottom"/>
            <w:tcBorders>
              <w:right w:val="single" w:sz="8" w:color="auto"/>
            </w:tcBorders>
            <w:gridSpan w:val="5"/>
          </w:tcPr>
          <w:p>
            <w:pPr>
              <w:ind w:left="80"/>
              <w:spacing w:after="0"/>
              <w:rPr>
                <w:sz w:val="20"/>
                <w:szCs w:val="20"/>
                <w:color w:val="auto"/>
              </w:rPr>
            </w:pPr>
            <w:r>
              <w:rPr>
                <w:rFonts w:ascii="Georgia" w:cs="Georgia" w:eastAsia="Georgia" w:hAnsi="Georgia"/>
                <w:sz w:val="14"/>
                <w:szCs w:val="14"/>
                <w:color w:val="auto"/>
              </w:rPr>
              <w:t>distribution expense fee of 0.12%. In addition, in</w:t>
            </w:r>
          </w:p>
        </w:tc>
        <w:tc>
          <w:tcPr>
            <w:tcW w:w="0" w:type="dxa"/>
            <w:vAlign w:val="bottom"/>
          </w:tcPr>
          <w:p>
            <w:pPr>
              <w:spacing w:after="0"/>
              <w:rPr>
                <w:sz w:val="1"/>
                <w:szCs w:val="1"/>
                <w:color w:val="auto"/>
              </w:rPr>
            </w:pPr>
          </w:p>
        </w:tc>
      </w:tr>
      <w:tr>
        <w:trPr>
          <w:trHeight w:val="162"/>
        </w:trPr>
        <w:tc>
          <w:tcPr>
            <w:tcW w:w="1920" w:type="dxa"/>
            <w:vAlign w:val="bottom"/>
            <w:tcBorders>
              <w:left w:val="single" w:sz="8" w:color="auto"/>
              <w:right w:val="single" w:sz="8" w:color="auto"/>
            </w:tcBorders>
          </w:tcPr>
          <w:p>
            <w:pPr>
              <w:spacing w:after="0"/>
              <w:rPr>
                <w:sz w:val="14"/>
                <w:szCs w:val="14"/>
                <w:color w:val="auto"/>
              </w:rPr>
            </w:pPr>
          </w:p>
        </w:tc>
        <w:tc>
          <w:tcPr>
            <w:tcW w:w="3640" w:type="dxa"/>
            <w:vAlign w:val="bottom"/>
            <w:tcBorders>
              <w:right w:val="single" w:sz="8" w:color="auto"/>
            </w:tcBorders>
            <w:gridSpan w:val="5"/>
          </w:tcPr>
          <w:p>
            <w:pPr>
              <w:ind w:left="80"/>
              <w:spacing w:after="0"/>
              <w:rPr>
                <w:sz w:val="20"/>
                <w:szCs w:val="20"/>
                <w:color w:val="auto"/>
              </w:rPr>
            </w:pPr>
            <w:r>
              <w:rPr>
                <w:rFonts w:ascii="Georgia" w:cs="Georgia" w:eastAsia="Georgia" w:hAnsi="Georgia"/>
                <w:sz w:val="14"/>
                <w:szCs w:val="14"/>
                <w:color w:val="auto"/>
              </w:rPr>
              <w:t>respect of certain securities sold in this offering,</w:t>
            </w:r>
          </w:p>
        </w:tc>
        <w:tc>
          <w:tcPr>
            <w:tcW w:w="0" w:type="dxa"/>
            <w:vAlign w:val="bottom"/>
          </w:tcPr>
          <w:p>
            <w:pPr>
              <w:spacing w:after="0"/>
              <w:rPr>
                <w:sz w:val="1"/>
                <w:szCs w:val="1"/>
                <w:color w:val="auto"/>
              </w:rPr>
            </w:pPr>
          </w:p>
        </w:tc>
      </w:tr>
      <w:tr>
        <w:trPr>
          <w:trHeight w:val="162"/>
        </w:trPr>
        <w:tc>
          <w:tcPr>
            <w:tcW w:w="1920" w:type="dxa"/>
            <w:vAlign w:val="bottom"/>
            <w:tcBorders>
              <w:left w:val="single" w:sz="8" w:color="auto"/>
              <w:right w:val="single" w:sz="8" w:color="auto"/>
            </w:tcBorders>
          </w:tcPr>
          <w:p>
            <w:pPr>
              <w:spacing w:after="0"/>
              <w:rPr>
                <w:sz w:val="14"/>
                <w:szCs w:val="14"/>
                <w:color w:val="auto"/>
              </w:rPr>
            </w:pPr>
          </w:p>
        </w:tc>
        <w:tc>
          <w:tcPr>
            <w:tcW w:w="3640" w:type="dxa"/>
            <w:vAlign w:val="bottom"/>
            <w:tcBorders>
              <w:right w:val="single" w:sz="8" w:color="auto"/>
            </w:tcBorders>
            <w:gridSpan w:val="5"/>
          </w:tcPr>
          <w:p>
            <w:pPr>
              <w:ind w:left="80"/>
              <w:spacing w:after="0"/>
              <w:rPr>
                <w:sz w:val="20"/>
                <w:szCs w:val="20"/>
                <w:color w:val="auto"/>
              </w:rPr>
            </w:pPr>
            <w:r>
              <w:rPr>
                <w:rFonts w:ascii="Georgia" w:cs="Georgia" w:eastAsia="Georgia" w:hAnsi="Georgia"/>
                <w:sz w:val="14"/>
                <w:szCs w:val="14"/>
                <w:color w:val="auto"/>
              </w:rPr>
              <w:t>JPMS may pay a fee of up to 0.30% to selected dealers</w:t>
            </w:r>
          </w:p>
        </w:tc>
        <w:tc>
          <w:tcPr>
            <w:tcW w:w="0" w:type="dxa"/>
            <w:vAlign w:val="bottom"/>
          </w:tcPr>
          <w:p>
            <w:pPr>
              <w:spacing w:after="0"/>
              <w:rPr>
                <w:sz w:val="1"/>
                <w:szCs w:val="1"/>
                <w:color w:val="auto"/>
              </w:rPr>
            </w:pPr>
          </w:p>
        </w:tc>
      </w:tr>
      <w:tr>
        <w:trPr>
          <w:trHeight w:val="162"/>
        </w:trPr>
        <w:tc>
          <w:tcPr>
            <w:tcW w:w="1920" w:type="dxa"/>
            <w:vAlign w:val="bottom"/>
            <w:tcBorders>
              <w:left w:val="single" w:sz="8" w:color="auto"/>
              <w:right w:val="single" w:sz="8" w:color="auto"/>
            </w:tcBorders>
          </w:tcPr>
          <w:p>
            <w:pPr>
              <w:spacing w:after="0"/>
              <w:rPr>
                <w:sz w:val="14"/>
                <w:szCs w:val="14"/>
                <w:color w:val="auto"/>
              </w:rPr>
            </w:pPr>
          </w:p>
        </w:tc>
        <w:tc>
          <w:tcPr>
            <w:tcW w:w="3640" w:type="dxa"/>
            <w:vAlign w:val="bottom"/>
            <w:tcBorders>
              <w:right w:val="single" w:sz="8" w:color="auto"/>
            </w:tcBorders>
            <w:gridSpan w:val="5"/>
          </w:tcPr>
          <w:p>
            <w:pPr>
              <w:ind w:left="80"/>
              <w:spacing w:after="0"/>
              <w:rPr>
                <w:sz w:val="20"/>
                <w:szCs w:val="20"/>
                <w:color w:val="auto"/>
              </w:rPr>
            </w:pPr>
            <w:r>
              <w:rPr>
                <w:rFonts w:ascii="Georgia" w:cs="Georgia" w:eastAsia="Georgia" w:hAnsi="Georgia"/>
                <w:sz w:val="14"/>
                <w:szCs w:val="14"/>
                <w:color w:val="auto"/>
              </w:rPr>
              <w:t>in consideration for marketing and other services in</w:t>
            </w:r>
          </w:p>
        </w:tc>
        <w:tc>
          <w:tcPr>
            <w:tcW w:w="0" w:type="dxa"/>
            <w:vAlign w:val="bottom"/>
          </w:tcPr>
          <w:p>
            <w:pPr>
              <w:spacing w:after="0"/>
              <w:rPr>
                <w:sz w:val="1"/>
                <w:szCs w:val="1"/>
                <w:color w:val="auto"/>
              </w:rPr>
            </w:pPr>
          </w:p>
        </w:tc>
      </w:tr>
      <w:tr>
        <w:trPr>
          <w:trHeight w:val="162"/>
        </w:trPr>
        <w:tc>
          <w:tcPr>
            <w:tcW w:w="1920" w:type="dxa"/>
            <w:vAlign w:val="bottom"/>
            <w:tcBorders>
              <w:left w:val="single" w:sz="8" w:color="auto"/>
              <w:right w:val="single" w:sz="8" w:color="auto"/>
            </w:tcBorders>
          </w:tcPr>
          <w:p>
            <w:pPr>
              <w:spacing w:after="0"/>
              <w:rPr>
                <w:sz w:val="14"/>
                <w:szCs w:val="14"/>
                <w:color w:val="auto"/>
              </w:rPr>
            </w:pPr>
          </w:p>
        </w:tc>
        <w:tc>
          <w:tcPr>
            <w:tcW w:w="3640" w:type="dxa"/>
            <w:vAlign w:val="bottom"/>
            <w:tcBorders>
              <w:right w:val="single" w:sz="8" w:color="auto"/>
            </w:tcBorders>
            <w:gridSpan w:val="5"/>
          </w:tcPr>
          <w:p>
            <w:pPr>
              <w:ind w:left="80"/>
              <w:spacing w:after="0"/>
              <w:rPr>
                <w:sz w:val="20"/>
                <w:szCs w:val="20"/>
                <w:color w:val="auto"/>
              </w:rPr>
            </w:pPr>
            <w:r>
              <w:rPr>
                <w:rFonts w:ascii="Georgia" w:cs="Georgia" w:eastAsia="Georgia" w:hAnsi="Georgia"/>
                <w:sz w:val="14"/>
                <w:szCs w:val="14"/>
                <w:color w:val="auto"/>
              </w:rPr>
              <w:t>connection with the distribution of the securities to</w:t>
            </w:r>
          </w:p>
        </w:tc>
        <w:tc>
          <w:tcPr>
            <w:tcW w:w="0" w:type="dxa"/>
            <w:vAlign w:val="bottom"/>
          </w:tcPr>
          <w:p>
            <w:pPr>
              <w:spacing w:after="0"/>
              <w:rPr>
                <w:sz w:val="1"/>
                <w:szCs w:val="1"/>
                <w:color w:val="auto"/>
              </w:rPr>
            </w:pPr>
          </w:p>
        </w:tc>
      </w:tr>
      <w:tr>
        <w:trPr>
          <w:trHeight w:val="159"/>
        </w:trPr>
        <w:tc>
          <w:tcPr>
            <w:tcW w:w="1920" w:type="dxa"/>
            <w:vAlign w:val="bottom"/>
            <w:tcBorders>
              <w:left w:val="single" w:sz="8" w:color="auto"/>
              <w:bottom w:val="single" w:sz="8" w:color="auto"/>
              <w:right w:val="single" w:sz="8" w:color="auto"/>
            </w:tcBorders>
          </w:tcPr>
          <w:p>
            <w:pPr>
              <w:spacing w:after="0"/>
              <w:rPr>
                <w:sz w:val="13"/>
                <w:szCs w:val="13"/>
                <w:color w:val="auto"/>
              </w:rPr>
            </w:pPr>
          </w:p>
        </w:tc>
        <w:tc>
          <w:tcPr>
            <w:tcW w:w="3640" w:type="dxa"/>
            <w:vAlign w:val="bottom"/>
            <w:tcBorders>
              <w:bottom w:val="single" w:sz="8" w:color="auto"/>
              <w:right w:val="single" w:sz="8" w:color="auto"/>
            </w:tcBorders>
            <w:gridSpan w:val="5"/>
          </w:tcPr>
          <w:p>
            <w:pPr>
              <w:ind w:left="80"/>
              <w:spacing w:after="0"/>
              <w:rPr>
                <w:sz w:val="20"/>
                <w:szCs w:val="20"/>
                <w:color w:val="auto"/>
              </w:rPr>
            </w:pPr>
            <w:r>
              <w:rPr>
                <w:rFonts w:ascii="Georgia" w:cs="Georgia" w:eastAsia="Georgia" w:hAnsi="Georgia"/>
                <w:sz w:val="14"/>
                <w:szCs w:val="14"/>
                <w:color w:val="auto"/>
              </w:rPr>
              <w:t>other dealers.</w:t>
            </w:r>
          </w:p>
        </w:tc>
        <w:tc>
          <w:tcPr>
            <w:tcW w:w="0" w:type="dxa"/>
            <w:vAlign w:val="bottom"/>
          </w:tcPr>
          <w:p>
            <w:pPr>
              <w:spacing w:after="0"/>
              <w:rPr>
                <w:sz w:val="1"/>
                <w:szCs w:val="1"/>
                <w:color w:val="auto"/>
              </w:rPr>
            </w:pPr>
          </w:p>
        </w:tc>
      </w:tr>
      <w:tr>
        <w:trPr>
          <w:trHeight w:val="156"/>
        </w:trPr>
        <w:tc>
          <w:tcPr>
            <w:tcW w:w="1920" w:type="dxa"/>
            <w:vAlign w:val="bottom"/>
            <w:tcBorders>
              <w:left w:val="single" w:sz="8" w:color="auto"/>
              <w:bottom w:val="single" w:sz="8" w:color="auto"/>
              <w:right w:val="single" w:sz="8" w:color="auto"/>
            </w:tcBorders>
          </w:tcPr>
          <w:p>
            <w:pPr>
              <w:ind w:left="120"/>
              <w:spacing w:after="0" w:line="156" w:lineRule="exact"/>
              <w:rPr>
                <w:sz w:val="20"/>
                <w:szCs w:val="20"/>
                <w:color w:val="auto"/>
              </w:rPr>
            </w:pPr>
            <w:r>
              <w:rPr>
                <w:rFonts w:ascii="Georgia" w:cs="Georgia" w:eastAsia="Georgia" w:hAnsi="Georgia"/>
                <w:sz w:val="14"/>
                <w:szCs w:val="14"/>
                <w:color w:val="auto"/>
              </w:rPr>
              <w:t>Tax Considerations:</w:t>
            </w:r>
          </w:p>
        </w:tc>
        <w:tc>
          <w:tcPr>
            <w:tcW w:w="3640" w:type="dxa"/>
            <w:vAlign w:val="bottom"/>
            <w:tcBorders>
              <w:bottom w:val="single" w:sz="8" w:color="auto"/>
              <w:right w:val="single" w:sz="8" w:color="auto"/>
            </w:tcBorders>
            <w:gridSpan w:val="5"/>
          </w:tcPr>
          <w:p>
            <w:pPr>
              <w:ind w:left="80"/>
              <w:spacing w:after="0" w:line="156" w:lineRule="exact"/>
              <w:rPr>
                <w:sz w:val="20"/>
                <w:szCs w:val="20"/>
                <w:color w:val="auto"/>
              </w:rPr>
            </w:pPr>
            <w:r>
              <w:rPr>
                <w:rFonts w:ascii="Georgia" w:cs="Georgia" w:eastAsia="Georgia" w:hAnsi="Georgia"/>
                <w:sz w:val="14"/>
                <w:szCs w:val="14"/>
                <w:color w:val="auto"/>
              </w:rPr>
              <w:t>See the preliminary pricing supplement.</w:t>
            </w:r>
          </w:p>
        </w:tc>
        <w:tc>
          <w:tcPr>
            <w:tcW w:w="0" w:type="dxa"/>
            <w:vAlign w:val="bottom"/>
          </w:tcPr>
          <w:p>
            <w:pPr>
              <w:spacing w:after="0"/>
              <w:rPr>
                <w:sz w:val="1"/>
                <w:szCs w:val="1"/>
                <w:color w:val="auto"/>
              </w:rPr>
            </w:pPr>
          </w:p>
        </w:tc>
      </w:tr>
      <w:tr>
        <w:trPr>
          <w:trHeight w:val="201"/>
        </w:trPr>
        <w:tc>
          <w:tcPr>
            <w:tcW w:w="1920" w:type="dxa"/>
            <w:vAlign w:val="bottom"/>
            <w:tcBorders>
              <w:left w:val="single" w:sz="8" w:color="auto"/>
            </w:tcBorders>
          </w:tcPr>
          <w:p>
            <w:pPr>
              <w:ind w:left="120"/>
              <w:spacing w:after="0" w:line="200" w:lineRule="exact"/>
              <w:rPr>
                <w:sz w:val="20"/>
                <w:szCs w:val="20"/>
                <w:color w:val="auto"/>
              </w:rPr>
            </w:pPr>
            <w:r>
              <w:rPr>
                <w:rFonts w:ascii="Georgia" w:cs="Georgia" w:eastAsia="Georgia" w:hAnsi="Georgia"/>
                <w:sz w:val="22"/>
                <w:szCs w:val="22"/>
                <w:color w:val="auto"/>
                <w:vertAlign w:val="superscript"/>
              </w:rPr>
              <w:t>1</w:t>
            </w:r>
            <w:r>
              <w:rPr>
                <w:rFonts w:ascii="Georgia" w:cs="Georgia" w:eastAsia="Georgia" w:hAnsi="Georgia"/>
                <w:sz w:val="13"/>
                <w:szCs w:val="13"/>
                <w:color w:val="auto"/>
              </w:rPr>
              <w:t xml:space="preserve"> Subject to change</w:t>
            </w: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920" w:type="dxa"/>
            <w:vAlign w:val="bottom"/>
            <w:tcBorders>
              <w:left w:val="single" w:sz="8" w:color="auto"/>
              <w:bottom w:val="single" w:sz="8" w:color="auto"/>
            </w:tcBorders>
          </w:tcPr>
          <w:p>
            <w:pPr>
              <w:ind w:left="120"/>
              <w:spacing w:after="0" w:line="184" w:lineRule="exact"/>
              <w:rPr>
                <w:sz w:val="20"/>
                <w:szCs w:val="20"/>
                <w:color w:val="auto"/>
              </w:rPr>
            </w:pPr>
            <w:r>
              <w:rPr>
                <w:rFonts w:ascii="Georgia" w:cs="Georgia" w:eastAsia="Georgia" w:hAnsi="Georgia"/>
                <w:sz w:val="21"/>
                <w:szCs w:val="21"/>
                <w:color w:val="auto"/>
                <w:vertAlign w:val="superscript"/>
              </w:rPr>
              <w:t>2</w:t>
            </w:r>
            <w:r>
              <w:rPr>
                <w:rFonts w:ascii="Georgia" w:cs="Georgia" w:eastAsia="Georgia" w:hAnsi="Georgia"/>
                <w:sz w:val="13"/>
                <w:szCs w:val="13"/>
                <w:color w:val="auto"/>
              </w:rPr>
              <w:t xml:space="preserve"> Subject to postponement</w:t>
            </w:r>
          </w:p>
        </w:tc>
        <w:tc>
          <w:tcPr>
            <w:tcW w:w="12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ind w:left="100"/>
        <w:spacing w:after="0"/>
        <w:rPr>
          <w:sz w:val="20"/>
          <w:szCs w:val="20"/>
          <w:color w:val="auto"/>
        </w:rPr>
      </w:pPr>
      <w:r>
        <w:rPr>
          <w:rFonts w:ascii="Verdana" w:cs="Verdana" w:eastAsia="Verdana" w:hAnsi="Verdana"/>
          <w:sz w:val="20"/>
          <w:szCs w:val="20"/>
          <w:color w:val="8F8F8F"/>
        </w:rPr>
        <w:t>Hypothetical Payout Profile*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264160</wp:posOffset>
            </wp:positionH>
            <wp:positionV relativeFrom="paragraph">
              <wp:posOffset>-1905</wp:posOffset>
            </wp:positionV>
            <wp:extent cx="3000375" cy="189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00375" cy="1894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Georgia" w:cs="Georgia" w:eastAsia="Georgia" w:hAnsi="Georgia"/>
          <w:sz w:val="14"/>
          <w:szCs w:val="14"/>
          <w:color w:val="auto"/>
        </w:rPr>
        <w:t>*Assumes an upside participation rate equal to the minimum upside participation rate</w:t>
      </w:r>
    </w:p>
    <w:p>
      <w:pPr>
        <w:spacing w:after="0" w:line="57" w:lineRule="exact"/>
        <w:rPr>
          <w:sz w:val="24"/>
          <w:szCs w:val="24"/>
          <w:color w:val="auto"/>
        </w:rPr>
      </w:pPr>
    </w:p>
    <w:p>
      <w:pPr>
        <w:ind w:right="40"/>
        <w:spacing w:after="0" w:line="245" w:lineRule="auto"/>
        <w:rPr>
          <w:sz w:val="20"/>
          <w:szCs w:val="20"/>
          <w:color w:val="auto"/>
        </w:rPr>
      </w:pPr>
      <w:r>
        <w:rPr>
          <w:rFonts w:ascii="Georgia" w:cs="Georgia" w:eastAsia="Georgia" w:hAnsi="Georgia"/>
          <w:sz w:val="14"/>
          <w:szCs w:val="14"/>
          <w:b w:val="1"/>
          <w:bCs w:val="1"/>
          <w:color w:val="auto"/>
        </w:rPr>
        <w:t>If the ending level is less than the threshold level, you will have full downside exposure to the decrease in the level of the Index from the starting level and will lose more than 25%, and possibly all, of the principal amount of your securities at maturity.</w:t>
      </w:r>
    </w:p>
    <w:p>
      <w:pPr>
        <w:spacing w:after="0" w:line="52" w:lineRule="exact"/>
        <w:rPr>
          <w:sz w:val="24"/>
          <w:szCs w:val="24"/>
          <w:color w:val="auto"/>
        </w:rPr>
      </w:pPr>
    </w:p>
    <w:p>
      <w:pPr>
        <w:ind w:right="20"/>
        <w:spacing w:after="0" w:line="245" w:lineRule="auto"/>
        <w:rPr>
          <w:sz w:val="20"/>
          <w:szCs w:val="20"/>
          <w:color w:val="auto"/>
        </w:rPr>
      </w:pPr>
      <w:r>
        <w:rPr>
          <w:rFonts w:ascii="Georgia" w:cs="Georgia" w:eastAsia="Georgia" w:hAnsi="Georgia"/>
          <w:sz w:val="14"/>
          <w:szCs w:val="14"/>
          <w:color w:val="auto"/>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 w:cs="Georgia" w:eastAsia="Georgia" w:hAnsi="Georgia"/>
          <w:sz w:val="14"/>
          <w:szCs w:val="14"/>
          <w:b w:val="1"/>
          <w:bCs w:val="1"/>
          <w:color w:val="auto"/>
        </w:rPr>
        <w:t>Any</w:t>
      </w:r>
      <w:r>
        <w:rPr>
          <w:rFonts w:ascii="Georgia" w:cs="Georgia" w:eastAsia="Georgia" w:hAnsi="Georgia"/>
          <w:sz w:val="14"/>
          <w:szCs w:val="14"/>
          <w:color w:val="auto"/>
        </w:rPr>
        <w:t xml:space="preserve"> </w:t>
      </w:r>
      <w:r>
        <w:rPr>
          <w:rFonts w:ascii="Georgia" w:cs="Georgia" w:eastAsia="Georgia" w:hAnsi="Georgia"/>
          <w:sz w:val="14"/>
          <w:szCs w:val="14"/>
          <w:b w:val="1"/>
          <w:bCs w:val="1"/>
          <w:color w:val="auto"/>
        </w:rPr>
        <w:t>payment on the securities is subject to the credit risk of JPMorgan Financial, as issuer of the securities, and the credit risk of JPMorgan Chase &amp; Co., as guarantor of the securities.</w:t>
      </w:r>
    </w:p>
    <w:p>
      <w:pPr>
        <w:spacing w:after="0" w:line="268" w:lineRule="exact"/>
        <w:rPr>
          <w:sz w:val="24"/>
          <w:szCs w:val="24"/>
          <w:color w:val="auto"/>
        </w:rPr>
      </w:pPr>
    </w:p>
    <w:p>
      <w:pPr>
        <w:ind w:right="80"/>
        <w:spacing w:after="0" w:line="245" w:lineRule="auto"/>
        <w:rPr>
          <w:sz w:val="20"/>
          <w:szCs w:val="20"/>
          <w:color w:val="auto"/>
        </w:rPr>
      </w:pPr>
      <w:r>
        <w:rPr>
          <w:rFonts w:ascii="Georgia" w:cs="Georgia" w:eastAsia="Georgia" w:hAnsi="Georgia"/>
          <w:sz w:val="14"/>
          <w:szCs w:val="14"/>
          <w:color w:val="auto"/>
        </w:rPr>
        <w:t>If the securities priced on the date of the accompanying preliminary pricing supplement, the estimated value of the securities would be approximately $920.20 per security. The estimated value of the securities, when the terms of the securities are set, will be provided in the pricing supplement and will not be less than $900.00 per security. See “The Estimated Value of the Securities” in the preliminary pricing supplement for additional information.</w:t>
      </w:r>
    </w:p>
    <w:p>
      <w:pPr>
        <w:spacing w:after="0" w:line="268" w:lineRule="exact"/>
        <w:rPr>
          <w:sz w:val="24"/>
          <w:szCs w:val="24"/>
          <w:color w:val="auto"/>
        </w:rPr>
      </w:pPr>
    </w:p>
    <w:p>
      <w:pPr>
        <w:spacing w:after="0"/>
        <w:rPr>
          <w:sz w:val="20"/>
          <w:szCs w:val="20"/>
          <w:color w:val="auto"/>
        </w:rPr>
      </w:pPr>
      <w:r>
        <w:rPr>
          <w:rFonts w:ascii="Georgia" w:cs="Georgia" w:eastAsia="Georgia" w:hAnsi="Georgia"/>
          <w:sz w:val="14"/>
          <w:szCs w:val="14"/>
          <w:color w:val="auto"/>
        </w:rPr>
        <w:t>Preliminary Pricing Supplement:</w:t>
      </w:r>
    </w:p>
    <w:p>
      <w:pPr>
        <w:spacing w:after="0" w:line="3" w:lineRule="exact"/>
        <w:rPr>
          <w:sz w:val="24"/>
          <w:szCs w:val="24"/>
          <w:color w:val="auto"/>
        </w:rPr>
      </w:pPr>
    </w:p>
    <w:p>
      <w:pPr>
        <w:spacing w:after="0"/>
        <w:rPr>
          <w:rFonts w:ascii="Georgia" w:cs="Georgia" w:eastAsia="Georgia" w:hAnsi="Georgia"/>
          <w:sz w:val="14"/>
          <w:szCs w:val="14"/>
          <w:u w:val="single" w:color="auto"/>
          <w:color w:val="0000EE"/>
        </w:rPr>
      </w:pPr>
      <w:hyperlink r:id="rId11">
        <w:r>
          <w:rPr>
            <w:rFonts w:ascii="Georgia" w:cs="Georgia" w:eastAsia="Georgia" w:hAnsi="Georgia"/>
            <w:sz w:val="14"/>
            <w:szCs w:val="14"/>
            <w:u w:val="single" w:color="auto"/>
            <w:color w:val="0000EE"/>
          </w:rPr>
          <w:t>http://www.sec.gov/Archives/edgar/data/19617/000121390026116712/ea</w:t>
        </w:r>
      </w:hyperlink>
    </w:p>
    <w:p>
      <w:pPr>
        <w:spacing w:after="0" w:line="3" w:lineRule="exact"/>
        <w:rPr>
          <w:sz w:val="24"/>
          <w:szCs w:val="24"/>
          <w:color w:val="auto"/>
        </w:rPr>
      </w:pPr>
    </w:p>
    <w:p>
      <w:pPr>
        <w:spacing w:after="0"/>
        <w:rPr>
          <w:rFonts w:ascii="Georgia" w:cs="Georgia" w:eastAsia="Georgia" w:hAnsi="Georgia"/>
          <w:sz w:val="14"/>
          <w:szCs w:val="14"/>
          <w:u w:val="single" w:color="auto"/>
          <w:color w:val="0000EE"/>
        </w:rPr>
      </w:pPr>
      <w:hyperlink r:id="rId11">
        <w:r>
          <w:rPr>
            <w:rFonts w:ascii="Georgia" w:cs="Georgia" w:eastAsia="Georgia" w:hAnsi="Georgia"/>
            <w:sz w:val="14"/>
            <w:szCs w:val="14"/>
            <w:u w:val="single" w:color="auto"/>
            <w:color w:val="0000EE"/>
          </w:rPr>
          <w:t>0311243-01_424b2.htm</w:t>
        </w:r>
      </w:hyperlink>
    </w:p>
    <w:p>
      <w:pPr>
        <w:spacing w:after="0" w:line="631" w:lineRule="exact"/>
        <w:rPr>
          <w:sz w:val="24"/>
          <w:szCs w:val="24"/>
          <w:color w:val="auto"/>
        </w:rPr>
      </w:pPr>
    </w:p>
    <w:p>
      <w:pPr>
        <w:sectPr>
          <w:pgSz w:w="11900" w:h="16838" w:orient="portrait"/>
          <w:cols w:equalWidth="0" w:num="2">
            <w:col w:w="5560" w:space="120"/>
            <w:col w:w="5560"/>
          </w:cols>
          <w:pgMar w:left="320" w:top="211" w:right="3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ind w:right="20"/>
        <w:spacing w:after="0" w:line="246" w:lineRule="auto"/>
        <w:rPr>
          <w:sz w:val="20"/>
          <w:szCs w:val="20"/>
          <w:color w:val="auto"/>
        </w:rPr>
      </w:pPr>
      <w:r>
        <w:rPr>
          <w:rFonts w:ascii="Georgia" w:cs="Georgia" w:eastAsia="Georgia" w:hAnsi="Georgia"/>
          <w:sz w:val="14"/>
          <w:szCs w:val="14"/>
          <w:b w:val="1"/>
          <w:bCs w:val="1"/>
          <w:color w:val="auto"/>
        </w:rPr>
        <w:t>The securities have complex features and investing in the securities involves risks not associated with an investment in conventional debt securities. See “Risk Factors” in the accompanying prospectus supplement and the accompanying product supplement and “Selected Risk Considerations” in the accompanying preliminary pricing supplement.</w:t>
      </w:r>
    </w:p>
    <w:p>
      <w:pPr>
        <w:spacing w:after="0" w:line="51" w:lineRule="exact"/>
        <w:rPr>
          <w:sz w:val="24"/>
          <w:szCs w:val="24"/>
          <w:color w:val="auto"/>
        </w:rPr>
      </w:pPr>
    </w:p>
    <w:p>
      <w:pPr>
        <w:ind w:right="680"/>
        <w:spacing w:after="0" w:line="248" w:lineRule="auto"/>
        <w:rPr>
          <w:sz w:val="20"/>
          <w:szCs w:val="20"/>
          <w:color w:val="auto"/>
        </w:rPr>
      </w:pPr>
      <w:r>
        <w:rPr>
          <w:rFonts w:ascii="Georgia" w:cs="Georgia" w:eastAsia="Georgia" w:hAnsi="Georgia"/>
          <w:sz w:val="14"/>
          <w:szCs w:val="14"/>
          <w:i w:val="1"/>
          <w:iCs w:val="1"/>
          <w:color w:val="auto"/>
        </w:rPr>
        <w:t>The securities are not bank deposits, are not insured by the Federal Deposit Insurance Corporation or any other governmental agency and are not obligations of, or guaranteed by, a bank.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6" w:lineRule="exact"/>
        <w:rPr>
          <w:sz w:val="24"/>
          <w:szCs w:val="24"/>
          <w:color w:val="auto"/>
        </w:rPr>
      </w:pPr>
    </w:p>
    <w:p>
      <w:pPr>
        <w:spacing w:after="0" w:line="246" w:lineRule="auto"/>
        <w:rPr>
          <w:sz w:val="20"/>
          <w:szCs w:val="20"/>
          <w:color w:val="auto"/>
        </w:rPr>
      </w:pPr>
      <w:r>
        <w:rPr>
          <w:rFonts w:ascii="Georgia" w:cs="Georgia" w:eastAsia="Georgia" w:hAnsi="Georgia"/>
          <w:sz w:val="14"/>
          <w:szCs w:val="14"/>
          <w:b w:val="1"/>
          <w:bCs w:val="1"/>
          <w:color w:val="C00000"/>
        </w:rPr>
        <w:t xml:space="preserve">THIS FACT SHEET DOES NOT PROVIDE ALL OF THE INFORMATION THAT AN INVESTOR SHOULD CONSIDER PRIOR TO MAKING AN INVESTMENT DECISION. </w:t>
      </w:r>
      <w:r>
        <w:rPr>
          <w:rFonts w:ascii="Georgia" w:cs="Georgia" w:eastAsia="Georgia" w:hAnsi="Georgia"/>
          <w:sz w:val="14"/>
          <w:szCs w:val="14"/>
          <w:b w:val="1"/>
          <w:bCs w:val="1"/>
          <w:color w:val="000000"/>
        </w:rPr>
        <w:t>This fact sheet should be read in conjunction with the accompanying preliminary pricing supplement, prospectus, prospectus</w:t>
      </w:r>
      <w:r>
        <w:rPr>
          <w:rFonts w:ascii="Georgia" w:cs="Georgia" w:eastAsia="Georgia" w:hAnsi="Georgia"/>
          <w:sz w:val="14"/>
          <w:szCs w:val="14"/>
          <w:b w:val="1"/>
          <w:bCs w:val="1"/>
          <w:color w:val="C00000"/>
        </w:rPr>
        <w:t xml:space="preserve"> </w:t>
      </w:r>
      <w:r>
        <w:rPr>
          <w:rFonts w:ascii="Georgia" w:cs="Georgia" w:eastAsia="Georgia" w:hAnsi="Georgia"/>
          <w:sz w:val="14"/>
          <w:szCs w:val="14"/>
          <w:b w:val="1"/>
          <w:bCs w:val="1"/>
          <w:color w:val="000000"/>
        </w:rPr>
        <w:t>supplement, product supplement and underlying supplement.</w:t>
      </w:r>
    </w:p>
    <w:p>
      <w:pPr>
        <w:sectPr>
          <w:pgSz w:w="11900" w:h="16838" w:orient="portrait"/>
          <w:cols w:equalWidth="0" w:num="1">
            <w:col w:w="11240"/>
          </w:cols>
          <w:pgMar w:left="320" w:top="211" w:right="339" w:bottom="1440" w:gutter="0" w:footer="0" w:header="0"/>
          <w:type w:val="continuous"/>
        </w:sectPr>
      </w:pPr>
    </w:p>
    <w:bookmarkStart w:id="1" w:name="page2"/>
    <w:bookmarkEnd w:id="1"/>
    <w:p>
      <w:pPr>
        <w:spacing w:after="0"/>
        <w:rPr>
          <w:sz w:val="20"/>
          <w:szCs w:val="20"/>
          <w:color w:val="auto"/>
        </w:rPr>
      </w:pPr>
      <w:r>
        <w:rPr>
          <w:rFonts w:ascii="Georgia" w:cs="Georgia" w:eastAsia="Georgia" w:hAnsi="Georgia"/>
          <w:sz w:val="25"/>
          <w:szCs w:val="25"/>
          <w:color w:val="8F8F8F"/>
        </w:rPr>
        <w:t>Selected Risk Considerations</w:t>
      </w:r>
    </w:p>
    <w:p>
      <w:pPr>
        <w:spacing w:after="0" w:line="136" w:lineRule="exact"/>
        <w:rPr>
          <w:sz w:val="20"/>
          <w:szCs w:val="20"/>
          <w:color w:val="auto"/>
        </w:rPr>
      </w:pPr>
    </w:p>
    <w:p>
      <w:pPr>
        <w:ind w:right="200"/>
        <w:spacing w:after="0" w:line="250" w:lineRule="auto"/>
        <w:rPr>
          <w:sz w:val="20"/>
          <w:szCs w:val="20"/>
          <w:color w:val="auto"/>
        </w:rPr>
      </w:pPr>
      <w:r>
        <w:rPr>
          <w:rFonts w:ascii="Georgia" w:cs="Georgia" w:eastAsia="Georgia" w:hAnsi="Georgia"/>
          <w:sz w:val="16"/>
          <w:szCs w:val="16"/>
          <w:color w:val="auto"/>
        </w:rPr>
        <w:t>The risks set forth below are discussed in detail in the “Selected Risk Considerations” section in the accompanying preliminary pricing supplement and the “Risk Factors” sections in the accompanying prospectus supplement and product supplement. Please review the risk disclosure carefully.</w:t>
      </w:r>
    </w:p>
    <w:p>
      <w:pPr>
        <w:sectPr>
          <w:pgSz w:w="11900" w:h="16838" w:orient="portrait"/>
          <w:cols w:equalWidth="0" w:num="1">
            <w:col w:w="11220"/>
          </w:cols>
          <w:pgMar w:left="320" w:top="543" w:right="359" w:bottom="1440" w:gutter="0" w:footer="0" w:header="0"/>
        </w:sectPr>
      </w:pPr>
    </w:p>
    <w:p>
      <w:pPr>
        <w:spacing w:after="0" w:line="121" w:lineRule="exact"/>
        <w:rPr>
          <w:sz w:val="20"/>
          <w:szCs w:val="20"/>
          <w:color w:val="auto"/>
        </w:rPr>
      </w:pPr>
    </w:p>
    <w:p>
      <w:pPr>
        <w:ind w:left="460" w:right="140" w:hanging="368"/>
        <w:spacing w:after="0" w:line="247" w:lineRule="auto"/>
        <w:tabs>
          <w:tab w:leader="none" w:pos="442" w:val="left"/>
        </w:tabs>
        <w:numPr>
          <w:ilvl w:val="1"/>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If the Ending Level Is Less Than the Threshold Level, You Will Lose More Than 25%, and Possibly All, of the Principal Amount of Your Securities at Maturity.</w:t>
      </w:r>
    </w:p>
    <w:p>
      <w:pPr>
        <w:spacing w:after="0" w:line="42" w:lineRule="exact"/>
        <w:rPr>
          <w:rFonts w:ascii="Arial" w:cs="Arial" w:eastAsia="Arial" w:hAnsi="Arial"/>
          <w:sz w:val="16"/>
          <w:szCs w:val="16"/>
          <w:b w:val="1"/>
          <w:bCs w:val="1"/>
          <w:color w:val="auto"/>
        </w:rPr>
      </w:pPr>
    </w:p>
    <w:p>
      <w:pPr>
        <w:ind w:left="420" w:right="240" w:hanging="354"/>
        <w:spacing w:after="0" w:line="246" w:lineRule="auto"/>
        <w:tabs>
          <w:tab w:leader="none" w:pos="402"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Securities Are Subject to the Credit Risks of JPMorgan Financial and JPMorgan Chase &amp; Co.</w:t>
      </w:r>
    </w:p>
    <w:p>
      <w:pPr>
        <w:spacing w:after="0" w:line="55" w:lineRule="exact"/>
        <w:rPr>
          <w:rFonts w:ascii="Arial" w:cs="Arial" w:eastAsia="Arial" w:hAnsi="Arial"/>
          <w:sz w:val="16"/>
          <w:szCs w:val="16"/>
          <w:b w:val="1"/>
          <w:bCs w:val="1"/>
          <w:color w:val="auto"/>
        </w:rPr>
      </w:pPr>
    </w:p>
    <w:p>
      <w:pPr>
        <w:ind w:left="420" w:right="700" w:hanging="354"/>
        <w:spacing w:after="0" w:line="246" w:lineRule="auto"/>
        <w:tabs>
          <w:tab w:leader="none" w:pos="402"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As a Finance Subsidiary, JPMorgan Financial Has No Independent Activities and Has Limited Assets.</w:t>
      </w:r>
    </w:p>
    <w:p>
      <w:pPr>
        <w:spacing w:after="0" w:line="55" w:lineRule="exact"/>
        <w:rPr>
          <w:rFonts w:ascii="Arial" w:cs="Arial" w:eastAsia="Arial" w:hAnsi="Arial"/>
          <w:sz w:val="16"/>
          <w:szCs w:val="16"/>
          <w:b w:val="1"/>
          <w:bCs w:val="1"/>
          <w:color w:val="auto"/>
        </w:rPr>
      </w:pPr>
    </w:p>
    <w:p>
      <w:pPr>
        <w:ind w:left="420" w:right="120" w:hanging="354"/>
        <w:spacing w:after="0" w:line="246" w:lineRule="auto"/>
        <w:tabs>
          <w:tab w:leader="none" w:pos="402"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Benefit Provided by the Threshold Level May Terminate on the Calculation Day.</w:t>
      </w:r>
    </w:p>
    <w:p>
      <w:pPr>
        <w:spacing w:after="0" w:line="39" w:lineRule="exact"/>
        <w:rPr>
          <w:rFonts w:ascii="Arial" w:cs="Arial" w:eastAsia="Arial" w:hAnsi="Arial"/>
          <w:sz w:val="16"/>
          <w:szCs w:val="16"/>
          <w:b w:val="1"/>
          <w:bCs w:val="1"/>
          <w:color w:val="auto"/>
        </w:rPr>
      </w:pPr>
    </w:p>
    <w:p>
      <w:pPr>
        <w:ind w:left="420" w:hanging="354"/>
        <w:spacing w:after="0"/>
        <w:tabs>
          <w:tab w:leader="none" w:pos="420"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No Interest or Dividend Payments or Voting Rights</w:t>
      </w:r>
    </w:p>
    <w:p>
      <w:pPr>
        <w:spacing w:after="0" w:line="57" w:lineRule="exact"/>
        <w:rPr>
          <w:rFonts w:ascii="Arial" w:cs="Arial" w:eastAsia="Arial" w:hAnsi="Arial"/>
          <w:sz w:val="16"/>
          <w:szCs w:val="16"/>
          <w:b w:val="1"/>
          <w:bCs w:val="1"/>
          <w:color w:val="auto"/>
        </w:rPr>
      </w:pPr>
    </w:p>
    <w:p>
      <w:pPr>
        <w:ind w:left="420" w:hanging="354"/>
        <w:spacing w:after="0"/>
        <w:tabs>
          <w:tab w:leader="none" w:pos="420"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Lack of Liquidity</w:t>
      </w:r>
    </w:p>
    <w:p>
      <w:pPr>
        <w:spacing w:after="0" w:line="60" w:lineRule="exact"/>
        <w:rPr>
          <w:rFonts w:ascii="Arial" w:cs="Arial" w:eastAsia="Arial" w:hAnsi="Arial"/>
          <w:sz w:val="16"/>
          <w:szCs w:val="16"/>
          <w:b w:val="1"/>
          <w:bCs w:val="1"/>
          <w:color w:val="auto"/>
        </w:rPr>
      </w:pPr>
    </w:p>
    <w:p>
      <w:pPr>
        <w:ind w:left="420" w:right="260" w:hanging="354"/>
        <w:spacing w:after="0" w:line="246" w:lineRule="auto"/>
        <w:tabs>
          <w:tab w:leader="none" w:pos="402"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Final Terms and Estimated Valuation of the Securities Will Be Provided in the Pricing Supplement.</w:t>
      </w:r>
    </w:p>
    <w:p>
      <w:pPr>
        <w:spacing w:after="0" w:line="42" w:lineRule="exact"/>
        <w:rPr>
          <w:rFonts w:ascii="Arial" w:cs="Arial" w:eastAsia="Arial" w:hAnsi="Arial"/>
          <w:sz w:val="16"/>
          <w:szCs w:val="16"/>
          <w:b w:val="1"/>
          <w:bCs w:val="1"/>
          <w:color w:val="auto"/>
        </w:rPr>
      </w:pPr>
    </w:p>
    <w:p>
      <w:pPr>
        <w:ind w:left="420" w:right="60" w:hanging="354"/>
        <w:spacing w:after="0" w:line="246" w:lineRule="auto"/>
        <w:tabs>
          <w:tab w:leader="none" w:pos="402"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U.S. Federal Tax Consequences of the Securities Are Uncertain, and May Be Adverse to a Holder of the Securities.</w:t>
      </w:r>
    </w:p>
    <w:p>
      <w:pPr>
        <w:spacing w:after="0" w:line="53" w:lineRule="exact"/>
        <w:rPr>
          <w:rFonts w:ascii="Arial" w:cs="Arial" w:eastAsia="Arial" w:hAnsi="Arial"/>
          <w:sz w:val="16"/>
          <w:szCs w:val="16"/>
          <w:b w:val="1"/>
          <w:bCs w:val="1"/>
          <w:color w:val="auto"/>
        </w:rPr>
      </w:pPr>
    </w:p>
    <w:p>
      <w:pPr>
        <w:ind w:left="420" w:hanging="354"/>
        <w:spacing w:after="0"/>
        <w:tabs>
          <w:tab w:leader="none" w:pos="420"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Potential Conflicts</w:t>
      </w:r>
    </w:p>
    <w:p>
      <w:pPr>
        <w:spacing w:after="0" w:line="60" w:lineRule="exact"/>
        <w:rPr>
          <w:rFonts w:ascii="Arial" w:cs="Arial" w:eastAsia="Arial" w:hAnsi="Arial"/>
          <w:sz w:val="16"/>
          <w:szCs w:val="16"/>
          <w:b w:val="1"/>
          <w:bCs w:val="1"/>
          <w:color w:val="auto"/>
        </w:rPr>
      </w:pPr>
    </w:p>
    <w:p>
      <w:pPr>
        <w:ind w:left="420" w:hanging="354"/>
        <w:spacing w:after="0" w:line="246" w:lineRule="auto"/>
        <w:tabs>
          <w:tab w:leader="none" w:pos="402"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Estimated Value of the Securities Will Be Lower Than the Original Issue Price (Price to Public) of the Securities.</w:t>
      </w:r>
    </w:p>
    <w:p>
      <w:pPr>
        <w:spacing w:after="0" w:line="42" w:lineRule="exact"/>
        <w:rPr>
          <w:rFonts w:ascii="Arial" w:cs="Arial" w:eastAsia="Arial" w:hAnsi="Arial"/>
          <w:sz w:val="16"/>
          <w:szCs w:val="16"/>
          <w:b w:val="1"/>
          <w:bCs w:val="1"/>
          <w:color w:val="auto"/>
        </w:rPr>
      </w:pPr>
    </w:p>
    <w:p>
      <w:pPr>
        <w:ind w:left="420" w:right="140" w:hanging="354"/>
        <w:spacing w:after="0" w:line="247" w:lineRule="auto"/>
        <w:tabs>
          <w:tab w:leader="none" w:pos="402"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Estimated Value of the Securities Does Not Represent Future Values of the Securities and May Differ from Others’ Estimates.</w:t>
      </w:r>
    </w:p>
    <w:p>
      <w:pPr>
        <w:spacing w:after="0" w:line="56" w:lineRule="exact"/>
        <w:rPr>
          <w:rFonts w:ascii="Arial" w:cs="Arial" w:eastAsia="Arial" w:hAnsi="Arial"/>
          <w:sz w:val="16"/>
          <w:szCs w:val="16"/>
          <w:b w:val="1"/>
          <w:bCs w:val="1"/>
          <w:color w:val="auto"/>
        </w:rPr>
      </w:pPr>
    </w:p>
    <w:p>
      <w:pPr>
        <w:ind w:left="420" w:right="860" w:hanging="354"/>
        <w:spacing w:after="0" w:line="246" w:lineRule="auto"/>
        <w:tabs>
          <w:tab w:leader="none" w:pos="402"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Estimated Value of the Securities Is Derived by Reference to an Internal Funding Rate.</w:t>
      </w:r>
    </w:p>
    <w:p>
      <w:pPr>
        <w:spacing w:after="0" w:line="42" w:lineRule="exact"/>
        <w:rPr>
          <w:rFonts w:ascii="Arial" w:cs="Arial" w:eastAsia="Arial" w:hAnsi="Arial"/>
          <w:sz w:val="16"/>
          <w:szCs w:val="16"/>
          <w:b w:val="1"/>
          <w:bCs w:val="1"/>
          <w:color w:val="auto"/>
        </w:rPr>
      </w:pPr>
    </w:p>
    <w:p>
      <w:pPr>
        <w:ind w:left="420" w:right="20" w:hanging="354"/>
        <w:spacing w:after="0" w:line="248" w:lineRule="auto"/>
        <w:tabs>
          <w:tab w:leader="none" w:pos="402"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Value of the Securities as Published by JPMS (and Which May Be Reflected on Customer Account Statements) May Be Higher Than the Then-Current Estimated Value of the Securities for a Limited Time Period.</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left="359" w:right="480" w:hanging="359"/>
        <w:spacing w:after="0" w:line="246" w:lineRule="auto"/>
        <w:tabs>
          <w:tab w:leader="none" w:pos="341" w:val="left"/>
        </w:tabs>
        <w:numPr>
          <w:ilvl w:val="0"/>
          <w:numId w:val="2"/>
        </w:numPr>
        <w:rPr>
          <w:rFonts w:ascii="Arial" w:cs="Arial" w:eastAsia="Arial" w:hAnsi="Arial"/>
          <w:sz w:val="16"/>
          <w:szCs w:val="16"/>
          <w:b w:val="1"/>
          <w:bCs w:val="1"/>
          <w:color w:val="auto"/>
        </w:rPr>
      </w:pPr>
      <w:r>
        <w:rPr>
          <w:rFonts w:ascii="Georgia" w:cs="Georgia" w:eastAsia="Georgia" w:hAnsi="Georgia"/>
          <w:sz w:val="16"/>
          <w:szCs w:val="16"/>
          <w:b w:val="1"/>
          <w:bCs w:val="1"/>
          <w:color w:val="auto"/>
        </w:rPr>
        <w:t>Secondary Market Prices of the Securities Will Likely Be Lower Than the Original Issue Price of the Securities.</w:t>
      </w:r>
    </w:p>
    <w:p>
      <w:pPr>
        <w:spacing w:after="0" w:line="42" w:lineRule="exact"/>
        <w:rPr>
          <w:rFonts w:ascii="Arial" w:cs="Arial" w:eastAsia="Arial" w:hAnsi="Arial"/>
          <w:sz w:val="16"/>
          <w:szCs w:val="16"/>
          <w:b w:val="1"/>
          <w:bCs w:val="1"/>
          <w:color w:val="auto"/>
        </w:rPr>
      </w:pPr>
    </w:p>
    <w:p>
      <w:pPr>
        <w:ind w:left="359" w:right="80" w:hanging="359"/>
        <w:spacing w:after="0" w:line="246" w:lineRule="auto"/>
        <w:tabs>
          <w:tab w:leader="none" w:pos="341" w:val="left"/>
        </w:tabs>
        <w:numPr>
          <w:ilvl w:val="0"/>
          <w:numId w:val="2"/>
        </w:numPr>
        <w:rPr>
          <w:rFonts w:ascii="Arial" w:cs="Arial" w:eastAsia="Arial" w:hAnsi="Arial"/>
          <w:sz w:val="16"/>
          <w:szCs w:val="16"/>
          <w:b w:val="1"/>
          <w:bCs w:val="1"/>
          <w:color w:val="auto"/>
        </w:rPr>
      </w:pPr>
      <w:r>
        <w:rPr>
          <w:rFonts w:ascii="Georgia" w:cs="Georgia" w:eastAsia="Georgia" w:hAnsi="Georgia"/>
          <w:sz w:val="16"/>
          <w:szCs w:val="16"/>
          <w:b w:val="1"/>
          <w:bCs w:val="1"/>
          <w:color w:val="auto"/>
        </w:rPr>
        <w:t>Many Economic and Market Factors Will Impact the Value of the Securities.</w:t>
      </w:r>
    </w:p>
    <w:p>
      <w:pPr>
        <w:spacing w:after="0" w:line="53" w:lineRule="exact"/>
        <w:rPr>
          <w:rFonts w:ascii="Arial" w:cs="Arial" w:eastAsia="Arial" w:hAnsi="Arial"/>
          <w:sz w:val="16"/>
          <w:szCs w:val="16"/>
          <w:b w:val="1"/>
          <w:bCs w:val="1"/>
          <w:color w:val="auto"/>
        </w:rPr>
      </w:pPr>
    </w:p>
    <w:p>
      <w:pPr>
        <w:ind w:left="339" w:hanging="339"/>
        <w:spacing w:after="0"/>
        <w:tabs>
          <w:tab w:leader="none" w:pos="339" w:val="left"/>
        </w:tabs>
        <w:numPr>
          <w:ilvl w:val="0"/>
          <w:numId w:val="2"/>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Securities Are Subject to Non-U.S. Securities Risk.</w:t>
      </w:r>
    </w:p>
    <w:p>
      <w:pPr>
        <w:spacing w:after="0" w:line="60" w:lineRule="exact"/>
        <w:rPr>
          <w:rFonts w:ascii="Arial" w:cs="Arial" w:eastAsia="Arial" w:hAnsi="Arial"/>
          <w:sz w:val="16"/>
          <w:szCs w:val="16"/>
          <w:b w:val="1"/>
          <w:bCs w:val="1"/>
          <w:color w:val="auto"/>
        </w:rPr>
      </w:pPr>
    </w:p>
    <w:p>
      <w:pPr>
        <w:ind w:left="359" w:right="480" w:hanging="359"/>
        <w:spacing w:after="0" w:line="246" w:lineRule="auto"/>
        <w:tabs>
          <w:tab w:leader="none" w:pos="341" w:val="left"/>
        </w:tabs>
        <w:numPr>
          <w:ilvl w:val="0"/>
          <w:numId w:val="2"/>
        </w:numPr>
        <w:rPr>
          <w:rFonts w:ascii="Arial" w:cs="Arial" w:eastAsia="Arial" w:hAnsi="Arial"/>
          <w:sz w:val="16"/>
          <w:szCs w:val="16"/>
          <w:b w:val="1"/>
          <w:bCs w:val="1"/>
          <w:color w:val="auto"/>
        </w:rPr>
      </w:pPr>
      <w:r>
        <w:rPr>
          <w:rFonts w:ascii="Georgia" w:cs="Georgia" w:eastAsia="Georgia" w:hAnsi="Georgia"/>
          <w:sz w:val="16"/>
          <w:szCs w:val="16"/>
          <w:b w:val="1"/>
          <w:bCs w:val="1"/>
          <w:color w:val="auto"/>
        </w:rPr>
        <w:t>No Direct Exposure to Fluctuations in Foreign Exchange Rates</w:t>
      </w:r>
    </w:p>
    <w:p>
      <w:pPr>
        <w:spacing w:after="0" w:line="42" w:lineRule="exact"/>
        <w:rPr>
          <w:rFonts w:ascii="Arial" w:cs="Arial" w:eastAsia="Arial" w:hAnsi="Arial"/>
          <w:sz w:val="16"/>
          <w:szCs w:val="16"/>
          <w:b w:val="1"/>
          <w:bCs w:val="1"/>
          <w:color w:val="auto"/>
        </w:rPr>
      </w:pPr>
    </w:p>
    <w:p>
      <w:pPr>
        <w:ind w:left="359" w:right="260" w:hanging="359"/>
        <w:spacing w:after="0" w:line="248" w:lineRule="auto"/>
        <w:tabs>
          <w:tab w:leader="none" w:pos="341" w:val="left"/>
        </w:tabs>
        <w:numPr>
          <w:ilvl w:val="0"/>
          <w:numId w:val="2"/>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Maturity Payment Amount Will Depend upon the Performance of the Index and Therefore the Securities Are Subject to the Risks Associated with the Index, Each as Discussed in the Accompanying Preliminary Pricing Supplement and Product Supplement.</w:t>
      </w:r>
    </w:p>
    <w:p>
      <w:pPr>
        <w:spacing w:after="0" w:line="3427" w:lineRule="exact"/>
        <w:rPr>
          <w:sz w:val="20"/>
          <w:szCs w:val="20"/>
          <w:color w:val="auto"/>
        </w:rPr>
      </w:pPr>
    </w:p>
    <w:p>
      <w:pPr>
        <w:sectPr>
          <w:pgSz w:w="11900" w:h="16838" w:orient="portrait"/>
          <w:cols w:equalWidth="0" w:num="2">
            <w:col w:w="5520" w:space="201"/>
            <w:col w:w="5499"/>
          </w:cols>
          <w:pgMar w:left="320" w:top="543"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60"/>
        <w:spacing w:after="0" w:line="249" w:lineRule="auto"/>
        <w:rPr>
          <w:sz w:val="20"/>
          <w:szCs w:val="20"/>
          <w:color w:val="auto"/>
        </w:rPr>
      </w:pPr>
      <w:r>
        <w:rPr>
          <w:rFonts w:ascii="Georgia" w:cs="Georgia" w:eastAsia="Georgia" w:hAnsi="Georgia"/>
          <w:sz w:val="16"/>
          <w:szCs w:val="16"/>
          <w:color w:val="8F8F8F"/>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have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w:t>
      </w:r>
    </w:p>
    <w:p>
      <w:pPr>
        <w:spacing w:after="0" w:line="111" w:lineRule="exact"/>
        <w:rPr>
          <w:sz w:val="20"/>
          <w:szCs w:val="20"/>
          <w:color w:val="auto"/>
        </w:rPr>
      </w:pPr>
    </w:p>
    <w:p>
      <w:pPr>
        <w:spacing w:after="0" w:line="249" w:lineRule="auto"/>
        <w:rPr>
          <w:sz w:val="20"/>
          <w:szCs w:val="20"/>
          <w:color w:val="auto"/>
        </w:rPr>
      </w:pPr>
      <w:r>
        <w:rPr>
          <w:rFonts w:ascii="Georgia" w:cs="Georgia" w:eastAsia="Georgia" w:hAnsi="Georgia"/>
          <w:sz w:val="16"/>
          <w:szCs w:val="16"/>
          <w:color w:val="8F8F8F"/>
        </w:rPr>
        <w:t>As used in this fact sheet, “we,” “us” and “our” refer to JPMorgan Chase Financial Company LLC. Wells Fargo Advisors is a trade name used by Wells Fargo Clearing Services, LLC and Wells Fargo Advisors Financial Network, LLC, members SIPC, separate registered broker-dealers and non-bank affiliates of Wells Fargo &amp; Company.</w:t>
      </w:r>
    </w:p>
    <w:sectPr>
      <w:pgSz w:w="11900" w:h="16838" w:orient="portrait"/>
      <w:cols w:equalWidth="0" w:num="1">
        <w:col w:w="11220"/>
      </w:cols>
      <w:pgMar w:left="320" w:top="54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2000019F" w:csb1="00000000"/>
  </w:font>
  <w:font w:name="Georgia">
    <w:panose1 w:val="02040502050405020303"/>
    <w:charset w:val="00"/>
    <w:family w:val="roman"/>
    <w:pitch w:val="variable"/>
    <w:sig w:usb0="00000287" w:usb1="00000000" w:usb2="00000000" w:usb3="00000000" w:csb0="200000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2" Type="http://schemas.openxmlformats.org/officeDocument/2006/relationships/image" Target="media/image4.png"/><Relationship Id="rId11" Type="http://schemas.openxmlformats.org/officeDocument/2006/relationships/hyperlink" Target="http://www.sec.gov/Archives/edgar/data/19617/000121390026116712/ea0311243-01_424b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2026-11-06T11:46:20Z</dcterms:created>
  <dcterms:modified xsi:type="dcterms:W3CDTF">2026-11-06T11:46:20Z</dcterms:modified>
</cp:coreProperties>
</file>