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JPMorgan Chase &amp;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13-2624428</w:t>
            </w:r>
          </w:p>
        </w:tc>
      </w:tr>
      <w:tr>
        <w:trPr>
          <w:trHeight w:val="149"/>
        </w:trPr>
        <w:tc>
          <w:tcPr>
            <w:tcW w:w="3660" w:type="dxa"/>
            <w:vAlign w:val="bottom"/>
          </w:tcPr>
          <w:p>
            <w:pPr>
              <w:jc w:val="center"/>
              <w:ind w:right="16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 Park Avenue,</w:t>
            </w: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40" w:type="dxa"/>
            <w:vAlign w:val="bottom"/>
          </w:tcPr>
          <w:p>
            <w:pPr>
              <w:spacing w:after="0"/>
              <w:rPr>
                <w:sz w:val="19"/>
                <w:szCs w:val="19"/>
                <w:color w:val="auto"/>
              </w:rPr>
            </w:pPr>
          </w:p>
        </w:tc>
        <w:tc>
          <w:tcPr>
            <w:tcW w:w="2780" w:type="dxa"/>
            <w:vAlign w:val="bottom"/>
          </w:tcPr>
          <w:p>
            <w:pPr>
              <w:jc w:val="right"/>
              <w:ind w:right="1161"/>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7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4" w:type="dxa"/>
        <w:tblCellMar>
          <w:top w:w="0" w:type="dxa"/>
          <w:left w:w="0" w:type="dxa"/>
          <w:bottom w:w="0" w:type="dxa"/>
          <w:right w:w="0" w:type="dxa"/>
        </w:tblCellMar>
      </w:tblPr>
      <w:tr>
        <w:trPr>
          <w:trHeight w:val="173"/>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6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6"/>
                <w:szCs w:val="16"/>
                <w:color w:val="auto"/>
              </w:rPr>
            </w:pPr>
          </w:p>
        </w:tc>
        <w:tc>
          <w:tcPr>
            <w:tcW w:w="1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JPM</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5.75%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D</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DD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6.00%</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C</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EE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4.75%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J</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GG</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4.55%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K</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JJ</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4.625%</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L</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LL</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 representing a one-four hundredth interest in a share of 4.20%</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 PR M</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Non-Cumulative Preferred Stock, Series MM</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Callable Fixed Rate Notes due June 10, 2032 of JPMorgan Chase</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JPM/32</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Company LLC</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Alerian MLP Index ETNs due January 28, 2044 of JPMorgan Chase</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AMJB</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Company LLC</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Guarantee of Inverse VIX Short-Term Futures ETNs due March 22, 2045 of JPMorgan</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VYLD</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NYSE Arca, Inc.</w:t>
            </w: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Chase Financial Company LLC</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024"/>
          </w:cols>
          <w:pgMar w:left="436" w:top="376" w:right="439" w:bottom="9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On February 5, 2026, JPMorgan Chase &amp; Co. closed a public offering of $3,000,000,000 aggregate principal amount of Fixed-to-Floating Rate Subordinated Notes due 2037 (the “Subordinated Notes”).</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offering of the Subordinated Notes was registered under the Securities Act of 1933, as amended, pursuant to a registration statement on Form S-3 (File No. 333-285537), as amended. In connection with this offering, the legal opinion as to the legality of the Subordinated Notes is being filed as Exhibit 5.1 to this report.</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Simpson Thacher &amp; Bartlett LLP as to the legality of the Subordinated Notes.</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Simpson Thacher &amp; Bartlett LLP (included as part of Exhibit 5.1).</w:t>
      </w:r>
    </w:p>
    <w:p>
      <w:pPr>
        <w:spacing w:after="0" w:line="117" w:lineRule="exact"/>
        <w:rPr>
          <w:sz w:val="20"/>
          <w:szCs w:val="20"/>
          <w:color w:val="auto"/>
        </w:rPr>
      </w:pPr>
    </w:p>
    <w:p>
      <w:pPr>
        <w:ind w:left="664" w:hanging="664"/>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 of Regulation S-T, the cover page is formatted in Inline XBRL (Inline eXtensible Business Reporting Language).</w:t>
      </w:r>
    </w:p>
    <w:p>
      <w:pPr>
        <w:spacing w:after="0" w:line="117"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ectPr>
          <w:pgSz w:w="11900" w:h="16838" w:orient="portrait"/>
          <w:cols w:equalWidth="0" w:num="1">
            <w:col w:w="10804"/>
          </w:cols>
          <w:pgMar w:left="436" w:top="293" w:right="6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Jordan A.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Jordan A. Costa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2026</w:t>
      </w:r>
    </w:p>
    <w:p>
      <w:pPr>
        <w:sectPr>
          <w:pgSz w:w="11900" w:h="16838" w:orient="portrait"/>
          <w:cols w:equalWidth="0" w:num="1">
            <w:col w:w="10320"/>
          </w:cols>
          <w:pgMar w:left="440" w:top="293"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pacing w:after="0" w:line="245"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18"/>
          <w:szCs w:val="18"/>
          <w:color w:val="auto"/>
        </w:rPr>
        <w:t>Direct Dial Number</w:t>
      </w:r>
      <w:r>
        <w:rPr>
          <w:sz w:val="20"/>
          <w:szCs w:val="20"/>
          <w:color w:val="auto"/>
        </w:rPr>
        <w:tab/>
      </w: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Stated Above:</w:t>
      </w:r>
    </w:p>
    <w:p>
      <w:pPr>
        <w:spacing w:after="0" w:line="22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JPMorgan Chase &amp; Co., a Delaware corporation (the “Company”), in connection with the Registration Statement on Form S-3 (File No. 333-285537) (as amended, the “Registration Statement”) filed by the Company with the Securities and Exchange Commission (the “Commission”) under the Securities Act of 1933, as amended, and the issuance by the Company of $3,000,000,000 aggregate principal amount of Fixed-to-Floating Rate Subordinated Notes due 2037 (the “Subordinated Notes”), pursuant to the Underwriting Agreement, dated January 29, 2026 (the “Underwriting Agreement”), between the Company and the several underwriters named therein. The Subordinated Notes are being issued under the Subordinated Indenture, dated as of March 14, 2014 (as amended by the First Supplemental Indenture, dated as of January 13, 2017, between the Company and U.S. Bank Trust National Association (the “Trustee”), the “Indenture”), between the Company and the Trustee.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BEIJING  BOSTON  BRUSSELS  HONG KONG  HOUSTON  LONDON  LOS ANGELES  LUXEMBOURG  PALO ALTO  SAN FRANCISCO  SÃO PAULO  TOKYO  WASHINGTON, D.C.</w:t>
      </w:r>
    </w:p>
    <w:p>
      <w:pPr>
        <w:sectPr>
          <w:pgSz w:w="11900" w:h="16838" w:orient="portrait"/>
          <w:cols w:equalWidth="0" w:num="1">
            <w:col w:w="11020"/>
          </w:cols>
          <w:pgMar w:left="440" w:top="117" w:right="439" w:bottom="1440" w:gutter="0" w:footer="0" w:header="0"/>
        </w:sectPr>
      </w:pPr>
    </w:p>
    <w:bookmarkStart w:id="5" w:name="page6"/>
    <w:bookmarkEnd w:id="5"/>
    <w:p>
      <w:pPr>
        <w:spacing w:after="0"/>
        <w:tabs>
          <w:tab w:leader="none" w:pos="56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February 5, 2026</w:t>
      </w:r>
    </w:p>
    <w:p>
      <w:pPr>
        <w:spacing w:after="0" w:line="15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the Indenture; duplicates of the global notes representing the Subordinated Notes;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3"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the Subordinated Notes have been duly authorized, executed and issued by the Company and, assuming due authentication thereof by the Trustee or The Bank of New York Mellon, as authenticating agent under the Indenture on behalf of the Trustee, upon payment and delivery in accordance with the provisions of the Underwriting Agreement, the Subordinated Notes will constitute valid and legally binding obligations of the Company enforceable against the Company in accordance with their terms.</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5620" w:val="left"/>
          <w:tab w:leader="none" w:pos="9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&amp; Co.</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February 5, 2026</w:t>
      </w:r>
    </w:p>
    <w:p>
      <w:pPr>
        <w:spacing w:after="0" w:line="15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dated February 5, 2026 and to the use of our name under the caption “Legal Opinions” in the prospectus relating to the Subordinated Notes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2026-02-05T15:24:28Z</dcterms:created>
  <dcterms:modified xsi:type="dcterms:W3CDTF">2026-02-05T15:24:28Z</dcterms:modified>
</cp:coreProperties>
</file>