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147320</wp:posOffset>
            </wp:positionV>
            <wp:extent cx="27889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155575</wp:posOffset>
            </wp:positionV>
            <wp:extent cx="27889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Report (date of earliest event reported): December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183515</wp:posOffset>
            </wp:positionV>
            <wp:extent cx="2788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JPMorgan Chase &amp; Co.</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145415</wp:posOffset>
            </wp:positionV>
            <wp:extent cx="27889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75" w:lineRule="exact"/>
        <w:rPr>
          <w:sz w:val="24"/>
          <w:szCs w:val="24"/>
          <w:color w:val="auto"/>
        </w:rPr>
      </w:pPr>
    </w:p>
    <w:tbl>
      <w:tblPr>
        <w:tblLayout w:type="fixed"/>
        <w:tblInd w:w="3160" w:type="dxa"/>
        <w:tblCellMar>
          <w:top w:w="0" w:type="dxa"/>
          <w:left w:w="0" w:type="dxa"/>
          <w:bottom w:w="0" w:type="dxa"/>
          <w:right w:w="0" w:type="dxa"/>
        </w:tblCellMar>
      </w:tblPr>
      <w:tr>
        <w:trPr>
          <w:trHeight w:val="136"/>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rPr>
              <w:t>Delaware</w:t>
            </w:r>
          </w:p>
        </w:tc>
        <w:tc>
          <w:tcPr>
            <w:tcW w:w="1580" w:type="dxa"/>
            <w:vAlign w:val="bottom"/>
          </w:tcPr>
          <w:p>
            <w:pPr>
              <w:jc w:val="right"/>
              <w:ind w:right="691"/>
              <w:spacing w:after="0"/>
              <w:rPr>
                <w:sz w:val="20"/>
                <w:szCs w:val="20"/>
                <w:color w:val="auto"/>
              </w:rPr>
            </w:pPr>
            <w:r>
              <w:rPr>
                <w:rFonts w:ascii="Arial" w:cs="Arial" w:eastAsia="Arial" w:hAnsi="Arial"/>
                <w:sz w:val="10"/>
                <w:szCs w:val="10"/>
                <w:b w:val="1"/>
                <w:bCs w:val="1"/>
                <w:color w:val="auto"/>
              </w:rPr>
              <w:t>1-5805</w:t>
            </w:r>
          </w:p>
        </w:tc>
        <w:tc>
          <w:tcPr>
            <w:tcW w:w="1080" w:type="dxa"/>
            <w:vAlign w:val="bottom"/>
          </w:tcPr>
          <w:p>
            <w:pPr>
              <w:jc w:val="right"/>
              <w:ind w:right="111"/>
              <w:spacing w:after="0"/>
              <w:rPr>
                <w:sz w:val="20"/>
                <w:szCs w:val="20"/>
                <w:color w:val="auto"/>
              </w:rPr>
            </w:pPr>
            <w:r>
              <w:rPr>
                <w:rFonts w:ascii="Arial" w:cs="Arial" w:eastAsia="Arial" w:hAnsi="Arial"/>
                <w:sz w:val="10"/>
                <w:szCs w:val="10"/>
                <w:b w:val="1"/>
                <w:bCs w:val="1"/>
                <w:color w:val="auto"/>
              </w:rPr>
              <w:t>13-2624428</w:t>
            </w:r>
          </w:p>
        </w:tc>
      </w:tr>
      <w:tr>
        <w:trPr>
          <w:trHeight w:val="102"/>
        </w:trPr>
        <w:tc>
          <w:tcPr>
            <w:tcW w:w="1920" w:type="dxa"/>
            <w:vAlign w:val="bottom"/>
          </w:tcPr>
          <w:p>
            <w:pPr>
              <w:jc w:val="center"/>
              <w:ind w:right="31"/>
              <w:spacing w:after="0" w:line="102" w:lineRule="exact"/>
              <w:rPr>
                <w:sz w:val="20"/>
                <w:szCs w:val="20"/>
                <w:color w:val="auto"/>
              </w:rPr>
            </w:pPr>
            <w:r>
              <w:rPr>
                <w:rFonts w:ascii="Arial" w:cs="Arial" w:eastAsia="Arial" w:hAnsi="Arial"/>
                <w:sz w:val="10"/>
                <w:szCs w:val="10"/>
                <w:b w:val="1"/>
                <w:bCs w:val="1"/>
                <w:color w:val="auto"/>
                <w:w w:val="99"/>
              </w:rPr>
              <w:t>(State or other jurisdiction of</w:t>
            </w:r>
          </w:p>
        </w:tc>
        <w:tc>
          <w:tcPr>
            <w:tcW w:w="1580" w:type="dxa"/>
            <w:vAlign w:val="bottom"/>
          </w:tcPr>
          <w:p>
            <w:pPr>
              <w:jc w:val="center"/>
              <w:ind w:right="151"/>
              <w:spacing w:after="0" w:line="102" w:lineRule="exact"/>
              <w:rPr>
                <w:sz w:val="20"/>
                <w:szCs w:val="20"/>
                <w:color w:val="auto"/>
              </w:rPr>
            </w:pPr>
            <w:r>
              <w:rPr>
                <w:rFonts w:ascii="Arial" w:cs="Arial" w:eastAsia="Arial" w:hAnsi="Arial"/>
                <w:sz w:val="10"/>
                <w:szCs w:val="10"/>
                <w:b w:val="1"/>
                <w:bCs w:val="1"/>
                <w:color w:val="auto"/>
                <w:w w:val="98"/>
              </w:rPr>
              <w:t>(Commission File Number)</w:t>
            </w:r>
          </w:p>
        </w:tc>
        <w:tc>
          <w:tcPr>
            <w:tcW w:w="1080" w:type="dxa"/>
            <w:vAlign w:val="bottom"/>
          </w:tcPr>
          <w:p>
            <w:pPr>
              <w:jc w:val="center"/>
              <w:ind w:left="211"/>
              <w:spacing w:after="0" w:line="102" w:lineRule="exact"/>
              <w:rPr>
                <w:sz w:val="20"/>
                <w:szCs w:val="20"/>
                <w:color w:val="auto"/>
              </w:rPr>
            </w:pPr>
            <w:r>
              <w:rPr>
                <w:rFonts w:ascii="Arial" w:cs="Arial" w:eastAsia="Arial" w:hAnsi="Arial"/>
                <w:sz w:val="10"/>
                <w:szCs w:val="10"/>
                <w:b w:val="1"/>
                <w:bCs w:val="1"/>
                <w:color w:val="auto"/>
                <w:w w:val="97"/>
              </w:rPr>
              <w:t>(I.R.S. employer</w:t>
            </w:r>
          </w:p>
        </w:tc>
      </w:tr>
      <w:tr>
        <w:trPr>
          <w:trHeight w:val="136"/>
        </w:trPr>
        <w:tc>
          <w:tcPr>
            <w:tcW w:w="1920" w:type="dxa"/>
            <w:vAlign w:val="bottom"/>
          </w:tcPr>
          <w:p>
            <w:pPr>
              <w:jc w:val="center"/>
              <w:ind w:right="11"/>
              <w:spacing w:after="0"/>
              <w:rPr>
                <w:sz w:val="20"/>
                <w:szCs w:val="20"/>
                <w:color w:val="auto"/>
              </w:rPr>
            </w:pPr>
            <w:r>
              <w:rPr>
                <w:rFonts w:ascii="Arial" w:cs="Arial" w:eastAsia="Arial" w:hAnsi="Arial"/>
                <w:sz w:val="10"/>
                <w:szCs w:val="10"/>
                <w:b w:val="1"/>
                <w:bCs w:val="1"/>
                <w:color w:val="auto"/>
                <w:w w:val="99"/>
              </w:rPr>
              <w:t>incorporation or organization)</w:t>
            </w:r>
          </w:p>
        </w:tc>
        <w:tc>
          <w:tcPr>
            <w:tcW w:w="1580" w:type="dxa"/>
            <w:vAlign w:val="bottom"/>
          </w:tcPr>
          <w:p>
            <w:pPr>
              <w:spacing w:after="0"/>
              <w:rPr>
                <w:sz w:val="11"/>
                <w:szCs w:val="11"/>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w w:val="98"/>
              </w:rPr>
              <w:t>identification no.)</w:t>
            </w:r>
          </w:p>
        </w:tc>
      </w:tr>
      <w:tr>
        <w:trPr>
          <w:trHeight w:val="261"/>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383 Madison Avenue,</w:t>
            </w: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38"/>
        </w:trPr>
        <w:tc>
          <w:tcPr>
            <w:tcW w:w="1920" w:type="dxa"/>
            <w:vAlign w:val="bottom"/>
          </w:tcPr>
          <w:p>
            <w:pPr>
              <w:ind w:left="440"/>
              <w:spacing w:after="0"/>
              <w:rPr>
                <w:sz w:val="20"/>
                <w:szCs w:val="20"/>
                <w:color w:val="auto"/>
              </w:rPr>
            </w:pPr>
            <w:r>
              <w:rPr>
                <w:rFonts w:ascii="Arial" w:cs="Arial" w:eastAsia="Arial" w:hAnsi="Arial"/>
                <w:sz w:val="10"/>
                <w:szCs w:val="10"/>
                <w:b w:val="1"/>
                <w:bCs w:val="1"/>
                <w:color w:val="auto"/>
              </w:rPr>
              <w:t>New York, New York</w:t>
            </w:r>
          </w:p>
        </w:tc>
        <w:tc>
          <w:tcPr>
            <w:tcW w:w="1580" w:type="dxa"/>
            <w:vAlign w:val="bottom"/>
          </w:tcPr>
          <w:p>
            <w:pPr>
              <w:spacing w:after="0"/>
              <w:rPr>
                <w:sz w:val="11"/>
                <w:szCs w:val="11"/>
                <w:color w:val="auto"/>
              </w:rPr>
            </w:pPr>
          </w:p>
        </w:tc>
        <w:tc>
          <w:tcPr>
            <w:tcW w:w="1080" w:type="dxa"/>
            <w:vAlign w:val="bottom"/>
          </w:tcPr>
          <w:p>
            <w:pPr>
              <w:jc w:val="right"/>
              <w:ind w:right="231"/>
              <w:spacing w:after="0"/>
              <w:rPr>
                <w:sz w:val="20"/>
                <w:szCs w:val="20"/>
                <w:color w:val="auto"/>
              </w:rPr>
            </w:pPr>
            <w:r>
              <w:rPr>
                <w:rFonts w:ascii="Arial" w:cs="Arial" w:eastAsia="Arial" w:hAnsi="Arial"/>
                <w:sz w:val="10"/>
                <w:szCs w:val="10"/>
                <w:b w:val="1"/>
                <w:bCs w:val="1"/>
                <w:color w:val="auto"/>
              </w:rPr>
              <w:t>10179</w:t>
            </w:r>
          </w:p>
        </w:tc>
      </w:tr>
      <w:tr>
        <w:trPr>
          <w:trHeight w:val="170"/>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(Address of principal executive offices)</w:t>
            </w:r>
          </w:p>
        </w:tc>
        <w:tc>
          <w:tcPr>
            <w:tcW w:w="1580" w:type="dxa"/>
            <w:vAlign w:val="bottom"/>
          </w:tcPr>
          <w:p>
            <w:pPr>
              <w:spacing w:after="0"/>
              <w:rPr>
                <w:sz w:val="14"/>
                <w:szCs w:val="14"/>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rPr>
              <w:t>(Zip Code)</w:t>
            </w:r>
          </w:p>
        </w:tc>
      </w:tr>
    </w:tbl>
    <w:p>
      <w:pPr>
        <w:spacing w:after="0" w:line="106"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Registrant’s telephone number, including area code: (212) 270-6000</w:t>
      </w:r>
    </w:p>
    <w:p>
      <w:pPr>
        <w:spacing w:after="0" w:line="8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Written communications pursuant to Rule 425 under the Securities Act (17 CFR 230.425)</w:t>
      </w:r>
    </w:p>
    <w:p>
      <w:pPr>
        <w:spacing w:after="0" w:line="118"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Soliciting material pursuant to Rule 14a-12 under the Exchange Act (17 CFR 240.14a-12)</w:t>
      </w:r>
    </w:p>
    <w:p>
      <w:pPr>
        <w:spacing w:after="0" w:line="182"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Pre-commencement communications pursuant to Rule 14d-2(b) under the Exchange Act (17 CFR 240.14d-2(b))</w:t>
      </w:r>
    </w:p>
    <w:p>
      <w:pPr>
        <w:spacing w:after="0" w:line="118"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Pre-commencement communications pursuant to Rule 13e-4(c) under the Exchange Act (17 CFR 240.13e-4(c))</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pacing w:after="0" w:line="104" w:lineRule="exact"/>
        <w:rPr>
          <w:sz w:val="24"/>
          <w:szCs w:val="24"/>
          <w:color w:val="auto"/>
        </w:rPr>
      </w:pPr>
    </w:p>
    <w:tbl>
      <w:tblPr>
        <w:tblLayout w:type="fixed"/>
        <w:tblInd w:w="80" w:type="dxa"/>
        <w:tblCellMar>
          <w:top w:w="0" w:type="dxa"/>
          <w:left w:w="0" w:type="dxa"/>
          <w:bottom w:w="0" w:type="dxa"/>
          <w:right w:w="0" w:type="dxa"/>
        </w:tblCellMar>
      </w:tblPr>
      <w:tr>
        <w:trPr>
          <w:trHeight w:val="115"/>
        </w:trPr>
        <w:tc>
          <w:tcPr>
            <w:tcW w:w="860" w:type="dxa"/>
            <w:vAlign w:val="bottom"/>
          </w:tcPr>
          <w:p>
            <w:pPr>
              <w:spacing w:after="0"/>
              <w:rPr>
                <w:sz w:val="20"/>
                <w:szCs w:val="20"/>
                <w:color w:val="auto"/>
              </w:rPr>
            </w:pPr>
            <w:r>
              <w:rPr>
                <w:rFonts w:ascii="Arial" w:cs="Arial" w:eastAsia="Arial" w:hAnsi="Arial"/>
                <w:sz w:val="10"/>
                <w:szCs w:val="10"/>
                <w:b w:val="1"/>
                <w:bCs w:val="1"/>
                <w:color w:val="auto"/>
                <w:w w:val="97"/>
              </w:rPr>
              <w:t>Title of each class</w:t>
            </w:r>
          </w:p>
        </w:tc>
        <w:tc>
          <w:tcPr>
            <w:tcW w:w="5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2"/>
          </w:tcPr>
          <w:p>
            <w:pPr>
              <w:spacing w:after="0"/>
              <w:rPr>
                <w:sz w:val="20"/>
                <w:szCs w:val="20"/>
                <w:color w:val="auto"/>
              </w:rPr>
            </w:pPr>
            <w:r>
              <w:rPr>
                <w:rFonts w:ascii="Arial" w:cs="Arial" w:eastAsia="Arial" w:hAnsi="Arial"/>
                <w:sz w:val="10"/>
                <w:szCs w:val="10"/>
                <w:b w:val="1"/>
                <w:bCs w:val="1"/>
                <w:color w:val="auto"/>
              </w:rPr>
              <w:t>Trading Symbol(s)</w:t>
            </w:r>
          </w:p>
        </w:tc>
        <w:tc>
          <w:tcPr>
            <w:tcW w:w="2080" w:type="dxa"/>
            <w:vAlign w:val="bottom"/>
          </w:tcPr>
          <w:p>
            <w:pPr>
              <w:spacing w:after="0"/>
              <w:rPr>
                <w:sz w:val="20"/>
                <w:szCs w:val="20"/>
                <w:color w:val="auto"/>
              </w:rPr>
            </w:pPr>
            <w:r>
              <w:rPr>
                <w:rFonts w:ascii="Arial" w:cs="Arial" w:eastAsia="Arial" w:hAnsi="Arial"/>
                <w:sz w:val="10"/>
                <w:szCs w:val="10"/>
                <w:b w:val="1"/>
                <w:bCs w:val="1"/>
                <w:color w:val="auto"/>
                <w:w w:val="97"/>
              </w:rPr>
              <w:t>Name of each exchange on which registered</w:t>
            </w:r>
          </w:p>
        </w:tc>
      </w:tr>
      <w:tr>
        <w:trPr>
          <w:trHeight w:val="143"/>
        </w:trPr>
        <w:tc>
          <w:tcPr>
            <w:tcW w:w="8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Common stock</w:t>
            </w: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JPM</w:t>
            </w:r>
          </w:p>
        </w:tc>
        <w:tc>
          <w:tcPr>
            <w:tcW w:w="1340" w:type="dxa"/>
            <w:vAlign w:val="bottom"/>
          </w:tcPr>
          <w:p>
            <w:pPr>
              <w:spacing w:after="0"/>
              <w:rPr>
                <w:sz w:val="12"/>
                <w:szCs w:val="12"/>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The New York Stock Exchange</w:t>
            </w:r>
          </w:p>
        </w:tc>
      </w:tr>
      <w:tr>
        <w:trPr>
          <w:trHeight w:val="102"/>
        </w:trPr>
        <w:tc>
          <w:tcPr>
            <w:tcW w:w="5880" w:type="dxa"/>
            <w:vAlign w:val="bottom"/>
            <w:gridSpan w:val="2"/>
          </w:tcPr>
          <w:p>
            <w:pPr>
              <w:spacing w:after="0" w:line="102"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5.75% Non-Cumulative Preferred Stock,</w:t>
            </w:r>
          </w:p>
        </w:tc>
        <w:tc>
          <w:tcPr>
            <w:tcW w:w="2320" w:type="dxa"/>
            <w:vAlign w:val="bottom"/>
            <w:gridSpan w:val="3"/>
          </w:tcPr>
          <w:p>
            <w:pPr>
              <w:ind w:left="120"/>
              <w:spacing w:after="0" w:line="102" w:lineRule="exact"/>
              <w:rPr>
                <w:sz w:val="20"/>
                <w:szCs w:val="20"/>
                <w:color w:val="auto"/>
              </w:rPr>
            </w:pPr>
            <w:r>
              <w:rPr>
                <w:rFonts w:ascii="Arial" w:cs="Arial" w:eastAsia="Arial" w:hAnsi="Arial"/>
                <w:sz w:val="10"/>
                <w:szCs w:val="10"/>
                <w:b w:val="1"/>
                <w:bCs w:val="1"/>
                <w:color w:val="auto"/>
              </w:rPr>
              <w:t>JPM PR D</w:t>
            </w:r>
          </w:p>
        </w:tc>
        <w:tc>
          <w:tcPr>
            <w:tcW w:w="2080" w:type="dxa"/>
            <w:vAlign w:val="bottom"/>
          </w:tcPr>
          <w:p>
            <w:pPr>
              <w:spacing w:after="0" w:line="102"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DD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6.00% Non-Cumulative Preferred Stock,</w:t>
            </w:r>
          </w:p>
        </w:tc>
        <w:tc>
          <w:tcPr>
            <w:tcW w:w="232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C</w:t>
            </w:r>
          </w:p>
        </w:tc>
        <w:tc>
          <w:tcPr>
            <w:tcW w:w="2080" w:type="dxa"/>
            <w:vAlign w:val="bottom"/>
          </w:tcPr>
          <w:p>
            <w:pPr>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EE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4.75% Non-Cumulative Preferred Stock,</w:t>
            </w:r>
          </w:p>
        </w:tc>
        <w:tc>
          <w:tcPr>
            <w:tcW w:w="232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J</w:t>
            </w:r>
          </w:p>
        </w:tc>
        <w:tc>
          <w:tcPr>
            <w:tcW w:w="2080" w:type="dxa"/>
            <w:vAlign w:val="bottom"/>
          </w:tcPr>
          <w:p>
            <w:pPr>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GG</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4.55% Non-Cumulative Preferred Stock,</w:t>
            </w:r>
          </w:p>
        </w:tc>
        <w:tc>
          <w:tcPr>
            <w:tcW w:w="232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K</w:t>
            </w:r>
          </w:p>
        </w:tc>
        <w:tc>
          <w:tcPr>
            <w:tcW w:w="2080" w:type="dxa"/>
            <w:vAlign w:val="bottom"/>
          </w:tcPr>
          <w:p>
            <w:pPr>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JJ</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4.625% Non-Cumulative Preferred Stock,</w:t>
            </w:r>
          </w:p>
        </w:tc>
        <w:tc>
          <w:tcPr>
            <w:tcW w:w="232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L</w:t>
            </w:r>
          </w:p>
        </w:tc>
        <w:tc>
          <w:tcPr>
            <w:tcW w:w="2080" w:type="dxa"/>
            <w:vAlign w:val="bottom"/>
          </w:tcPr>
          <w:p>
            <w:pPr>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LL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4.20% Non-Cumulative Preferred Stock,</w:t>
            </w:r>
          </w:p>
        </w:tc>
        <w:tc>
          <w:tcPr>
            <w:tcW w:w="232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M</w:t>
            </w:r>
          </w:p>
        </w:tc>
        <w:tc>
          <w:tcPr>
            <w:tcW w:w="2080" w:type="dxa"/>
            <w:vAlign w:val="bottom"/>
          </w:tcPr>
          <w:p>
            <w:pPr>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MM</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44"/>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Guarantee of Callable Fixed Rate Notes due June 10, 2032 of JPMorgan Chase Financial Company LLC</w:t>
            </w:r>
          </w:p>
        </w:tc>
        <w:tc>
          <w:tcPr>
            <w:tcW w:w="2320" w:type="dxa"/>
            <w:vAlign w:val="bottom"/>
            <w:gridSpan w:val="3"/>
          </w:tcPr>
          <w:p>
            <w:pPr>
              <w:ind w:left="120"/>
              <w:spacing w:after="0"/>
              <w:rPr>
                <w:sz w:val="20"/>
                <w:szCs w:val="20"/>
                <w:color w:val="auto"/>
              </w:rPr>
            </w:pPr>
            <w:r>
              <w:rPr>
                <w:rFonts w:ascii="Arial" w:cs="Arial" w:eastAsia="Arial" w:hAnsi="Arial"/>
                <w:sz w:val="10"/>
                <w:szCs w:val="10"/>
                <w:b w:val="1"/>
                <w:bCs w:val="1"/>
                <w:color w:val="auto"/>
              </w:rPr>
              <w:t>JPM/32</w:t>
            </w:r>
          </w:p>
        </w:tc>
        <w:tc>
          <w:tcPr>
            <w:tcW w:w="2080" w:type="dxa"/>
            <w:vAlign w:val="bottom"/>
          </w:tcPr>
          <w:p>
            <w:pPr>
              <w:spacing w:after="0"/>
              <w:rPr>
                <w:sz w:val="20"/>
                <w:szCs w:val="20"/>
                <w:color w:val="auto"/>
              </w:rPr>
            </w:pPr>
            <w:r>
              <w:rPr>
                <w:rFonts w:ascii="Arial" w:cs="Arial" w:eastAsia="Arial" w:hAnsi="Arial"/>
                <w:sz w:val="10"/>
                <w:szCs w:val="10"/>
                <w:b w:val="1"/>
                <w:bCs w:val="1"/>
                <w:color w:val="auto"/>
              </w:rPr>
              <w:t>The New York Stock Exchange</w:t>
            </w:r>
          </w:p>
        </w:tc>
      </w:tr>
      <w:tr>
        <w:trPr>
          <w:trHeight w:val="138"/>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Guarantee of Alerian MLP Index ETNs due January 28, 2044 of JPMorgan Chase Financial Company LLC</w:t>
            </w:r>
          </w:p>
        </w:tc>
        <w:tc>
          <w:tcPr>
            <w:tcW w:w="2320" w:type="dxa"/>
            <w:vAlign w:val="bottom"/>
            <w:gridSpan w:val="3"/>
          </w:tcPr>
          <w:p>
            <w:pPr>
              <w:ind w:left="120"/>
              <w:spacing w:after="0"/>
              <w:rPr>
                <w:sz w:val="20"/>
                <w:szCs w:val="20"/>
                <w:color w:val="auto"/>
              </w:rPr>
            </w:pPr>
            <w:r>
              <w:rPr>
                <w:rFonts w:ascii="Arial" w:cs="Arial" w:eastAsia="Arial" w:hAnsi="Arial"/>
                <w:sz w:val="10"/>
                <w:szCs w:val="10"/>
                <w:b w:val="1"/>
                <w:bCs w:val="1"/>
                <w:color w:val="auto"/>
              </w:rPr>
              <w:t>AMJB</w:t>
            </w:r>
          </w:p>
        </w:tc>
        <w:tc>
          <w:tcPr>
            <w:tcW w:w="2080" w:type="dxa"/>
            <w:vAlign w:val="bottom"/>
          </w:tcPr>
          <w:p>
            <w:pPr>
              <w:spacing w:after="0"/>
              <w:rPr>
                <w:sz w:val="20"/>
                <w:szCs w:val="20"/>
                <w:color w:val="auto"/>
              </w:rPr>
            </w:pPr>
            <w:r>
              <w:rPr>
                <w:rFonts w:ascii="Arial" w:cs="Arial" w:eastAsia="Arial" w:hAnsi="Arial"/>
                <w:sz w:val="10"/>
                <w:szCs w:val="10"/>
                <w:b w:val="1"/>
                <w:bCs w:val="1"/>
                <w:color w:val="auto"/>
              </w:rPr>
              <w:t>NYSE Arca, Inc.</w:t>
            </w:r>
          </w:p>
        </w:tc>
      </w:tr>
    </w:tbl>
    <w:p>
      <w:pPr>
        <w:spacing w:after="0" w:line="117" w:lineRule="exact"/>
        <w:rPr>
          <w:sz w:val="24"/>
          <w:szCs w:val="24"/>
          <w:color w:val="auto"/>
        </w:rPr>
      </w:pPr>
    </w:p>
    <w:p>
      <w:pPr>
        <w:spacing w:after="0" w:line="266"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80" w:lineRule="exact"/>
        <w:rPr>
          <w:sz w:val="24"/>
          <w:szCs w:val="24"/>
          <w:color w:val="auto"/>
        </w:rPr>
      </w:pPr>
    </w:p>
    <w:p>
      <w:pPr>
        <w:spacing w:after="0" w:line="15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14" w:right="4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5.02(d) 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JPMorgan Chase &amp; Co. elected Michele G. Buck as a director, effective March 17, 2025. Ms. Buck is the Chairman of the Board, President and Chief Executive Officer of The Hershey Company. Ms. Buck's appointment to a board committee will be disclosed when determined. She was also elected a director of JPMorgan Chase Bank, N.A. and a manager of JPMorgan Chase Holdings LLC, and may be elected a director of such other subsidiary or subsidiaries as may be determined from time to time.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A copy of the press release announcing this election is attached hereto as Exhibit 99.1.</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gridSpan w:val="3"/>
          </w:tcPr>
          <w:p>
            <w:pPr>
              <w:spacing w:after="0"/>
              <w:rPr>
                <w:sz w:val="20"/>
                <w:szCs w:val="20"/>
                <w:color w:val="auto"/>
              </w:rPr>
            </w:pPr>
            <w:r>
              <w:rPr>
                <w:rFonts w:ascii="Arial" w:cs="Arial" w:eastAsia="Arial" w:hAnsi="Arial"/>
                <w:sz w:val="14"/>
                <w:szCs w:val="14"/>
                <w:color w:val="auto"/>
              </w:rPr>
              <w:t>(d)  Exhibit</w:t>
            </w:r>
          </w:p>
        </w:tc>
        <w:tc>
          <w:tcPr>
            <w:tcW w:w="4080" w:type="dxa"/>
            <w:vAlign w:val="bottom"/>
          </w:tcPr>
          <w:p>
            <w:pPr>
              <w:spacing w:after="0"/>
              <w:rPr>
                <w:sz w:val="16"/>
                <w:szCs w:val="16"/>
                <w:color w:val="auto"/>
              </w:rPr>
            </w:pPr>
          </w:p>
        </w:tc>
        <w:tc>
          <w:tcPr>
            <w:tcW w:w="4420" w:type="dxa"/>
            <w:vAlign w:val="bottom"/>
          </w:tcPr>
          <w:p>
            <w:pPr>
              <w:spacing w:after="0"/>
              <w:rPr>
                <w:sz w:val="16"/>
                <w:szCs w:val="16"/>
                <w:color w:val="auto"/>
              </w:rPr>
            </w:pPr>
          </w:p>
        </w:tc>
      </w:tr>
      <w:tr>
        <w:trPr>
          <w:trHeight w:val="486"/>
        </w:trPr>
        <w:tc>
          <w:tcPr>
            <w:tcW w:w="580" w:type="dxa"/>
            <w:vAlign w:val="bottom"/>
          </w:tcPr>
          <w:p>
            <w:pPr>
              <w:spacing w:after="0"/>
              <w:rPr>
                <w:sz w:val="24"/>
                <w:szCs w:val="24"/>
                <w:color w:val="auto"/>
              </w:rPr>
            </w:pP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8500" w:type="dxa"/>
            <w:vAlign w:val="bottom"/>
            <w:tcBorders>
              <w:bottom w:val="single" w:sz="8" w:color="auto"/>
            </w:tcBorders>
            <w:gridSpan w:val="2"/>
          </w:tcPr>
          <w:p>
            <w:pPr>
              <w:ind w:left="3520"/>
              <w:spacing w:after="0"/>
              <w:rPr>
                <w:sz w:val="20"/>
                <w:szCs w:val="20"/>
                <w:color w:val="auto"/>
              </w:rPr>
            </w:pPr>
            <w:r>
              <w:rPr>
                <w:rFonts w:ascii="Arial" w:cs="Arial" w:eastAsia="Arial" w:hAnsi="Arial"/>
                <w:sz w:val="14"/>
                <w:szCs w:val="14"/>
                <w:b w:val="1"/>
                <w:bCs w:val="1"/>
                <w:color w:val="auto"/>
              </w:rPr>
              <w:t>Description of Exhibit</w:t>
            </w:r>
          </w:p>
        </w:tc>
      </w:tr>
      <w:tr>
        <w:trPr>
          <w:trHeight w:val="256"/>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99.1</w:t>
            </w:r>
          </w:p>
        </w:tc>
        <w:tc>
          <w:tcPr>
            <w:tcW w:w="16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4"/>
                <w:szCs w:val="14"/>
                <w:color w:val="0000FF"/>
              </w:rPr>
              <w:t>JPMorgan Chase &amp; Co Press Release dated December 12, 2024</w:t>
            </w:r>
          </w:p>
        </w:tc>
      </w:tr>
      <w:tr>
        <w:trPr>
          <w:trHeight w:val="20"/>
        </w:trPr>
        <w:tc>
          <w:tcPr>
            <w:tcW w:w="2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88"/>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4"/>
                <w:szCs w:val="14"/>
                <w:color w:val="auto"/>
              </w:rPr>
              <w:t>Pursuant to Rule 406 of Regulation S-T, the cover page is formatted in Inline XBRL (Inline eXtensible Business Reporting Language).</w:t>
            </w:r>
          </w:p>
        </w:tc>
      </w:tr>
      <w:tr>
        <w:trPr>
          <w:trHeight w:val="186"/>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4"/>
                <w:szCs w:val="14"/>
                <w:color w:val="auto"/>
              </w:rPr>
              <w:t>Cover Page Interactive Data File (embedded within the Inline XBRL document and included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1005"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u w:val="single" w:color="auto"/>
          <w:color w:val="auto"/>
        </w:rPr>
        <w:t>SIGNATURE</w:t>
      </w:r>
    </w:p>
    <w:p>
      <w:pPr>
        <w:spacing w:after="0" w:line="200" w:lineRule="exact"/>
        <w:rPr>
          <w:sz w:val="20"/>
          <w:szCs w:val="20"/>
          <w:color w:val="auto"/>
        </w:rPr>
      </w:pPr>
    </w:p>
    <w:p>
      <w:pPr>
        <w:spacing w:after="0" w:line="244"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57" w:lineRule="exact"/>
        <w:rPr>
          <w:sz w:val="20"/>
          <w:szCs w:val="20"/>
          <w:color w:val="auto"/>
        </w:rPr>
      </w:pPr>
    </w:p>
    <w:tbl>
      <w:tblPr>
        <w:tblLayout w:type="fixed"/>
        <w:tblInd w:w="582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JPMorgan Chase &amp; Co.</w:t>
            </w:r>
          </w:p>
        </w:tc>
      </w:tr>
      <w:tr>
        <w:trPr>
          <w:trHeight w:val="177"/>
        </w:trPr>
        <w:tc>
          <w:tcPr>
            <w:tcW w:w="500" w:type="dxa"/>
            <w:vAlign w:val="bottom"/>
          </w:tcPr>
          <w:p>
            <w:pPr>
              <w:spacing w:after="0"/>
              <w:rPr>
                <w:sz w:val="15"/>
                <w:szCs w:val="15"/>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(Registrant)</w:t>
            </w:r>
          </w:p>
        </w:tc>
      </w:tr>
      <w:tr>
        <w:trPr>
          <w:trHeight w:val="716"/>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John H. Tribolati</w:t>
            </w:r>
          </w:p>
        </w:tc>
      </w:tr>
      <w:tr>
        <w:trPr>
          <w:trHeight w:val="167"/>
        </w:trPr>
        <w:tc>
          <w:tcPr>
            <w:tcW w:w="500" w:type="dxa"/>
            <w:vAlign w:val="bottom"/>
          </w:tcPr>
          <w:p>
            <w:pPr>
              <w:spacing w:after="0"/>
              <w:rPr>
                <w:sz w:val="14"/>
                <w:szCs w:val="14"/>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John H. Tribolati</w:t>
            </w:r>
          </w:p>
        </w:tc>
      </w:tr>
      <w:tr>
        <w:trPr>
          <w:trHeight w:val="186"/>
        </w:trPr>
        <w:tc>
          <w:tcPr>
            <w:tcW w:w="500" w:type="dxa"/>
            <w:vAlign w:val="bottom"/>
          </w:tcPr>
          <w:p>
            <w:pPr>
              <w:spacing w:after="0"/>
              <w:rPr>
                <w:sz w:val="16"/>
                <w:szCs w:val="16"/>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4"/>
          <w:szCs w:val="14"/>
          <w:color w:val="auto"/>
        </w:rPr>
        <w:t>Dated:</w:t>
        <w:tab/>
        <w:t>December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889" w:right="3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2024-12-12T15:29:07Z</dcterms:created>
  <dcterms:modified xsi:type="dcterms:W3CDTF">2024-12-12T15:29:07Z</dcterms:modified>
</cp:coreProperties>
</file>