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3733-01_fwp.htm"/>
      <w:bookmarkStart w:id="1" w:name="ksea030373301_fwp"/>
      <w:bookmarkStart w:id="2" w:name="ea0303733-01_fwp.htm"/>
      <w:bookmarkStart w:id="3" w:name="ksea030373301_fwp"/>
      <w:bookmarkEnd w:id="2"/>
      <w:bookmarkEnd w:id="3"/>
    </w:p>
    <w:tbl>
      <w:tblPr>
        <w:tblW w:w="10205" w:type="dxa"/>
        <w:jc w:val="left"/>
        <w:tblInd w:w="0" w:type="dxa"/>
        <w:tblLayout w:type="fixed"/>
        <w:tblCellMar>
          <w:top w:w="0" w:type="dxa"/>
          <w:left w:w="0" w:type="dxa"/>
          <w:bottom w:w="0" w:type="dxa"/>
          <w:right w:w="0" w:type="dxa"/>
        </w:tblCellMar>
      </w:tblPr>
      <w:tblGrid>
        <w:gridCol w:w="6169"/>
        <w:gridCol w:w="4036"/>
      </w:tblGrid>
      <w:tr>
        <w:trPr/>
        <w:tc>
          <w:tcPr>
            <w:tcW w:w="6169"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36"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69" w:type="dxa"/>
            <w:vMerge w:val="continue"/>
            <w:tcBorders/>
            <w:vAlign w:val="center"/>
          </w:tcPr>
          <w:p>
            <w:pPr>
              <w:pStyle w:val="Normal"/>
              <w:bidi w:val="0"/>
              <w:jc w:val="left"/>
              <w:rPr/>
            </w:pPr>
            <w:r>
              <w:rPr/>
            </w:r>
          </w:p>
        </w:tc>
        <w:tc>
          <w:tcPr>
            <w:tcW w:w="4036"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6383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35242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Contingent Fixed Return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Ordinary Shares of Eaton Corporation plc due November 8, 2027</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August 27, 2026 to Preliminary Pricing Supplement dated August 27, 2026</w:t>
            </w:r>
          </w:p>
        </w:tc>
      </w:tr>
    </w:tbl>
    <w:p>
      <w:pPr>
        <w:pStyle w:val="TextBody"/>
        <w:bidi w:val="0"/>
        <w:spacing w:before="60" w:after="6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05827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05827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ordinary shares of Eaton Corporation plc (Bloomberg ticker: ETN)</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21.85% of the principal amount (at least $218.50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75%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46661MKD5</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0.77</w:t>
                                  </w:r>
                                  <w:r>
                                    <w:rPr>
                                      <w:rFonts w:ascii="Georgia;Times;Serif" w:hAnsi="Georgia;Times;Serif"/>
                                      <w:b w:val="false"/>
                                      <w:i w:val="false"/>
                                      <w:caps w:val="false"/>
                                      <w:smallCaps w:val="false"/>
                                      <w:sz w:val="18"/>
                                    </w:rPr>
                                    <w:t>5</w:t>
                                  </w:r>
                                  <w:r>
                                    <w:rPr>
                                      <w:rFonts w:ascii="Georgia;Times;Serif" w:hAnsi="Georgia;Times;Serif"/>
                                      <w:b w:val="false"/>
                                      <w:i w:val="false"/>
                                      <w:caps w:val="false"/>
                                      <w:smallCaps w:val="false"/>
                                      <w:sz w:val="16"/>
                                    </w:rPr>
                                    <w:t>%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ordinary shares of Eaton Corporation plc (Bloomberg ticker: ETN)</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21.85% of the principal amount (at least $218.50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75%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46661MKD5</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0.77</w:t>
                            </w:r>
                            <w:r>
                              <w:rPr>
                                <w:rFonts w:ascii="Georgia;Times;Serif" w:hAnsi="Georgia;Times;Serif"/>
                                <w:b w:val="false"/>
                                <w:i w:val="false"/>
                                <w:caps w:val="false"/>
                                <w:smallCaps w:val="false"/>
                                <w:sz w:val="18"/>
                              </w:rPr>
                              <w:t>5</w:t>
                            </w:r>
                            <w:r>
                              <w:rPr>
                                <w:rFonts w:ascii="Georgia;Times;Serif" w:hAnsi="Georgia;Times;Serif"/>
                                <w:b w:val="false"/>
                                <w:i w:val="false"/>
                                <w:caps w:val="false"/>
                                <w:smallCaps w:val="false"/>
                                <w:sz w:val="16"/>
                              </w:rPr>
                              <w:t>%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6049645"/>
                <wp:effectExtent l="0" t="0" r="0" b="0"/>
                <wp:wrapSquare wrapText="left"/>
                <wp:docPr id="3" name="Frame2"/>
                <a:graphic xmlns:a="http://schemas.openxmlformats.org/drawingml/2006/main">
                  <a:graphicData uri="http://schemas.microsoft.com/office/word/2010/wordprocessingShape">
                    <wps:wsp>
                      <wps:cNvSpPr txBox="1"/>
                      <wps:spPr>
                        <a:xfrm>
                          <a:off x="0" y="0"/>
                          <a:ext cx="3175000" cy="604964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114675" cy="18859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14675" cy="18859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$975.60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http://www.sec.gov/Archives/edgar/data/19617/000121390026094384/</w:t>
                                <w:br/>
                                <w:t>ea0303616-01_424b2.htm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6.3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114675" cy="18859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114675" cy="18859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$975.60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http://www.sec.gov/Archives/edgar/data/19617/000121390026094384/</w:t>
                          <w:br/>
                          <w:t>ea0303616-01_424b2.htm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978"/>
        <w:gridCol w:w="6227"/>
      </w:tblGrid>
      <w:tr>
        <w:trPr/>
        <w:tc>
          <w:tcPr>
            <w:tcW w:w="3978"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Is Less Than the Threshold Price, You Will Lose More Than 25%,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Potential Return on the Securities Is Limited to the Contingent Fixed Return and May Be Lower Than the Return on a Direct Investment in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Ability to Receive the Contingent Fixed Return May Terminate on the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0"/>
              <w:jc w:val="left"/>
              <w:rPr>
                <w:caps w:val="false"/>
                <w:smallCaps w:val="false"/>
              </w:rPr>
            </w:pPr>
            <w:r>
              <w:rPr>
                <w:caps w:val="false"/>
                <w:smallCaps w:val="false"/>
              </w:rPr>
              <w:t> </w:t>
            </w:r>
          </w:p>
        </w:tc>
        <w:tc>
          <w:tcPr>
            <w:tcW w:w="6227"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Risks Associated with Non-U.S. Companies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Maturity Payment Amount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4384/ea0303616-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4384/ea0303616-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1273</Words>
  <Characters>6929</Characters>
  <CharactersWithSpaces>8249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