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b w:val="1"/>
          <w:bCs w:val="1"/>
          <w:color w:val="808080"/>
        </w:rPr>
        <w:t>JPMorgan Chase Financial Company LLC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4"/>
          <w:szCs w:val="14"/>
          <w:color w:val="808080"/>
        </w:rPr>
        <w:t>Free Writing Prospectus Filed Pursuant to Rule 433</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4"/>
          <w:szCs w:val="14"/>
          <w:color w:val="808080"/>
        </w:rPr>
        <w:t>Registration Statement Nos. 333-270004 and 333-270004-01</w:t>
      </w:r>
    </w:p>
    <w:p>
      <w:pPr>
        <w:jc w:val="right"/>
        <w:spacing w:after="0" w:line="229" w:lineRule="auto"/>
        <w:rPr>
          <w:sz w:val="20"/>
          <w:szCs w:val="20"/>
          <w:color w:val="auto"/>
        </w:rPr>
      </w:pPr>
      <w:r>
        <w:rPr>
          <w:rFonts w:ascii="Arial" w:cs="Arial" w:eastAsia="Arial" w:hAnsi="Arial"/>
          <w:sz w:val="14"/>
          <w:szCs w:val="14"/>
          <w:color w:val="808080"/>
        </w:rPr>
        <w:t>Dated December 17, 2025</w:t>
      </w:r>
    </w:p>
    <w:p>
      <w:pPr>
        <w:spacing w:after="0" w:line="1" w:lineRule="exact"/>
        <w:rPr>
          <w:sz w:val="24"/>
          <w:szCs w:val="24"/>
          <w:color w:val="auto"/>
        </w:rPr>
      </w:pPr>
    </w:p>
    <w:p>
      <w:pPr>
        <w:spacing w:after="0"/>
        <w:rPr>
          <w:sz w:val="20"/>
          <w:szCs w:val="20"/>
          <w:color w:val="auto"/>
        </w:rPr>
      </w:pPr>
      <w:r>
        <w:rPr>
          <w:rFonts w:ascii="Arial" w:cs="Arial" w:eastAsia="Arial" w:hAnsi="Arial"/>
          <w:sz w:val="29"/>
          <w:szCs w:val="29"/>
          <w:color w:val="296DC1"/>
        </w:rPr>
        <w:t>3yrNC6m XLE Contingent Income Auto-Callable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80" w:right="20"/>
        <w:spacing w:after="0" w:line="264" w:lineRule="auto"/>
        <w:rPr>
          <w:sz w:val="20"/>
          <w:szCs w:val="20"/>
          <w:color w:val="auto"/>
        </w:rPr>
      </w:pPr>
      <w:r>
        <w:rPr>
          <w:rFonts w:ascii="Arial" w:cs="Arial" w:eastAsia="Arial" w:hAnsi="Arial"/>
          <w:sz w:val="16"/>
          <w:szCs w:val="16"/>
          <w:b w:val="1"/>
          <w:bCs w:val="1"/>
          <w:i w:val="1"/>
          <w:iCs w:val="1"/>
          <w:color w:val="auto"/>
        </w:rPr>
        <w:t>This document provides a summary of the terms of the securities. Investors must carefully review the accompanying preliminary pricing supplement referenced below, product supplement, underlying supplement, prospectus supplement, prospectus and prospectus addendum and the “Risk Considerations” on the following page, prior to making an investment decision.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23430" cy="368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368300"/>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sectPr>
      </w:pPr>
    </w:p>
    <w:p>
      <w:pPr>
        <w:spacing w:after="0" w:line="61"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FFFFFF"/>
        </w:rPr>
        <w:t>SUMMARY TERMS</w:t>
      </w:r>
    </w:p>
    <w:p>
      <w:pPr>
        <w:spacing w:after="0" w:line="387"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1140" w:type="dxa"/>
            <w:vAlign w:val="bottom"/>
          </w:tcPr>
          <w:p>
            <w:pPr>
              <w:ind w:left="100"/>
              <w:spacing w:after="0"/>
              <w:rPr>
                <w:sz w:val="20"/>
                <w:szCs w:val="20"/>
                <w:color w:val="auto"/>
              </w:rPr>
            </w:pPr>
            <w:r>
              <w:rPr>
                <w:rFonts w:ascii="Arial" w:cs="Arial" w:eastAsia="Arial" w:hAnsi="Arial"/>
                <w:sz w:val="13"/>
                <w:szCs w:val="13"/>
                <w:b w:val="1"/>
                <w:bCs w:val="1"/>
                <w:color w:val="296DC1"/>
              </w:rPr>
              <w:t>Issuer:</w:t>
            </w:r>
          </w:p>
        </w:tc>
        <w:tc>
          <w:tcPr>
            <w:tcW w:w="4360" w:type="dxa"/>
            <w:vAlign w:val="bottom"/>
          </w:tcPr>
          <w:p>
            <w:pPr>
              <w:ind w:left="240"/>
              <w:spacing w:after="0"/>
              <w:rPr>
                <w:sz w:val="20"/>
                <w:szCs w:val="20"/>
                <w:color w:val="auto"/>
              </w:rPr>
            </w:pPr>
            <w:r>
              <w:rPr>
                <w:rFonts w:ascii="Arial" w:cs="Arial" w:eastAsia="Arial" w:hAnsi="Arial"/>
                <w:sz w:val="13"/>
                <w:szCs w:val="13"/>
                <w:color w:val="auto"/>
              </w:rPr>
              <w:t>JPMorgan Chase Financial Company LLC (“JPMorgan Financial”)</w:t>
            </w:r>
          </w:p>
        </w:tc>
      </w:tr>
      <w:tr>
        <w:trPr>
          <w:trHeight w:val="205"/>
        </w:trPr>
        <w:tc>
          <w:tcPr>
            <w:tcW w:w="1140" w:type="dxa"/>
            <w:vAlign w:val="bottom"/>
            <w:shd w:val="clear" w:color="auto" w:fill="DCEBF4"/>
          </w:tcPr>
          <w:p>
            <w:pPr>
              <w:ind w:left="100"/>
              <w:spacing w:after="0"/>
              <w:rPr>
                <w:sz w:val="20"/>
                <w:szCs w:val="20"/>
                <w:color w:val="auto"/>
              </w:rPr>
            </w:pPr>
            <w:r>
              <w:rPr>
                <w:rFonts w:ascii="Arial" w:cs="Arial" w:eastAsia="Arial" w:hAnsi="Arial"/>
                <w:sz w:val="13"/>
                <w:szCs w:val="13"/>
                <w:b w:val="1"/>
                <w:bCs w:val="1"/>
                <w:color w:val="296DC1"/>
              </w:rPr>
              <w:t>Guarantor:</w:t>
            </w:r>
          </w:p>
        </w:tc>
        <w:tc>
          <w:tcPr>
            <w:tcW w:w="4360" w:type="dxa"/>
            <w:vAlign w:val="bottom"/>
            <w:shd w:val="clear" w:color="auto" w:fill="DCEBF4"/>
          </w:tcPr>
          <w:p>
            <w:pPr>
              <w:ind w:left="240"/>
              <w:spacing w:after="0"/>
              <w:rPr>
                <w:sz w:val="20"/>
                <w:szCs w:val="20"/>
                <w:color w:val="auto"/>
              </w:rPr>
            </w:pPr>
            <w:r>
              <w:rPr>
                <w:rFonts w:ascii="Arial" w:cs="Arial" w:eastAsia="Arial" w:hAnsi="Arial"/>
                <w:sz w:val="13"/>
                <w:szCs w:val="13"/>
                <w:color w:val="auto"/>
              </w:rPr>
              <w:t>JPMorgan Chase &amp; Co.</w:t>
            </w:r>
          </w:p>
        </w:tc>
      </w:tr>
      <w:tr>
        <w:trPr>
          <w:trHeight w:val="190"/>
        </w:trPr>
        <w:tc>
          <w:tcPr>
            <w:tcW w:w="1140" w:type="dxa"/>
            <w:vAlign w:val="bottom"/>
          </w:tcPr>
          <w:p>
            <w:pPr>
              <w:ind w:left="100"/>
              <w:spacing w:after="0"/>
              <w:rPr>
                <w:sz w:val="20"/>
                <w:szCs w:val="20"/>
                <w:color w:val="auto"/>
              </w:rPr>
            </w:pPr>
            <w:r>
              <w:rPr>
                <w:rFonts w:ascii="Arial" w:cs="Arial" w:eastAsia="Arial" w:hAnsi="Arial"/>
                <w:sz w:val="13"/>
                <w:szCs w:val="13"/>
                <w:b w:val="1"/>
                <w:bCs w:val="1"/>
                <w:color w:val="296DC1"/>
              </w:rPr>
              <w:t>ETF Shares:</w:t>
            </w:r>
          </w:p>
        </w:tc>
        <w:tc>
          <w:tcPr>
            <w:tcW w:w="4360" w:type="dxa"/>
            <w:vAlign w:val="bottom"/>
          </w:tcPr>
          <w:p>
            <w:pPr>
              <w:ind w:left="240"/>
              <w:spacing w:after="0" w:line="190" w:lineRule="exact"/>
              <w:rPr>
                <w:sz w:val="20"/>
                <w:szCs w:val="20"/>
                <w:color w:val="auto"/>
              </w:rPr>
            </w:pPr>
            <w:r>
              <w:rPr>
                <w:rFonts w:ascii="Arial" w:cs="Arial" w:eastAsia="Arial" w:hAnsi="Arial"/>
                <w:sz w:val="13"/>
                <w:szCs w:val="13"/>
                <w:color w:val="auto"/>
              </w:rPr>
              <w:t>Shares of the State Street</w:t>
            </w:r>
            <w:r>
              <w:rPr>
                <w:rFonts w:ascii="Arial" w:cs="Arial" w:eastAsia="Arial" w:hAnsi="Arial"/>
                <w:sz w:val="22"/>
                <w:szCs w:val="22"/>
                <w:color w:val="auto"/>
                <w:vertAlign w:val="superscript"/>
              </w:rPr>
              <w:t>®</w:t>
            </w:r>
            <w:r>
              <w:rPr>
                <w:rFonts w:ascii="Arial" w:cs="Arial" w:eastAsia="Arial" w:hAnsi="Arial"/>
                <w:sz w:val="13"/>
                <w:szCs w:val="13"/>
                <w:color w:val="auto"/>
              </w:rPr>
              <w:t xml:space="preserve"> Energy Select Sector SPDR</w:t>
            </w:r>
            <w:r>
              <w:rPr>
                <w:rFonts w:ascii="Arial" w:cs="Arial" w:eastAsia="Arial" w:hAnsi="Arial"/>
                <w:sz w:val="22"/>
                <w:szCs w:val="22"/>
                <w:color w:val="auto"/>
                <w:vertAlign w:val="superscript"/>
              </w:rPr>
              <w:t>®</w:t>
            </w:r>
            <w:r>
              <w:rPr>
                <w:rFonts w:ascii="Arial" w:cs="Arial" w:eastAsia="Arial" w:hAnsi="Arial"/>
                <w:sz w:val="13"/>
                <w:szCs w:val="13"/>
                <w:color w:val="auto"/>
              </w:rPr>
              <w:t xml:space="preserve"> ETF</w:t>
            </w:r>
          </w:p>
        </w:tc>
      </w:tr>
      <w:tr>
        <w:trPr>
          <w:trHeight w:val="176"/>
        </w:trPr>
        <w:tc>
          <w:tcPr>
            <w:tcW w:w="1140" w:type="dxa"/>
            <w:vAlign w:val="bottom"/>
          </w:tcPr>
          <w:p>
            <w:pPr>
              <w:spacing w:after="0"/>
              <w:rPr>
                <w:sz w:val="15"/>
                <w:szCs w:val="15"/>
                <w:color w:val="auto"/>
              </w:rPr>
            </w:pPr>
          </w:p>
        </w:tc>
        <w:tc>
          <w:tcPr>
            <w:tcW w:w="4360" w:type="dxa"/>
            <w:vAlign w:val="bottom"/>
          </w:tcPr>
          <w:p>
            <w:pPr>
              <w:ind w:left="240"/>
              <w:spacing w:after="0"/>
              <w:rPr>
                <w:sz w:val="20"/>
                <w:szCs w:val="20"/>
                <w:color w:val="auto"/>
              </w:rPr>
            </w:pPr>
            <w:r>
              <w:rPr>
                <w:rFonts w:ascii="Arial" w:cs="Arial" w:eastAsia="Arial" w:hAnsi="Arial"/>
                <w:sz w:val="13"/>
                <w:szCs w:val="13"/>
                <w:color w:val="auto"/>
              </w:rPr>
              <w:t>(Bloomberg ticker: XLE UP Equity)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3488690" cy="10115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88690" cy="1011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3"/>
          <w:szCs w:val="13"/>
          <w:b w:val="1"/>
          <w:bCs w:val="1"/>
          <w:color w:val="296DC1"/>
        </w:rPr>
        <w:t xml:space="preserve">Initial share price:  </w:t>
      </w:r>
      <w:r>
        <w:rPr>
          <w:rFonts w:ascii="Arial" w:cs="Arial" w:eastAsia="Arial" w:hAnsi="Arial"/>
          <w:sz w:val="13"/>
          <w:szCs w:val="13"/>
          <w:color w:val="000000"/>
        </w:rPr>
        <w:t>The closing price of one ETF Share on the pricing date</w:t>
      </w:r>
    </w:p>
    <w:p>
      <w:pPr>
        <w:spacing w:after="0" w:line="53" w:lineRule="exact"/>
        <w:rPr>
          <w:sz w:val="24"/>
          <w:szCs w:val="24"/>
          <w:color w:val="auto"/>
        </w:rPr>
      </w:pPr>
    </w:p>
    <w:p>
      <w:pPr>
        <w:spacing w:after="0"/>
        <w:tabs>
          <w:tab w:leader="none" w:pos="1240" w:val="left"/>
        </w:tabs>
        <w:rPr>
          <w:sz w:val="20"/>
          <w:szCs w:val="20"/>
          <w:color w:val="auto"/>
        </w:rPr>
      </w:pPr>
      <w:r>
        <w:rPr>
          <w:rFonts w:ascii="Arial" w:cs="Arial" w:eastAsia="Arial" w:hAnsi="Arial"/>
          <w:sz w:val="13"/>
          <w:szCs w:val="13"/>
          <w:b w:val="1"/>
          <w:bCs w:val="1"/>
          <w:color w:val="296DC1"/>
        </w:rPr>
        <w:t>Final share price:</w:t>
      </w:r>
      <w:r>
        <w:rPr>
          <w:sz w:val="20"/>
          <w:szCs w:val="20"/>
          <w:color w:val="auto"/>
        </w:rPr>
        <w:tab/>
      </w:r>
      <w:r>
        <w:rPr>
          <w:rFonts w:ascii="Arial" w:cs="Arial" w:eastAsia="Arial" w:hAnsi="Arial"/>
          <w:sz w:val="13"/>
          <w:szCs w:val="13"/>
          <w:color w:val="auto"/>
        </w:rPr>
        <w:t>The closing price of one ETF Share on the final determination date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-67945</wp:posOffset>
            </wp:positionH>
            <wp:positionV relativeFrom="paragraph">
              <wp:posOffset>26035</wp:posOffset>
            </wp:positionV>
            <wp:extent cx="3488690" cy="600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88690" cy="600075"/>
                    </a:xfrm>
                    <a:prstGeom prst="rect">
                      <a:avLst/>
                    </a:prstGeom>
                    <a:noFill/>
                  </pic:spPr>
                </pic:pic>
              </a:graphicData>
            </a:graphic>
          </wp:anchor>
        </w:drawing>
      </w:r>
    </w:p>
    <w:p>
      <w:pPr>
        <w:spacing w:after="0" w:line="33" w:lineRule="exact"/>
        <w:rPr>
          <w:sz w:val="24"/>
          <w:szCs w:val="24"/>
          <w:color w:val="auto"/>
        </w:rPr>
      </w:pPr>
    </w:p>
    <w:p>
      <w:pPr>
        <w:spacing w:after="0"/>
        <w:tabs>
          <w:tab w:leader="none" w:pos="1240" w:val="left"/>
        </w:tabs>
        <w:rPr>
          <w:sz w:val="20"/>
          <w:szCs w:val="20"/>
          <w:color w:val="auto"/>
        </w:rPr>
      </w:pPr>
      <w:r>
        <w:rPr>
          <w:rFonts w:ascii="Arial" w:cs="Arial" w:eastAsia="Arial" w:hAnsi="Arial"/>
          <w:sz w:val="13"/>
          <w:szCs w:val="13"/>
          <w:b w:val="1"/>
          <w:bCs w:val="1"/>
          <w:color w:val="296DC1"/>
        </w:rPr>
        <w:t>Share adjustment</w:t>
      </w:r>
      <w:r>
        <w:rPr>
          <w:sz w:val="20"/>
          <w:szCs w:val="20"/>
          <w:color w:val="auto"/>
        </w:rPr>
        <w:tab/>
      </w:r>
      <w:r>
        <w:rPr>
          <w:rFonts w:ascii="Arial" w:cs="Arial" w:eastAsia="Arial" w:hAnsi="Arial"/>
          <w:sz w:val="13"/>
          <w:szCs w:val="13"/>
          <w:color w:val="auto"/>
        </w:rPr>
        <w:t>The share adjustment factor is referenced in determining the closing</w:t>
      </w:r>
    </w:p>
    <w:p>
      <w:pPr>
        <w:spacing w:after="0" w:line="13" w:lineRule="exact"/>
        <w:rPr>
          <w:sz w:val="24"/>
          <w:szCs w:val="24"/>
          <w:color w:val="auto"/>
        </w:rPr>
      </w:pPr>
    </w:p>
    <w:p>
      <w:pPr>
        <w:jc w:val="both"/>
        <w:ind w:left="1260" w:right="120" w:hanging="1259"/>
        <w:spacing w:after="0" w:line="238" w:lineRule="auto"/>
        <w:tabs>
          <w:tab w:leader="none" w:pos="1240" w:val="left"/>
        </w:tabs>
        <w:rPr>
          <w:sz w:val="20"/>
          <w:szCs w:val="20"/>
          <w:color w:val="auto"/>
        </w:rPr>
      </w:pPr>
      <w:r>
        <w:rPr>
          <w:rFonts w:ascii="Arial" w:cs="Arial" w:eastAsia="Arial" w:hAnsi="Arial"/>
          <w:sz w:val="13"/>
          <w:szCs w:val="13"/>
          <w:b w:val="1"/>
          <w:bCs w:val="1"/>
          <w:color w:val="296DC1"/>
        </w:rPr>
        <w:t>factor:</w:t>
      </w:r>
      <w:r>
        <w:rPr>
          <w:sz w:val="20"/>
          <w:szCs w:val="20"/>
          <w:color w:val="auto"/>
        </w:rPr>
        <w:tab/>
      </w:r>
      <w:r>
        <w:rPr>
          <w:rFonts w:ascii="Arial" w:cs="Arial" w:eastAsia="Arial" w:hAnsi="Arial"/>
          <w:sz w:val="13"/>
          <w:szCs w:val="13"/>
          <w:color w:val="auto"/>
        </w:rPr>
        <w:t>price of one ETF Share and is set initially at 1.0 on the pricing date. The share adjustment factor is subject to adjustment in the event of certain events affecting the ETF Shares. See “The Underlyings</w:t>
      </w:r>
    </w:p>
    <w:p>
      <w:pPr>
        <w:spacing w:after="0" w:line="1" w:lineRule="exact"/>
        <w:rPr>
          <w:sz w:val="24"/>
          <w:szCs w:val="24"/>
          <w:color w:val="auto"/>
        </w:rPr>
      </w:pPr>
    </w:p>
    <w:p>
      <w:pPr>
        <w:ind w:left="1260" w:right="20"/>
        <w:spacing w:after="0" w:line="261" w:lineRule="auto"/>
        <w:rPr>
          <w:sz w:val="24"/>
          <w:szCs w:val="24"/>
          <w:color w:val="auto"/>
        </w:rPr>
      </w:pPr>
      <w:r>
        <w:rPr>
          <w:rFonts w:ascii="Arial" w:cs="Arial" w:eastAsia="Arial" w:hAnsi="Arial"/>
          <w:sz w:val="13"/>
          <w:szCs w:val="13"/>
          <w:color w:val="auto"/>
        </w:rPr>
        <w:t>— Funds — Anti-Dilution Adjustments” in the accompanying product supplement.</w:t>
      </w:r>
    </w:p>
    <w:p>
      <w:pPr>
        <w:spacing w:after="0" w:line="11" w:lineRule="exact"/>
        <w:rPr>
          <w:sz w:val="24"/>
          <w:szCs w:val="24"/>
          <w:color w:val="auto"/>
        </w:rPr>
      </w:pPr>
    </w:p>
    <w:p>
      <w:pPr>
        <w:sectPr>
          <w:pgSz w:w="11900" w:h="16838" w:orient="portrait"/>
          <w:cols w:equalWidth="0" w:num="2">
            <w:col w:w="5500" w:space="340"/>
            <w:col w:w="5400"/>
          </w:cols>
          <w:pgMar w:left="320" w:top="219" w:right="339" w:bottom="1440" w:gutter="0" w:footer="0" w:header="0"/>
          <w:type w:val="continuous"/>
        </w:sectPr>
      </w:pPr>
    </w:p>
    <w:p>
      <w:pPr>
        <w:spacing w:after="0" w:line="1" w:lineRule="exact"/>
        <w:rPr>
          <w:sz w:val="24"/>
          <w:szCs w:val="24"/>
          <w:color w:val="auto"/>
        </w:rPr>
      </w:pPr>
    </w:p>
    <w:p>
      <w:pPr>
        <w:ind w:left="100"/>
        <w:spacing w:after="0"/>
        <w:rPr>
          <w:sz w:val="20"/>
          <w:szCs w:val="20"/>
          <w:color w:val="auto"/>
        </w:rPr>
      </w:pPr>
      <w:r>
        <w:rPr>
          <w:rFonts w:ascii="Arial" w:cs="Arial" w:eastAsia="Arial" w:hAnsi="Arial"/>
          <w:sz w:val="13"/>
          <w:szCs w:val="13"/>
          <w:b w:val="1"/>
          <w:bCs w:val="1"/>
          <w:color w:val="296DC1"/>
        </w:rPr>
        <w:t>Early redemption: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100" w:right="120"/>
        <w:spacing w:after="0" w:line="297" w:lineRule="auto"/>
        <w:rPr>
          <w:sz w:val="20"/>
          <w:szCs w:val="20"/>
          <w:color w:val="auto"/>
        </w:rPr>
      </w:pPr>
      <w:r>
        <w:rPr>
          <w:rFonts w:ascii="Arial" w:cs="Arial" w:eastAsia="Arial" w:hAnsi="Arial"/>
          <w:sz w:val="13"/>
          <w:szCs w:val="13"/>
          <w:b w:val="1"/>
          <w:bCs w:val="1"/>
          <w:color w:val="296DC1"/>
        </w:rPr>
        <w:t>Early redemption payment:</w:t>
      </w:r>
    </w:p>
    <w:p>
      <w:pPr>
        <w:spacing w:after="0" w:line="130" w:lineRule="exact"/>
        <w:rPr>
          <w:sz w:val="24"/>
          <w:szCs w:val="24"/>
          <w:color w:val="auto"/>
        </w:rPr>
      </w:pPr>
    </w:p>
    <w:p>
      <w:pPr>
        <w:ind w:left="100"/>
        <w:spacing w:after="0" w:line="297" w:lineRule="auto"/>
        <w:rPr>
          <w:sz w:val="20"/>
          <w:szCs w:val="20"/>
          <w:color w:val="auto"/>
        </w:rPr>
      </w:pPr>
      <w:r>
        <w:rPr>
          <w:rFonts w:ascii="Arial" w:cs="Arial" w:eastAsia="Arial" w:hAnsi="Arial"/>
          <w:sz w:val="13"/>
          <w:szCs w:val="13"/>
          <w:b w:val="1"/>
          <w:bCs w:val="1"/>
          <w:color w:val="296DC1"/>
        </w:rPr>
        <w:t>Contingent quarterly payment: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ind w:left="100" w:right="300"/>
        <w:spacing w:after="0" w:line="300" w:lineRule="auto"/>
        <w:rPr>
          <w:sz w:val="20"/>
          <w:szCs w:val="20"/>
          <w:color w:val="auto"/>
        </w:rPr>
      </w:pPr>
      <w:r>
        <w:rPr>
          <w:rFonts w:ascii="Arial" w:cs="Arial" w:eastAsia="Arial" w:hAnsi="Arial"/>
          <w:sz w:val="13"/>
          <w:szCs w:val="13"/>
          <w:b w:val="1"/>
          <w:bCs w:val="1"/>
          <w:color w:val="296DC1"/>
        </w:rPr>
        <w:t>Determination dates</w:t>
      </w:r>
      <w:r>
        <w:rPr>
          <w:rFonts w:ascii="Arial" w:cs="Arial" w:eastAsia="Arial" w:hAnsi="Arial"/>
          <w:sz w:val="22"/>
          <w:szCs w:val="22"/>
          <w:b w:val="1"/>
          <w:bCs w:val="1"/>
          <w:color w:val="296DC1"/>
          <w:vertAlign w:val="superscript"/>
        </w:rPr>
        <w:t>†</w:t>
      </w:r>
      <w:r>
        <w:rPr>
          <w:rFonts w:ascii="Arial" w:cs="Arial" w:eastAsia="Arial" w:hAnsi="Arial"/>
          <w:sz w:val="13"/>
          <w:szCs w:val="13"/>
          <w:b w:val="1"/>
          <w:bCs w:val="1"/>
          <w:color w:val="296DC1"/>
        </w:rPr>
        <w:t>:</w:t>
      </w:r>
    </w:p>
    <w:p>
      <w:pPr>
        <w:spacing w:after="0" w:line="64" w:lineRule="exact"/>
        <w:rPr>
          <w:sz w:val="24"/>
          <w:szCs w:val="24"/>
          <w:color w:val="auto"/>
        </w:rPr>
      </w:pPr>
    </w:p>
    <w:p>
      <w:pPr>
        <w:ind w:left="100" w:right="160"/>
        <w:spacing w:after="0" w:line="300" w:lineRule="auto"/>
        <w:rPr>
          <w:sz w:val="20"/>
          <w:szCs w:val="20"/>
          <w:color w:val="auto"/>
        </w:rPr>
      </w:pPr>
      <w:r>
        <w:rPr>
          <w:rFonts w:ascii="Arial" w:cs="Arial" w:eastAsia="Arial" w:hAnsi="Arial"/>
          <w:sz w:val="13"/>
          <w:szCs w:val="13"/>
          <w:b w:val="1"/>
          <w:bCs w:val="1"/>
          <w:color w:val="296DC1"/>
        </w:rPr>
        <w:t>Contingent payment dates</w:t>
      </w:r>
      <w:r>
        <w:rPr>
          <w:rFonts w:ascii="Arial" w:cs="Arial" w:eastAsia="Arial" w:hAnsi="Arial"/>
          <w:sz w:val="22"/>
          <w:szCs w:val="22"/>
          <w:b w:val="1"/>
          <w:bCs w:val="1"/>
          <w:color w:val="296DC1"/>
          <w:vertAlign w:val="superscript"/>
        </w:rPr>
        <w:t>†</w:t>
      </w:r>
      <w:r>
        <w:rPr>
          <w:rFonts w:ascii="Arial" w:cs="Arial" w:eastAsia="Arial" w:hAnsi="Arial"/>
          <w:sz w:val="13"/>
          <w:szCs w:val="13"/>
          <w:b w:val="1"/>
          <w:bCs w:val="1"/>
          <w:color w:val="296DC1"/>
        </w:rPr>
        <w:t>:</w:t>
      </w:r>
    </w:p>
    <w:p>
      <w:pPr>
        <w:spacing w:after="0" w:line="118" w:lineRule="exact"/>
        <w:rPr>
          <w:sz w:val="24"/>
          <w:szCs w:val="24"/>
          <w:color w:val="auto"/>
        </w:rPr>
      </w:pPr>
    </w:p>
    <w:p>
      <w:pPr>
        <w:ind w:left="100" w:right="500"/>
        <w:spacing w:after="0" w:line="297" w:lineRule="auto"/>
        <w:rPr>
          <w:sz w:val="20"/>
          <w:szCs w:val="20"/>
          <w:color w:val="auto"/>
        </w:rPr>
      </w:pPr>
      <w:r>
        <w:rPr>
          <w:rFonts w:ascii="Arial" w:cs="Arial" w:eastAsia="Arial" w:hAnsi="Arial"/>
          <w:sz w:val="13"/>
          <w:szCs w:val="13"/>
          <w:b w:val="1"/>
          <w:bCs w:val="1"/>
          <w:color w:val="296DC1"/>
        </w:rPr>
        <w:t>Payment at maturity: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ind w:left="100" w:right="240"/>
        <w:spacing w:after="0" w:line="292" w:lineRule="auto"/>
        <w:rPr>
          <w:sz w:val="20"/>
          <w:szCs w:val="20"/>
          <w:color w:val="auto"/>
        </w:rPr>
      </w:pPr>
      <w:r>
        <w:rPr>
          <w:rFonts w:ascii="Arial" w:cs="Arial" w:eastAsia="Arial" w:hAnsi="Arial"/>
          <w:sz w:val="13"/>
          <w:szCs w:val="13"/>
          <w:b w:val="1"/>
          <w:bCs w:val="1"/>
          <w:color w:val="296DC1"/>
        </w:rPr>
        <w:t>Coupon barrier level:</w:t>
      </w:r>
    </w:p>
    <w:p>
      <w:pPr>
        <w:spacing w:after="0" w:line="20" w:lineRule="exact"/>
        <w:rPr>
          <w:sz w:val="24"/>
          <w:szCs w:val="24"/>
          <w:color w:val="auto"/>
        </w:rPr>
      </w:pPr>
      <w:r>
        <w:rPr>
          <w:sz w:val="24"/>
          <w:szCs w:val="24"/>
          <w:color w:val="auto"/>
        </w:rPr>
        <w:br w:type="column"/>
      </w:r>
    </w:p>
    <w:p>
      <w:pPr>
        <w:ind w:right="100"/>
        <w:spacing w:after="0" w:line="244" w:lineRule="auto"/>
        <w:rPr>
          <w:sz w:val="20"/>
          <w:szCs w:val="20"/>
          <w:color w:val="auto"/>
        </w:rPr>
      </w:pPr>
      <w:r>
        <w:rPr>
          <w:rFonts w:ascii="Arial" w:cs="Arial" w:eastAsia="Arial" w:hAnsi="Arial"/>
          <w:sz w:val="13"/>
          <w:szCs w:val="13"/>
          <w:color w:val="auto"/>
        </w:rPr>
        <w:t xml:space="preserve">If, on any of the determination dates (other than the first and final determination dates), the closing price of one ETF Share is </w:t>
      </w:r>
      <w:r>
        <w:rPr>
          <w:rFonts w:ascii="Arial" w:cs="Arial" w:eastAsia="Arial" w:hAnsi="Arial"/>
          <w:sz w:val="13"/>
          <w:szCs w:val="13"/>
          <w:b w:val="1"/>
          <w:bCs w:val="1"/>
          <w:color w:val="auto"/>
        </w:rPr>
        <w:t>greater</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than or equal to </w:t>
      </w:r>
      <w:r>
        <w:rPr>
          <w:rFonts w:ascii="Arial" w:cs="Arial" w:eastAsia="Arial" w:hAnsi="Arial"/>
          <w:sz w:val="13"/>
          <w:szCs w:val="13"/>
          <w:color w:val="auto"/>
        </w:rPr>
        <w:t>the initial share price, the securities will be</w:t>
      </w:r>
      <w:r>
        <w:rPr>
          <w:rFonts w:ascii="Arial" w:cs="Arial" w:eastAsia="Arial" w:hAnsi="Arial"/>
          <w:sz w:val="13"/>
          <w:szCs w:val="13"/>
          <w:b w:val="1"/>
          <w:bCs w:val="1"/>
          <w:color w:val="auto"/>
        </w:rPr>
        <w:t xml:space="preserve"> </w:t>
      </w:r>
      <w:r>
        <w:rPr>
          <w:rFonts w:ascii="Arial" w:cs="Arial" w:eastAsia="Arial" w:hAnsi="Arial"/>
          <w:sz w:val="13"/>
          <w:szCs w:val="13"/>
          <w:color w:val="auto"/>
        </w:rPr>
        <w:t>automatically redeemed for an early redemption payment on the first contingent payment date immediately following the related determination date. No further payments will be made on the securities once they have been redeemed.</w:t>
      </w:r>
    </w:p>
    <w:p>
      <w:pPr>
        <w:spacing w:after="0" w:line="3" w:lineRule="exact"/>
        <w:rPr>
          <w:sz w:val="24"/>
          <w:szCs w:val="24"/>
          <w:color w:val="auto"/>
        </w:rPr>
      </w:pPr>
    </w:p>
    <w:p>
      <w:pPr>
        <w:jc w:val="both"/>
        <w:ind w:right="280"/>
        <w:spacing w:after="0" w:line="265" w:lineRule="auto"/>
        <w:rPr>
          <w:sz w:val="20"/>
          <w:szCs w:val="20"/>
          <w:color w:val="auto"/>
        </w:rPr>
      </w:pPr>
      <w:r>
        <w:rPr>
          <w:rFonts w:ascii="Arial" w:cs="Arial" w:eastAsia="Arial" w:hAnsi="Arial"/>
          <w:sz w:val="13"/>
          <w:szCs w:val="13"/>
          <w:b w:val="1"/>
          <w:bCs w:val="1"/>
          <w:color w:val="auto"/>
        </w:rPr>
        <w:t>The securities will not be redeemed early on any contingent payment date if the closing price of one ETF Share is below the initial share price on the related determination date.</w:t>
      </w:r>
    </w:p>
    <w:p>
      <w:pPr>
        <w:spacing w:after="0" w:line="17" w:lineRule="exact"/>
        <w:rPr>
          <w:sz w:val="24"/>
          <w:szCs w:val="24"/>
          <w:color w:val="auto"/>
        </w:rPr>
      </w:pPr>
    </w:p>
    <w:p>
      <w:pPr>
        <w:ind w:right="20"/>
        <w:spacing w:after="0" w:line="253" w:lineRule="auto"/>
        <w:rPr>
          <w:sz w:val="20"/>
          <w:szCs w:val="20"/>
          <w:color w:val="auto"/>
        </w:rPr>
      </w:pPr>
      <w:r>
        <w:rPr>
          <w:rFonts w:ascii="Arial" w:cs="Arial" w:eastAsia="Arial" w:hAnsi="Arial"/>
          <w:sz w:val="13"/>
          <w:szCs w:val="13"/>
          <w:color w:val="auto"/>
        </w:rPr>
        <w:t>The early redemption payment will be an amount equal to (i) the stated principal amount plus (ii) any contingent quarterly payment otherwise due with respect to the related quarterly monitoring period.</w:t>
      </w:r>
    </w:p>
    <w:p>
      <w:pPr>
        <w:ind w:left="140" w:right="180" w:hanging="135"/>
        <w:spacing w:after="0"/>
        <w:tabs>
          <w:tab w:leader="none" w:pos="114" w:val="left"/>
        </w:tabs>
        <w:numPr>
          <w:ilvl w:val="0"/>
          <w:numId w:val="2"/>
        </w:numPr>
        <w:rPr>
          <w:rFonts w:ascii="Times New Roman" w:cs="Times New Roman" w:eastAsia="Times New Roman" w:hAnsi="Times New Roman"/>
          <w:sz w:val="13"/>
          <w:szCs w:val="13"/>
          <w:color w:val="auto"/>
        </w:rPr>
      </w:pPr>
      <w:r>
        <w:rPr>
          <w:rFonts w:ascii="Arial" w:cs="Arial" w:eastAsia="Arial" w:hAnsi="Arial"/>
          <w:sz w:val="13"/>
          <w:szCs w:val="13"/>
          <w:color w:val="auto"/>
        </w:rPr>
        <w:t xml:space="preserve">If the closing price of one EFT Share is greater than or equal to the coupon barrier level on </w:t>
      </w:r>
      <w:r>
        <w:rPr>
          <w:rFonts w:ascii="Arial" w:cs="Arial" w:eastAsia="Arial" w:hAnsi="Arial"/>
          <w:sz w:val="13"/>
          <w:szCs w:val="13"/>
          <w:b w:val="1"/>
          <w:bCs w:val="1"/>
          <w:color w:val="auto"/>
        </w:rPr>
        <w:t>each</w:t>
      </w:r>
      <w:r>
        <w:rPr>
          <w:rFonts w:ascii="Arial" w:cs="Arial" w:eastAsia="Arial" w:hAnsi="Arial"/>
          <w:sz w:val="13"/>
          <w:szCs w:val="13"/>
          <w:color w:val="auto"/>
        </w:rPr>
        <w:t xml:space="preserve"> day during a quarterly monitoring period, we will pay a contingent quarterly payment of at least $20.00 (at least 2.00% of the stated principal amount) per security on the related contingent payment date. The actual contingent quarterly payment will be provided in the pricing supplement.</w:t>
      </w:r>
    </w:p>
    <w:p>
      <w:pPr>
        <w:spacing w:after="0" w:line="3" w:lineRule="exact"/>
        <w:rPr>
          <w:rFonts w:ascii="Times New Roman" w:cs="Times New Roman" w:eastAsia="Times New Roman" w:hAnsi="Times New Roman"/>
          <w:sz w:val="13"/>
          <w:szCs w:val="13"/>
          <w:color w:val="auto"/>
        </w:rPr>
      </w:pPr>
    </w:p>
    <w:p>
      <w:pPr>
        <w:ind w:left="140" w:right="140" w:hanging="135"/>
        <w:spacing w:after="0" w:line="238" w:lineRule="auto"/>
        <w:tabs>
          <w:tab w:leader="none" w:pos="111" w:val="left"/>
        </w:tabs>
        <w:numPr>
          <w:ilvl w:val="0"/>
          <w:numId w:val="2"/>
        </w:numPr>
        <w:rPr>
          <w:rFonts w:ascii="Times New Roman" w:cs="Times New Roman" w:eastAsia="Times New Roman" w:hAnsi="Times New Roman"/>
          <w:sz w:val="13"/>
          <w:szCs w:val="13"/>
          <w:color w:val="auto"/>
        </w:rPr>
      </w:pPr>
      <w:r>
        <w:rPr>
          <w:rFonts w:ascii="Arial" w:cs="Arial" w:eastAsia="Arial" w:hAnsi="Arial"/>
          <w:sz w:val="13"/>
          <w:szCs w:val="13"/>
          <w:color w:val="auto"/>
        </w:rPr>
        <w:t xml:space="preserve">If the closing price of one ETF Share is less than the coupon barrier level on </w:t>
      </w:r>
      <w:r>
        <w:rPr>
          <w:rFonts w:ascii="Arial" w:cs="Arial" w:eastAsia="Arial" w:hAnsi="Arial"/>
          <w:sz w:val="13"/>
          <w:szCs w:val="13"/>
          <w:b w:val="1"/>
          <w:bCs w:val="1"/>
          <w:color w:val="auto"/>
        </w:rPr>
        <w:t>any</w:t>
      </w:r>
      <w:r>
        <w:rPr>
          <w:rFonts w:ascii="Arial" w:cs="Arial" w:eastAsia="Arial" w:hAnsi="Arial"/>
          <w:sz w:val="13"/>
          <w:szCs w:val="13"/>
          <w:color w:val="auto"/>
        </w:rPr>
        <w:t xml:space="preserve"> day during a quarterly monitoring period, no contingent quarterly payment will be payable with respect to that quarterly monitoring period. </w:t>
      </w:r>
      <w:r>
        <w:rPr>
          <w:rFonts w:ascii="Arial" w:cs="Arial" w:eastAsia="Arial" w:hAnsi="Arial"/>
          <w:sz w:val="13"/>
          <w:szCs w:val="13"/>
          <w:b w:val="1"/>
          <w:bCs w:val="1"/>
          <w:color w:val="auto"/>
        </w:rPr>
        <w:t>It is possible that the closing</w:t>
      </w:r>
      <w:r>
        <w:rPr>
          <w:rFonts w:ascii="Arial" w:cs="Arial" w:eastAsia="Arial" w:hAnsi="Arial"/>
          <w:sz w:val="13"/>
          <w:szCs w:val="13"/>
          <w:color w:val="auto"/>
        </w:rPr>
        <w:t xml:space="preserve"> </w:t>
      </w:r>
      <w:r>
        <w:rPr>
          <w:rFonts w:ascii="Arial" w:cs="Arial" w:eastAsia="Arial" w:hAnsi="Arial"/>
          <w:sz w:val="13"/>
          <w:szCs w:val="13"/>
          <w:b w:val="1"/>
          <w:bCs w:val="1"/>
          <w:color w:val="auto"/>
        </w:rPr>
        <w:t>price of one ETF Share will be below the coupon barrier level on at least one day during most or all of the quarterly monitoring periods so that you will receive few or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-870585</wp:posOffset>
            </wp:positionH>
            <wp:positionV relativeFrom="paragraph">
              <wp:posOffset>-1318260</wp:posOffset>
            </wp:positionV>
            <wp:extent cx="3488690" cy="14147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88690" cy="141478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3"/>
          <w:szCs w:val="13"/>
          <w:b w:val="1"/>
          <w:bCs w:val="1"/>
          <w:color w:val="auto"/>
        </w:rPr>
        <w:t>contingent quarterly payments.</w:t>
      </w:r>
    </w:p>
    <w:p>
      <w:pPr>
        <w:ind w:right="20"/>
        <w:spacing w:after="0" w:line="238" w:lineRule="auto"/>
        <w:rPr>
          <w:sz w:val="20"/>
          <w:szCs w:val="20"/>
          <w:color w:val="auto"/>
        </w:rPr>
      </w:pPr>
      <w:r>
        <w:rPr>
          <w:rFonts w:ascii="Arial" w:cs="Arial" w:eastAsia="Arial" w:hAnsi="Arial"/>
          <w:sz w:val="13"/>
          <w:szCs w:val="13"/>
          <w:color w:val="auto"/>
        </w:rPr>
        <w:t>March 19, 2026, June 22, 2026, September 21, 2026, December 21, 2026, March 19, 2027, June 21, 2027, September 20, 2027, December 20, 2027, March 20, 2028, June 20, 2028, September 19, 2028 and December 19, 2028</w:t>
      </w:r>
    </w:p>
    <w:p>
      <w:pPr>
        <w:spacing w:after="0" w:line="1" w:lineRule="exact"/>
        <w:rPr>
          <w:sz w:val="24"/>
          <w:szCs w:val="24"/>
          <w:color w:val="auto"/>
        </w:rPr>
      </w:pPr>
    </w:p>
    <w:p>
      <w:pPr>
        <w:ind w:right="20"/>
        <w:spacing w:after="0" w:line="243" w:lineRule="auto"/>
        <w:rPr>
          <w:sz w:val="20"/>
          <w:szCs w:val="20"/>
          <w:color w:val="auto"/>
        </w:rPr>
      </w:pPr>
      <w:r>
        <w:rPr>
          <w:rFonts w:ascii="Arial" w:cs="Arial" w:eastAsia="Arial" w:hAnsi="Arial"/>
          <w:sz w:val="13"/>
          <w:szCs w:val="13"/>
          <w:color w:val="auto"/>
        </w:rPr>
        <w:t>March 24, 2026, June 25, 2026, September 24, 2026, December 24, 2026, March 24, 2027, June 24, 2027, September 23, 2027, December 23, 2027, March 23, 2028, June 23, 2028, September 22, 2028 and the maturity date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-870585</wp:posOffset>
            </wp:positionH>
            <wp:positionV relativeFrom="paragraph">
              <wp:posOffset>-383540</wp:posOffset>
            </wp:positionV>
            <wp:extent cx="3488690" cy="377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88690" cy="3771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7"/>
        </w:trPr>
        <w:tc>
          <w:tcPr>
            <w:tcW w:w="8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1520" w:type="dxa"/>
            <w:vAlign w:val="bottom"/>
          </w:tcPr>
          <w:p>
            <w:pPr>
              <w:ind w:left="20"/>
              <w:spacing w:after="0" w:line="137" w:lineRule="exact"/>
              <w:rPr>
                <w:sz w:val="20"/>
                <w:szCs w:val="20"/>
                <w:color w:val="auto"/>
              </w:rPr>
            </w:pPr>
            <w:r>
              <w:rPr>
                <w:rFonts w:ascii="Arial" w:cs="Arial" w:eastAsia="Arial" w:hAnsi="Arial"/>
                <w:sz w:val="13"/>
                <w:szCs w:val="13"/>
                <w:color w:val="auto"/>
              </w:rPr>
              <w:t>If the final share price is</w:t>
            </w:r>
          </w:p>
        </w:tc>
        <w:tc>
          <w:tcPr>
            <w:tcW w:w="2520" w:type="dxa"/>
            <w:vAlign w:val="bottom"/>
          </w:tcPr>
          <w:p>
            <w:pPr>
              <w:ind w:left="60"/>
              <w:spacing w:after="0" w:line="137" w:lineRule="exact"/>
              <w:rPr>
                <w:sz w:val="20"/>
                <w:szCs w:val="20"/>
                <w:color w:val="auto"/>
              </w:rPr>
            </w:pPr>
            <w:r>
              <w:rPr>
                <w:rFonts w:ascii="Arial" w:cs="Arial" w:eastAsia="Arial" w:hAnsi="Arial"/>
                <w:sz w:val="13"/>
                <w:szCs w:val="13"/>
                <w:color w:val="auto"/>
              </w:rPr>
              <w:t xml:space="preserve">(i) the stated principal amount </w:t>
            </w:r>
            <w:r>
              <w:rPr>
                <w:rFonts w:ascii="Arial" w:cs="Arial" w:eastAsia="Arial" w:hAnsi="Arial"/>
                <w:sz w:val="13"/>
                <w:szCs w:val="13"/>
                <w:i w:val="1"/>
                <w:iCs w:val="1"/>
                <w:color w:val="auto"/>
              </w:rPr>
              <w:t>plus</w:t>
            </w:r>
            <w:r>
              <w:rPr>
                <w:rFonts w:ascii="Arial" w:cs="Arial" w:eastAsia="Arial" w:hAnsi="Arial"/>
                <w:sz w:val="13"/>
                <w:szCs w:val="13"/>
                <w:color w:val="auto"/>
              </w:rPr>
              <w:t>, (ii) if</w:t>
            </w:r>
          </w:p>
        </w:tc>
        <w:tc>
          <w:tcPr>
            <w:tcW w:w="0" w:type="dxa"/>
            <w:vAlign w:val="bottom"/>
          </w:tcPr>
          <w:p>
            <w:pPr>
              <w:spacing w:after="0"/>
              <w:rPr>
                <w:sz w:val="1"/>
                <w:szCs w:val="1"/>
                <w:color w:val="auto"/>
              </w:rPr>
            </w:pPr>
          </w:p>
        </w:tc>
      </w:tr>
      <w:tr>
        <w:trPr>
          <w:trHeight w:val="151"/>
        </w:trPr>
        <w:tc>
          <w:tcPr>
            <w:tcW w:w="80" w:type="dxa"/>
            <w:vAlign w:val="bottom"/>
          </w:tcPr>
          <w:p>
            <w:pPr>
              <w:spacing w:after="0"/>
              <w:rPr>
                <w:sz w:val="13"/>
                <w:szCs w:val="13"/>
                <w:color w:val="auto"/>
              </w:rPr>
            </w:pPr>
          </w:p>
        </w:tc>
        <w:tc>
          <w:tcPr>
            <w:tcW w:w="4040" w:type="dxa"/>
            <w:vAlign w:val="bottom"/>
            <w:gridSpan w:val="2"/>
          </w:tcPr>
          <w:p>
            <w:pPr>
              <w:ind w:left="60"/>
              <w:spacing w:after="0"/>
              <w:rPr>
                <w:sz w:val="20"/>
                <w:szCs w:val="20"/>
                <w:color w:val="auto"/>
              </w:rPr>
            </w:pPr>
            <w:r>
              <w:rPr>
                <w:rFonts w:ascii="Arial" w:cs="Arial" w:eastAsia="Arial" w:hAnsi="Arial"/>
                <w:sz w:val="13"/>
                <w:szCs w:val="13"/>
                <w:b w:val="1"/>
                <w:bCs w:val="1"/>
                <w:color w:val="auto"/>
              </w:rPr>
              <w:t>greater than or equal to</w:t>
            </w:r>
            <w:r>
              <w:rPr>
                <w:rFonts w:ascii="Arial" w:cs="Arial" w:eastAsia="Arial" w:hAnsi="Arial"/>
                <w:sz w:val="13"/>
                <w:szCs w:val="13"/>
                <w:color w:val="auto"/>
              </w:rPr>
              <w:t>the closing price of one ETF Share on</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520" w:type="dxa"/>
            <w:vAlign w:val="bottom"/>
          </w:tcPr>
          <w:p>
            <w:pPr>
              <w:ind w:left="60"/>
              <w:spacing w:after="0"/>
              <w:rPr>
                <w:sz w:val="20"/>
                <w:szCs w:val="20"/>
                <w:color w:val="auto"/>
              </w:rPr>
            </w:pPr>
            <w:r>
              <w:rPr>
                <w:rFonts w:ascii="Arial" w:cs="Arial" w:eastAsia="Arial" w:hAnsi="Arial"/>
                <w:sz w:val="13"/>
                <w:szCs w:val="13"/>
                <w:color w:val="auto"/>
              </w:rPr>
              <w:t>the downside threshold</w:t>
            </w:r>
          </w:p>
        </w:tc>
        <w:tc>
          <w:tcPr>
            <w:tcW w:w="2520" w:type="dxa"/>
            <w:vAlign w:val="bottom"/>
          </w:tcPr>
          <w:p>
            <w:pPr>
              <w:ind w:left="60"/>
              <w:spacing w:after="0"/>
              <w:rPr>
                <w:sz w:val="20"/>
                <w:szCs w:val="20"/>
                <w:color w:val="auto"/>
              </w:rPr>
            </w:pPr>
            <w:r>
              <w:rPr>
                <w:rFonts w:ascii="Arial" w:cs="Arial" w:eastAsia="Arial" w:hAnsi="Arial"/>
                <w:sz w:val="13"/>
                <w:szCs w:val="13"/>
                <w:color w:val="auto"/>
              </w:rPr>
              <w:t>each day during the final quarterly</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520" w:type="dxa"/>
            <w:vAlign w:val="bottom"/>
          </w:tcPr>
          <w:p>
            <w:pPr>
              <w:ind w:left="60"/>
              <w:spacing w:after="0"/>
              <w:rPr>
                <w:sz w:val="20"/>
                <w:szCs w:val="20"/>
                <w:color w:val="auto"/>
              </w:rPr>
            </w:pPr>
            <w:r>
              <w:rPr>
                <w:rFonts w:ascii="Arial" w:cs="Arial" w:eastAsia="Arial" w:hAnsi="Arial"/>
                <w:sz w:val="13"/>
                <w:szCs w:val="13"/>
                <w:color w:val="auto"/>
              </w:rPr>
              <w:t>level:</w:t>
            </w:r>
          </w:p>
        </w:tc>
        <w:tc>
          <w:tcPr>
            <w:tcW w:w="2520" w:type="dxa"/>
            <w:vAlign w:val="bottom"/>
          </w:tcPr>
          <w:p>
            <w:pPr>
              <w:ind w:left="60"/>
              <w:spacing w:after="0"/>
              <w:rPr>
                <w:sz w:val="20"/>
                <w:szCs w:val="20"/>
                <w:color w:val="auto"/>
              </w:rPr>
            </w:pPr>
            <w:r>
              <w:rPr>
                <w:rFonts w:ascii="Arial" w:cs="Arial" w:eastAsia="Arial" w:hAnsi="Arial"/>
                <w:sz w:val="13"/>
                <w:szCs w:val="13"/>
                <w:color w:val="auto"/>
              </w:rPr>
              <w:t>monitoring period is greater than or equal</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520" w:type="dxa"/>
            <w:vAlign w:val="bottom"/>
          </w:tcPr>
          <w:p>
            <w:pPr>
              <w:ind w:left="60"/>
              <w:spacing w:after="0"/>
              <w:rPr>
                <w:sz w:val="20"/>
                <w:szCs w:val="20"/>
                <w:color w:val="auto"/>
              </w:rPr>
            </w:pPr>
            <w:r>
              <w:rPr>
                <w:rFonts w:ascii="Arial" w:cs="Arial" w:eastAsia="Arial" w:hAnsi="Arial"/>
                <w:sz w:val="13"/>
                <w:szCs w:val="13"/>
                <w:color w:val="auto"/>
              </w:rPr>
              <w:t>to the coupon barrier level, the</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520" w:type="dxa"/>
            <w:vAlign w:val="bottom"/>
          </w:tcPr>
          <w:p>
            <w:pPr>
              <w:ind w:left="60"/>
              <w:spacing w:after="0"/>
              <w:rPr>
                <w:sz w:val="20"/>
                <w:szCs w:val="20"/>
                <w:color w:val="auto"/>
              </w:rPr>
            </w:pPr>
            <w:r>
              <w:rPr>
                <w:rFonts w:ascii="Arial" w:cs="Arial" w:eastAsia="Arial" w:hAnsi="Arial"/>
                <w:sz w:val="13"/>
                <w:szCs w:val="13"/>
                <w:color w:val="auto"/>
              </w:rPr>
              <w:t>contingent quarterly payment with</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520" w:type="dxa"/>
            <w:vAlign w:val="bottom"/>
          </w:tcPr>
          <w:p>
            <w:pPr>
              <w:ind w:left="60"/>
              <w:spacing w:after="0"/>
              <w:rPr>
                <w:sz w:val="20"/>
                <w:szCs w:val="20"/>
                <w:color w:val="auto"/>
              </w:rPr>
            </w:pPr>
            <w:r>
              <w:rPr>
                <w:rFonts w:ascii="Arial" w:cs="Arial" w:eastAsia="Arial" w:hAnsi="Arial"/>
                <w:sz w:val="13"/>
                <w:szCs w:val="13"/>
                <w:color w:val="auto"/>
              </w:rPr>
              <w:t>respect to the final quarterly monitoring</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520" w:type="dxa"/>
            <w:vAlign w:val="bottom"/>
          </w:tcPr>
          <w:p>
            <w:pPr>
              <w:ind w:left="60"/>
              <w:spacing w:after="0"/>
              <w:rPr>
                <w:sz w:val="20"/>
                <w:szCs w:val="20"/>
                <w:color w:val="auto"/>
              </w:rPr>
            </w:pPr>
            <w:r>
              <w:rPr>
                <w:rFonts w:ascii="Arial" w:cs="Arial" w:eastAsia="Arial" w:hAnsi="Arial"/>
                <w:sz w:val="13"/>
                <w:szCs w:val="13"/>
                <w:color w:val="auto"/>
              </w:rPr>
              <w:t>period.</w:t>
            </w:r>
          </w:p>
        </w:tc>
        <w:tc>
          <w:tcPr>
            <w:tcW w:w="0" w:type="dxa"/>
            <w:vAlign w:val="bottom"/>
          </w:tcPr>
          <w:p>
            <w:pPr>
              <w:spacing w:after="0"/>
              <w:rPr>
                <w:sz w:val="1"/>
                <w:szCs w:val="1"/>
                <w:color w:val="auto"/>
              </w:rPr>
            </w:pPr>
          </w:p>
        </w:tc>
      </w:tr>
      <w:tr>
        <w:trPr>
          <w:trHeight w:val="149"/>
        </w:trPr>
        <w:tc>
          <w:tcPr>
            <w:tcW w:w="80" w:type="dxa"/>
            <w:vAlign w:val="bottom"/>
            <w:vMerge w:val="restart"/>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1520" w:type="dxa"/>
            <w:vAlign w:val="bottom"/>
          </w:tcPr>
          <w:p>
            <w:pPr>
              <w:spacing w:after="0"/>
              <w:rPr>
                <w:sz w:val="12"/>
                <w:szCs w:val="12"/>
                <w:color w:val="auto"/>
              </w:rPr>
            </w:pPr>
          </w:p>
        </w:tc>
        <w:tc>
          <w:tcPr>
            <w:tcW w:w="2520" w:type="dxa"/>
            <w:vAlign w:val="bottom"/>
          </w:tcPr>
          <w:p>
            <w:pPr>
              <w:ind w:left="60"/>
              <w:spacing w:after="0"/>
              <w:rPr>
                <w:sz w:val="20"/>
                <w:szCs w:val="20"/>
                <w:color w:val="auto"/>
              </w:rPr>
            </w:pPr>
            <w:r>
              <w:rPr>
                <w:rFonts w:ascii="Arial" w:cs="Arial" w:eastAsia="Arial" w:hAnsi="Arial"/>
                <w:sz w:val="13"/>
                <w:szCs w:val="13"/>
                <w:color w:val="auto"/>
              </w:rPr>
              <w:t xml:space="preserve">(i) the stated principal amount </w:t>
            </w:r>
            <w:r>
              <w:rPr>
                <w:rFonts w:ascii="Arial" w:cs="Arial" w:eastAsia="Arial" w:hAnsi="Arial"/>
                <w:sz w:val="13"/>
                <w:szCs w:val="13"/>
                <w:i w:val="1"/>
                <w:iCs w:val="1"/>
                <w:color w:val="auto"/>
              </w:rPr>
              <w:t>times</w:t>
            </w:r>
            <w:r>
              <w:rPr>
                <w:rFonts w:ascii="Arial" w:cs="Arial" w:eastAsia="Arial" w:hAnsi="Arial"/>
                <w:sz w:val="13"/>
                <w:szCs w:val="13"/>
                <w:color w:val="auto"/>
              </w:rPr>
              <w:t xml:space="preserve"> (ii)</w:t>
            </w:r>
          </w:p>
        </w:tc>
        <w:tc>
          <w:tcPr>
            <w:tcW w:w="0" w:type="dxa"/>
            <w:vAlign w:val="bottom"/>
          </w:tcPr>
          <w:p>
            <w:pPr>
              <w:spacing w:after="0"/>
              <w:rPr>
                <w:sz w:val="1"/>
                <w:szCs w:val="1"/>
                <w:color w:val="auto"/>
              </w:rPr>
            </w:pPr>
          </w:p>
        </w:tc>
      </w:tr>
      <w:tr>
        <w:trPr>
          <w:trHeight w:val="146"/>
        </w:trPr>
        <w:tc>
          <w:tcPr>
            <w:tcW w:w="80" w:type="dxa"/>
            <w:vAlign w:val="bottom"/>
            <w:vMerge w:val="continue"/>
          </w:tcPr>
          <w:p>
            <w:pPr>
              <w:spacing w:after="0"/>
              <w:rPr>
                <w:sz w:val="12"/>
                <w:szCs w:val="12"/>
                <w:color w:val="auto"/>
              </w:rPr>
            </w:pPr>
          </w:p>
        </w:tc>
        <w:tc>
          <w:tcPr>
            <w:tcW w:w="1520" w:type="dxa"/>
            <w:vAlign w:val="bottom"/>
          </w:tcPr>
          <w:p>
            <w:pPr>
              <w:ind w:left="20"/>
              <w:spacing w:after="0" w:line="147" w:lineRule="exact"/>
              <w:rPr>
                <w:sz w:val="20"/>
                <w:szCs w:val="20"/>
                <w:color w:val="auto"/>
              </w:rPr>
            </w:pPr>
            <w:r>
              <w:rPr>
                <w:rFonts w:ascii="Arial" w:cs="Arial" w:eastAsia="Arial" w:hAnsi="Arial"/>
                <w:sz w:val="13"/>
                <w:szCs w:val="13"/>
                <w:color w:val="auto"/>
              </w:rPr>
              <w:t>If the final share price is</w:t>
            </w:r>
          </w:p>
        </w:tc>
        <w:tc>
          <w:tcPr>
            <w:tcW w:w="2520" w:type="dxa"/>
            <w:vAlign w:val="bottom"/>
          </w:tcPr>
          <w:p>
            <w:pPr>
              <w:ind w:left="60"/>
              <w:spacing w:after="0" w:line="147" w:lineRule="exact"/>
              <w:rPr>
                <w:sz w:val="20"/>
                <w:szCs w:val="20"/>
                <w:color w:val="auto"/>
              </w:rPr>
            </w:pPr>
            <w:r>
              <w:rPr>
                <w:rFonts w:ascii="Arial" w:cs="Arial" w:eastAsia="Arial" w:hAnsi="Arial"/>
                <w:sz w:val="13"/>
                <w:szCs w:val="13"/>
                <w:color w:val="auto"/>
              </w:rPr>
              <w:t>the share performance factor. This cash</w:t>
            </w:r>
          </w:p>
        </w:tc>
        <w:tc>
          <w:tcPr>
            <w:tcW w:w="0" w:type="dxa"/>
            <w:vAlign w:val="bottom"/>
          </w:tcPr>
          <w:p>
            <w:pPr>
              <w:spacing w:after="0"/>
              <w:rPr>
                <w:sz w:val="1"/>
                <w:szCs w:val="1"/>
                <w:color w:val="auto"/>
              </w:rPr>
            </w:pPr>
          </w:p>
        </w:tc>
      </w:tr>
      <w:tr>
        <w:trPr>
          <w:trHeight w:val="150"/>
        </w:trPr>
        <w:tc>
          <w:tcPr>
            <w:tcW w:w="80" w:type="dxa"/>
            <w:vAlign w:val="bottom"/>
          </w:tcPr>
          <w:p>
            <w:pPr>
              <w:spacing w:after="0"/>
              <w:rPr>
                <w:sz w:val="13"/>
                <w:szCs w:val="13"/>
                <w:color w:val="auto"/>
              </w:rPr>
            </w:pPr>
          </w:p>
        </w:tc>
        <w:tc>
          <w:tcPr>
            <w:tcW w:w="1520" w:type="dxa"/>
            <w:vAlign w:val="bottom"/>
          </w:tcPr>
          <w:p>
            <w:pPr>
              <w:ind w:left="60"/>
              <w:spacing w:after="0"/>
              <w:rPr>
                <w:sz w:val="20"/>
                <w:szCs w:val="20"/>
                <w:color w:val="auto"/>
              </w:rPr>
            </w:pPr>
            <w:r>
              <w:rPr>
                <w:rFonts w:ascii="Arial" w:cs="Arial" w:eastAsia="Arial" w:hAnsi="Arial"/>
                <w:sz w:val="13"/>
                <w:szCs w:val="13"/>
                <w:b w:val="1"/>
                <w:bCs w:val="1"/>
                <w:color w:val="auto"/>
              </w:rPr>
              <w:t xml:space="preserve">less than </w:t>
            </w:r>
            <w:r>
              <w:rPr>
                <w:rFonts w:ascii="Arial" w:cs="Arial" w:eastAsia="Arial" w:hAnsi="Arial"/>
                <w:sz w:val="13"/>
                <w:szCs w:val="13"/>
                <w:color w:val="auto"/>
              </w:rPr>
              <w:t>the downside</w:t>
            </w:r>
          </w:p>
        </w:tc>
        <w:tc>
          <w:tcPr>
            <w:tcW w:w="2520" w:type="dxa"/>
            <w:vAlign w:val="bottom"/>
          </w:tcPr>
          <w:p>
            <w:pPr>
              <w:ind w:left="60"/>
              <w:spacing w:after="0"/>
              <w:rPr>
                <w:sz w:val="20"/>
                <w:szCs w:val="20"/>
                <w:color w:val="auto"/>
              </w:rPr>
            </w:pPr>
            <w:r>
              <w:rPr>
                <w:rFonts w:ascii="Arial" w:cs="Arial" w:eastAsia="Arial" w:hAnsi="Arial"/>
                <w:sz w:val="13"/>
                <w:szCs w:val="13"/>
                <w:color w:val="auto"/>
              </w:rPr>
              <w:t>payment will be less than 65% of the</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520" w:type="dxa"/>
            <w:vAlign w:val="bottom"/>
          </w:tcPr>
          <w:p>
            <w:pPr>
              <w:ind w:left="60"/>
              <w:spacing w:after="0"/>
              <w:rPr>
                <w:sz w:val="20"/>
                <w:szCs w:val="20"/>
                <w:color w:val="auto"/>
              </w:rPr>
            </w:pPr>
            <w:r>
              <w:rPr>
                <w:rFonts w:ascii="Arial" w:cs="Arial" w:eastAsia="Arial" w:hAnsi="Arial"/>
                <w:sz w:val="13"/>
                <w:szCs w:val="13"/>
                <w:color w:val="auto"/>
              </w:rPr>
              <w:t>threshold level:</w:t>
            </w:r>
          </w:p>
        </w:tc>
        <w:tc>
          <w:tcPr>
            <w:tcW w:w="2520" w:type="dxa"/>
            <w:vAlign w:val="bottom"/>
          </w:tcPr>
          <w:p>
            <w:pPr>
              <w:ind w:left="60"/>
              <w:spacing w:after="0"/>
              <w:rPr>
                <w:sz w:val="20"/>
                <w:szCs w:val="20"/>
                <w:color w:val="auto"/>
              </w:rPr>
            </w:pPr>
            <w:r>
              <w:rPr>
                <w:rFonts w:ascii="Arial" w:cs="Arial" w:eastAsia="Arial" w:hAnsi="Arial"/>
                <w:sz w:val="13"/>
                <w:szCs w:val="13"/>
                <w:color w:val="auto"/>
              </w:rPr>
              <w:t>stated principal amount of the securities</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520" w:type="dxa"/>
            <w:vAlign w:val="bottom"/>
          </w:tcPr>
          <w:p>
            <w:pPr>
              <w:ind w:left="60"/>
              <w:spacing w:after="0"/>
              <w:rPr>
                <w:sz w:val="20"/>
                <w:szCs w:val="20"/>
                <w:color w:val="auto"/>
              </w:rPr>
            </w:pPr>
            <w:r>
              <w:rPr>
                <w:rFonts w:ascii="Arial" w:cs="Arial" w:eastAsia="Arial" w:hAnsi="Arial"/>
                <w:sz w:val="13"/>
                <w:szCs w:val="13"/>
                <w:color w:val="auto"/>
              </w:rPr>
              <w:t>and could be zero.</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-870585</wp:posOffset>
            </wp:positionH>
            <wp:positionV relativeFrom="paragraph">
              <wp:posOffset>-8890</wp:posOffset>
            </wp:positionV>
            <wp:extent cx="3488690" cy="222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88690" cy="22288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75% of the initial share price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240" w:type="dxa"/>
            <w:vAlign w:val="bottom"/>
          </w:tcPr>
          <w:p>
            <w:pPr>
              <w:ind w:left="100"/>
              <w:spacing w:after="0"/>
              <w:rPr>
                <w:sz w:val="20"/>
                <w:szCs w:val="20"/>
                <w:color w:val="auto"/>
              </w:rPr>
            </w:pPr>
            <w:r>
              <w:rPr>
                <w:rFonts w:ascii="Arial" w:cs="Arial" w:eastAsia="Arial" w:hAnsi="Arial"/>
                <w:sz w:val="13"/>
                <w:szCs w:val="13"/>
                <w:b w:val="1"/>
                <w:bCs w:val="1"/>
                <w:color w:val="296DC1"/>
              </w:rPr>
              <w:t>Share</w:t>
            </w:r>
          </w:p>
        </w:tc>
        <w:tc>
          <w:tcPr>
            <w:tcW w:w="4240" w:type="dxa"/>
            <w:vAlign w:val="bottom"/>
          </w:tcPr>
          <w:p>
            <w:pPr>
              <w:ind w:left="120"/>
              <w:spacing w:after="0"/>
              <w:rPr>
                <w:sz w:val="20"/>
                <w:szCs w:val="20"/>
                <w:color w:val="auto"/>
              </w:rPr>
            </w:pPr>
            <w:r>
              <w:rPr>
                <w:rFonts w:ascii="Arial" w:cs="Arial" w:eastAsia="Arial" w:hAnsi="Arial"/>
                <w:sz w:val="13"/>
                <w:szCs w:val="13"/>
                <w:color w:val="auto"/>
              </w:rPr>
              <w:t>final share price / initial share price</w:t>
            </w:r>
          </w:p>
        </w:tc>
      </w:tr>
      <w:tr>
        <w:trPr>
          <w:trHeight w:val="148"/>
        </w:trPr>
        <w:tc>
          <w:tcPr>
            <w:tcW w:w="1240" w:type="dxa"/>
            <w:vAlign w:val="bottom"/>
          </w:tcPr>
          <w:p>
            <w:pPr>
              <w:ind w:left="100"/>
              <w:spacing w:after="0"/>
              <w:rPr>
                <w:sz w:val="20"/>
                <w:szCs w:val="20"/>
                <w:color w:val="auto"/>
              </w:rPr>
            </w:pPr>
            <w:r>
              <w:rPr>
                <w:rFonts w:ascii="Arial" w:cs="Arial" w:eastAsia="Arial" w:hAnsi="Arial"/>
                <w:sz w:val="13"/>
                <w:szCs w:val="13"/>
                <w:b w:val="1"/>
                <w:bCs w:val="1"/>
                <w:color w:val="296DC1"/>
              </w:rPr>
              <w:t>performance</w:t>
            </w:r>
          </w:p>
        </w:tc>
        <w:tc>
          <w:tcPr>
            <w:tcW w:w="4240" w:type="dxa"/>
            <w:vAlign w:val="bottom"/>
          </w:tcPr>
          <w:p>
            <w:pPr>
              <w:spacing w:after="0"/>
              <w:rPr>
                <w:sz w:val="12"/>
                <w:szCs w:val="12"/>
                <w:color w:val="auto"/>
              </w:rPr>
            </w:pPr>
          </w:p>
        </w:tc>
      </w:tr>
      <w:tr>
        <w:trPr>
          <w:trHeight w:val="188"/>
        </w:trPr>
        <w:tc>
          <w:tcPr>
            <w:tcW w:w="1240" w:type="dxa"/>
            <w:vAlign w:val="bottom"/>
          </w:tcPr>
          <w:p>
            <w:pPr>
              <w:ind w:left="100"/>
              <w:spacing w:after="0"/>
              <w:rPr>
                <w:sz w:val="20"/>
                <w:szCs w:val="20"/>
                <w:color w:val="auto"/>
              </w:rPr>
            </w:pPr>
            <w:r>
              <w:rPr>
                <w:rFonts w:ascii="Arial" w:cs="Arial" w:eastAsia="Arial" w:hAnsi="Arial"/>
                <w:sz w:val="13"/>
                <w:szCs w:val="13"/>
                <w:b w:val="1"/>
                <w:bCs w:val="1"/>
                <w:color w:val="296DC1"/>
              </w:rPr>
              <w:t>factor:</w:t>
            </w:r>
          </w:p>
        </w:tc>
        <w:tc>
          <w:tcPr>
            <w:tcW w:w="4240" w:type="dxa"/>
            <w:vAlign w:val="bottom"/>
          </w:tcPr>
          <w:p>
            <w:pPr>
              <w:spacing w:after="0"/>
              <w:rPr>
                <w:sz w:val="16"/>
                <w:szCs w:val="16"/>
                <w:color w:val="auto"/>
              </w:rPr>
            </w:pPr>
          </w:p>
        </w:tc>
      </w:tr>
      <w:tr>
        <w:trPr>
          <w:trHeight w:val="163"/>
        </w:trPr>
        <w:tc>
          <w:tcPr>
            <w:tcW w:w="1240" w:type="dxa"/>
            <w:vAlign w:val="bottom"/>
            <w:shd w:val="clear" w:color="auto" w:fill="DCEBF4"/>
          </w:tcPr>
          <w:p>
            <w:pPr>
              <w:ind w:left="100"/>
              <w:spacing w:after="0"/>
              <w:rPr>
                <w:sz w:val="20"/>
                <w:szCs w:val="20"/>
                <w:color w:val="auto"/>
              </w:rPr>
            </w:pPr>
            <w:r>
              <w:rPr>
                <w:rFonts w:ascii="Arial" w:cs="Arial" w:eastAsia="Arial" w:hAnsi="Arial"/>
                <w:sz w:val="13"/>
                <w:szCs w:val="13"/>
                <w:b w:val="1"/>
                <w:bCs w:val="1"/>
                <w:color w:val="296DC1"/>
              </w:rPr>
              <w:t>Stated principal</w:t>
            </w:r>
          </w:p>
        </w:tc>
        <w:tc>
          <w:tcPr>
            <w:tcW w:w="4240" w:type="dxa"/>
            <w:vAlign w:val="bottom"/>
            <w:shd w:val="clear" w:color="auto" w:fill="DCEBF4"/>
          </w:tcPr>
          <w:p>
            <w:pPr>
              <w:ind w:left="120"/>
              <w:spacing w:after="0"/>
              <w:rPr>
                <w:sz w:val="20"/>
                <w:szCs w:val="20"/>
                <w:color w:val="auto"/>
              </w:rPr>
            </w:pPr>
            <w:r>
              <w:rPr>
                <w:rFonts w:ascii="Arial" w:cs="Arial" w:eastAsia="Arial" w:hAnsi="Arial"/>
                <w:sz w:val="13"/>
                <w:szCs w:val="13"/>
                <w:color w:val="auto"/>
              </w:rPr>
              <w:t>$1,000 per security</w:t>
            </w:r>
          </w:p>
        </w:tc>
      </w:tr>
      <w:tr>
        <w:trPr>
          <w:trHeight w:val="190"/>
        </w:trPr>
        <w:tc>
          <w:tcPr>
            <w:tcW w:w="1240" w:type="dxa"/>
            <w:vAlign w:val="bottom"/>
            <w:shd w:val="clear" w:color="auto" w:fill="DCEBF4"/>
          </w:tcPr>
          <w:p>
            <w:pPr>
              <w:ind w:left="100"/>
              <w:spacing w:after="0"/>
              <w:rPr>
                <w:sz w:val="20"/>
                <w:szCs w:val="20"/>
                <w:color w:val="auto"/>
              </w:rPr>
            </w:pPr>
            <w:r>
              <w:rPr>
                <w:rFonts w:ascii="Arial" w:cs="Arial" w:eastAsia="Arial" w:hAnsi="Arial"/>
                <w:sz w:val="13"/>
                <w:szCs w:val="13"/>
                <w:b w:val="1"/>
                <w:bCs w:val="1"/>
                <w:color w:val="296DC1"/>
              </w:rPr>
              <w:t>amount:</w:t>
            </w:r>
          </w:p>
        </w:tc>
        <w:tc>
          <w:tcPr>
            <w:tcW w:w="4240" w:type="dxa"/>
            <w:vAlign w:val="bottom"/>
            <w:shd w:val="clear" w:color="auto" w:fill="DCEBF4"/>
          </w:tcPr>
          <w:p>
            <w:pPr>
              <w:spacing w:after="0"/>
              <w:rPr>
                <w:sz w:val="16"/>
                <w:szCs w:val="16"/>
                <w:color w:val="auto"/>
              </w:rPr>
            </w:pPr>
          </w:p>
        </w:tc>
      </w:tr>
      <w:tr>
        <w:trPr>
          <w:trHeight w:val="200"/>
        </w:trPr>
        <w:tc>
          <w:tcPr>
            <w:tcW w:w="1240" w:type="dxa"/>
            <w:vAlign w:val="bottom"/>
          </w:tcPr>
          <w:p>
            <w:pPr>
              <w:ind w:left="100"/>
              <w:spacing w:after="0"/>
              <w:rPr>
                <w:sz w:val="20"/>
                <w:szCs w:val="20"/>
                <w:color w:val="auto"/>
              </w:rPr>
            </w:pPr>
            <w:r>
              <w:rPr>
                <w:rFonts w:ascii="Arial" w:cs="Arial" w:eastAsia="Arial" w:hAnsi="Arial"/>
                <w:sz w:val="13"/>
                <w:szCs w:val="13"/>
                <w:b w:val="1"/>
                <w:bCs w:val="1"/>
                <w:color w:val="296DC1"/>
              </w:rPr>
              <w:t>Issue price:</w:t>
            </w:r>
          </w:p>
        </w:tc>
        <w:tc>
          <w:tcPr>
            <w:tcW w:w="4240" w:type="dxa"/>
            <w:vAlign w:val="bottom"/>
          </w:tcPr>
          <w:p>
            <w:pPr>
              <w:ind w:left="120"/>
              <w:spacing w:after="0"/>
              <w:rPr>
                <w:sz w:val="20"/>
                <w:szCs w:val="20"/>
                <w:color w:val="auto"/>
              </w:rPr>
            </w:pPr>
            <w:r>
              <w:rPr>
                <w:rFonts w:ascii="Arial" w:cs="Arial" w:eastAsia="Arial" w:hAnsi="Arial"/>
                <w:sz w:val="13"/>
                <w:szCs w:val="13"/>
                <w:color w:val="auto"/>
              </w:rPr>
              <w:t>$1,000 per security</w:t>
            </w:r>
          </w:p>
        </w:tc>
      </w:tr>
      <w:tr>
        <w:trPr>
          <w:trHeight w:val="205"/>
        </w:trPr>
        <w:tc>
          <w:tcPr>
            <w:tcW w:w="1240" w:type="dxa"/>
            <w:vAlign w:val="bottom"/>
            <w:shd w:val="clear" w:color="auto" w:fill="DCEBF4"/>
          </w:tcPr>
          <w:p>
            <w:pPr>
              <w:ind w:left="100"/>
              <w:spacing w:after="0"/>
              <w:rPr>
                <w:sz w:val="20"/>
                <w:szCs w:val="20"/>
                <w:color w:val="auto"/>
              </w:rPr>
            </w:pPr>
            <w:r>
              <w:rPr>
                <w:rFonts w:ascii="Arial" w:cs="Arial" w:eastAsia="Arial" w:hAnsi="Arial"/>
                <w:sz w:val="13"/>
                <w:szCs w:val="13"/>
                <w:b w:val="1"/>
                <w:bCs w:val="1"/>
                <w:color w:val="296DC1"/>
              </w:rPr>
              <w:t>Pricing date:</w:t>
            </w:r>
          </w:p>
        </w:tc>
        <w:tc>
          <w:tcPr>
            <w:tcW w:w="4240" w:type="dxa"/>
            <w:vAlign w:val="bottom"/>
            <w:shd w:val="clear" w:color="auto" w:fill="DCEBF4"/>
          </w:tcPr>
          <w:p>
            <w:pPr>
              <w:ind w:left="120"/>
              <w:spacing w:after="0"/>
              <w:rPr>
                <w:sz w:val="20"/>
                <w:szCs w:val="20"/>
                <w:color w:val="auto"/>
              </w:rPr>
            </w:pPr>
            <w:r>
              <w:rPr>
                <w:rFonts w:ascii="Arial" w:cs="Arial" w:eastAsia="Arial" w:hAnsi="Arial"/>
                <w:sz w:val="13"/>
                <w:szCs w:val="13"/>
                <w:color w:val="auto"/>
              </w:rPr>
              <w:t>Expected to be December 19, 2025</w:t>
            </w:r>
          </w:p>
        </w:tc>
      </w:tr>
      <w:tr>
        <w:trPr>
          <w:trHeight w:val="161"/>
        </w:trPr>
        <w:tc>
          <w:tcPr>
            <w:tcW w:w="1240" w:type="dxa"/>
            <w:vAlign w:val="bottom"/>
          </w:tcPr>
          <w:p>
            <w:pPr>
              <w:ind w:left="100"/>
              <w:spacing w:after="0"/>
              <w:rPr>
                <w:sz w:val="20"/>
                <w:szCs w:val="20"/>
                <w:color w:val="auto"/>
              </w:rPr>
            </w:pPr>
            <w:r>
              <w:rPr>
                <w:rFonts w:ascii="Arial" w:cs="Arial" w:eastAsia="Arial" w:hAnsi="Arial"/>
                <w:sz w:val="13"/>
                <w:szCs w:val="13"/>
                <w:b w:val="1"/>
                <w:bCs w:val="1"/>
                <w:color w:val="296DC1"/>
              </w:rPr>
              <w:t>Original issue</w:t>
            </w:r>
          </w:p>
        </w:tc>
        <w:tc>
          <w:tcPr>
            <w:tcW w:w="4240" w:type="dxa"/>
            <w:vAlign w:val="bottom"/>
          </w:tcPr>
          <w:p>
            <w:pPr>
              <w:ind w:left="120"/>
              <w:spacing w:after="0"/>
              <w:rPr>
                <w:sz w:val="20"/>
                <w:szCs w:val="20"/>
                <w:color w:val="auto"/>
              </w:rPr>
            </w:pPr>
            <w:r>
              <w:rPr>
                <w:rFonts w:ascii="Arial" w:cs="Arial" w:eastAsia="Arial" w:hAnsi="Arial"/>
                <w:sz w:val="13"/>
                <w:szCs w:val="13"/>
                <w:color w:val="auto"/>
              </w:rPr>
              <w:t>3 business days after the pricing date</w:t>
            </w:r>
          </w:p>
        </w:tc>
      </w:tr>
      <w:tr>
        <w:trPr>
          <w:trHeight w:val="148"/>
        </w:trPr>
        <w:tc>
          <w:tcPr>
            <w:tcW w:w="1240" w:type="dxa"/>
            <w:vAlign w:val="bottom"/>
          </w:tcPr>
          <w:p>
            <w:pPr>
              <w:ind w:left="100"/>
              <w:spacing w:after="0"/>
              <w:rPr>
                <w:sz w:val="20"/>
                <w:szCs w:val="20"/>
                <w:color w:val="auto"/>
              </w:rPr>
            </w:pPr>
            <w:r>
              <w:rPr>
                <w:rFonts w:ascii="Arial" w:cs="Arial" w:eastAsia="Arial" w:hAnsi="Arial"/>
                <w:sz w:val="13"/>
                <w:szCs w:val="13"/>
                <w:b w:val="1"/>
                <w:bCs w:val="1"/>
                <w:color w:val="296DC1"/>
              </w:rPr>
              <w:t>date (settlement</w:t>
            </w:r>
          </w:p>
        </w:tc>
        <w:tc>
          <w:tcPr>
            <w:tcW w:w="4240" w:type="dxa"/>
            <w:vAlign w:val="bottom"/>
          </w:tcPr>
          <w:p>
            <w:pPr>
              <w:spacing w:after="0"/>
              <w:rPr>
                <w:sz w:val="12"/>
                <w:szCs w:val="12"/>
                <w:color w:val="auto"/>
              </w:rPr>
            </w:pPr>
          </w:p>
        </w:tc>
      </w:tr>
      <w:tr>
        <w:trPr>
          <w:trHeight w:val="188"/>
        </w:trPr>
        <w:tc>
          <w:tcPr>
            <w:tcW w:w="1240" w:type="dxa"/>
            <w:vAlign w:val="bottom"/>
          </w:tcPr>
          <w:p>
            <w:pPr>
              <w:ind w:left="100"/>
              <w:spacing w:after="0"/>
              <w:rPr>
                <w:sz w:val="20"/>
                <w:szCs w:val="20"/>
                <w:color w:val="auto"/>
              </w:rPr>
            </w:pPr>
            <w:r>
              <w:rPr>
                <w:rFonts w:ascii="Arial" w:cs="Arial" w:eastAsia="Arial" w:hAnsi="Arial"/>
                <w:sz w:val="13"/>
                <w:szCs w:val="13"/>
                <w:b w:val="1"/>
                <w:bCs w:val="1"/>
                <w:color w:val="296DC1"/>
              </w:rPr>
              <w:t>date):</w:t>
            </w:r>
          </w:p>
        </w:tc>
        <w:tc>
          <w:tcPr>
            <w:tcW w:w="4240" w:type="dxa"/>
            <w:vAlign w:val="bottom"/>
          </w:tcPr>
          <w:p>
            <w:pPr>
              <w:spacing w:after="0"/>
              <w:rPr>
                <w:sz w:val="16"/>
                <w:szCs w:val="16"/>
                <w:color w:val="auto"/>
              </w:rPr>
            </w:pPr>
          </w:p>
        </w:tc>
      </w:tr>
      <w:tr>
        <w:trPr>
          <w:trHeight w:val="245"/>
        </w:trPr>
        <w:tc>
          <w:tcPr>
            <w:tcW w:w="1240" w:type="dxa"/>
            <w:vAlign w:val="bottom"/>
            <w:shd w:val="clear" w:color="auto" w:fill="DCEBF4"/>
          </w:tcPr>
          <w:p>
            <w:pPr>
              <w:ind w:left="100"/>
              <w:spacing w:after="0" w:line="245" w:lineRule="exact"/>
              <w:rPr>
                <w:sz w:val="20"/>
                <w:szCs w:val="20"/>
                <w:color w:val="auto"/>
              </w:rPr>
            </w:pPr>
            <w:r>
              <w:rPr>
                <w:rFonts w:ascii="Arial" w:cs="Arial" w:eastAsia="Arial" w:hAnsi="Arial"/>
                <w:sz w:val="13"/>
                <w:szCs w:val="13"/>
                <w:b w:val="1"/>
                <w:bCs w:val="1"/>
                <w:color w:val="296DC1"/>
              </w:rPr>
              <w:t>Maturity date</w:t>
            </w:r>
            <w:r>
              <w:rPr>
                <w:rFonts w:ascii="Arial" w:cs="Arial" w:eastAsia="Arial" w:hAnsi="Arial"/>
                <w:sz w:val="22"/>
                <w:szCs w:val="22"/>
                <w:b w:val="1"/>
                <w:bCs w:val="1"/>
                <w:color w:val="296DC1"/>
                <w:vertAlign w:val="superscript"/>
              </w:rPr>
              <w:t>†</w:t>
            </w:r>
            <w:r>
              <w:rPr>
                <w:rFonts w:ascii="Arial" w:cs="Arial" w:eastAsia="Arial" w:hAnsi="Arial"/>
                <w:sz w:val="13"/>
                <w:szCs w:val="13"/>
                <w:b w:val="1"/>
                <w:bCs w:val="1"/>
                <w:color w:val="296DC1"/>
              </w:rPr>
              <w:t>:</w:t>
            </w:r>
          </w:p>
        </w:tc>
        <w:tc>
          <w:tcPr>
            <w:tcW w:w="4240" w:type="dxa"/>
            <w:vAlign w:val="bottom"/>
            <w:shd w:val="clear" w:color="auto" w:fill="DCEBF4"/>
          </w:tcPr>
          <w:p>
            <w:pPr>
              <w:ind w:left="120"/>
              <w:spacing w:after="0"/>
              <w:rPr>
                <w:sz w:val="20"/>
                <w:szCs w:val="20"/>
                <w:color w:val="auto"/>
              </w:rPr>
            </w:pPr>
            <w:r>
              <w:rPr>
                <w:rFonts w:ascii="Arial" w:cs="Arial" w:eastAsia="Arial" w:hAnsi="Arial"/>
                <w:sz w:val="13"/>
                <w:szCs w:val="13"/>
                <w:color w:val="auto"/>
              </w:rPr>
              <w:t>December 22, 2028</w:t>
            </w:r>
          </w:p>
        </w:tc>
      </w:tr>
      <w:tr>
        <w:trPr>
          <w:trHeight w:val="198"/>
        </w:trPr>
        <w:tc>
          <w:tcPr>
            <w:tcW w:w="1240" w:type="dxa"/>
            <w:vAlign w:val="bottom"/>
          </w:tcPr>
          <w:p>
            <w:pPr>
              <w:ind w:left="100"/>
              <w:spacing w:after="0"/>
              <w:rPr>
                <w:sz w:val="20"/>
                <w:szCs w:val="20"/>
                <w:color w:val="auto"/>
              </w:rPr>
            </w:pPr>
            <w:r>
              <w:rPr>
                <w:rFonts w:ascii="Arial" w:cs="Arial" w:eastAsia="Arial" w:hAnsi="Arial"/>
                <w:sz w:val="13"/>
                <w:szCs w:val="13"/>
                <w:b w:val="1"/>
                <w:bCs w:val="1"/>
                <w:color w:val="296DC1"/>
              </w:rPr>
              <w:t>CUSIP / ISIN:</w:t>
            </w:r>
          </w:p>
        </w:tc>
        <w:tc>
          <w:tcPr>
            <w:tcW w:w="4240" w:type="dxa"/>
            <w:vAlign w:val="bottom"/>
          </w:tcPr>
          <w:p>
            <w:pPr>
              <w:ind w:left="120"/>
              <w:spacing w:after="0"/>
              <w:rPr>
                <w:sz w:val="20"/>
                <w:szCs w:val="20"/>
                <w:color w:val="auto"/>
              </w:rPr>
            </w:pPr>
            <w:r>
              <w:rPr>
                <w:rFonts w:ascii="Arial" w:cs="Arial" w:eastAsia="Arial" w:hAnsi="Arial"/>
                <w:sz w:val="13"/>
                <w:szCs w:val="13"/>
                <w:color w:val="auto"/>
              </w:rPr>
              <w:t>48136MKT3 / US48136MKT35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3488690" cy="316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88690" cy="316865"/>
                    </a:xfrm>
                    <a:prstGeom prst="rect">
                      <a:avLst/>
                    </a:prstGeom>
                    <a:noFill/>
                  </pic:spPr>
                </pic:pic>
              </a:graphicData>
            </a:graphic>
          </wp:anchor>
        </w:drawing>
      </w:r>
    </w:p>
    <w:p>
      <w:pPr>
        <w:ind w:left="100"/>
        <w:spacing w:after="0"/>
        <w:tabs>
          <w:tab w:leader="none" w:pos="1340" w:val="left"/>
        </w:tabs>
        <w:rPr>
          <w:rFonts w:ascii="Arial" w:cs="Arial" w:eastAsia="Arial" w:hAnsi="Arial"/>
          <w:sz w:val="13"/>
          <w:szCs w:val="13"/>
          <w:u w:val="single" w:color="auto"/>
          <w:color w:val="0000EE"/>
        </w:rPr>
      </w:pPr>
      <w:r>
        <w:rPr>
          <w:rFonts w:ascii="Arial" w:cs="Arial" w:eastAsia="Arial" w:hAnsi="Arial"/>
          <w:sz w:val="13"/>
          <w:szCs w:val="13"/>
          <w:b w:val="1"/>
          <w:bCs w:val="1"/>
          <w:color w:val="296DC1"/>
        </w:rPr>
        <w:t>Preliminary</w:t>
      </w:r>
      <w:r>
        <w:rPr>
          <w:sz w:val="20"/>
          <w:szCs w:val="20"/>
          <w:color w:val="auto"/>
        </w:rPr>
        <w:tab/>
      </w:r>
      <w:hyperlink r:id="rId16">
        <w:r>
          <w:rPr>
            <w:rFonts w:ascii="Arial" w:cs="Arial" w:eastAsia="Arial" w:hAnsi="Arial"/>
            <w:sz w:val="13"/>
            <w:szCs w:val="13"/>
            <w:u w:val="single" w:color="auto"/>
            <w:color w:val="0000EE"/>
          </w:rPr>
          <w:t>http://www.sec.gov/Archives/edgar/data/19617/</w:t>
        </w:r>
      </w:hyperlink>
    </w:p>
    <w:p>
      <w:pPr>
        <w:spacing w:after="0" w:line="13" w:lineRule="exact"/>
        <w:rPr>
          <w:sz w:val="24"/>
          <w:szCs w:val="24"/>
          <w:color w:val="auto"/>
        </w:rPr>
      </w:pPr>
    </w:p>
    <w:p>
      <w:pPr>
        <w:ind w:left="100" w:right="1160"/>
        <w:spacing w:after="0" w:line="257" w:lineRule="auto"/>
        <w:rPr>
          <w:rFonts w:ascii="Arial" w:cs="Arial" w:eastAsia="Arial" w:hAnsi="Arial"/>
          <w:sz w:val="13"/>
          <w:szCs w:val="13"/>
          <w:b w:val="1"/>
          <w:bCs w:val="1"/>
          <w:color w:val="296DC1"/>
        </w:rPr>
      </w:pPr>
      <w:r>
        <w:rPr>
          <w:rFonts w:ascii="Arial" w:cs="Arial" w:eastAsia="Arial" w:hAnsi="Arial"/>
          <w:sz w:val="13"/>
          <w:szCs w:val="13"/>
          <w:b w:val="1"/>
          <w:bCs w:val="1"/>
          <w:color w:val="296DC1"/>
        </w:rPr>
        <w:t xml:space="preserve">pricing </w:t>
      </w:r>
      <w:hyperlink r:id="rId16">
        <w:r>
          <w:rPr>
            <w:rFonts w:ascii="Arial" w:cs="Arial" w:eastAsia="Arial" w:hAnsi="Arial"/>
            <w:sz w:val="13"/>
            <w:szCs w:val="13"/>
            <w:u w:val="single" w:color="auto"/>
            <w:color w:val="0000EE"/>
          </w:rPr>
          <w:t>000121390025122853/ea0270129-01_424b2.htm</w:t>
        </w:r>
      </w:hyperlink>
      <w:r>
        <w:rPr>
          <w:rFonts w:ascii="Arial" w:cs="Arial" w:eastAsia="Arial" w:hAnsi="Arial"/>
          <w:sz w:val="13"/>
          <w:szCs w:val="13"/>
          <w:b w:val="1"/>
          <w:bCs w:val="1"/>
          <w:color w:val="296DC1"/>
        </w:rPr>
        <w:t xml:space="preserve"> supplement:</w:t>
      </w:r>
    </w:p>
    <w:p>
      <w:pPr>
        <w:spacing w:after="0" w:line="140" w:lineRule="exact"/>
        <w:rPr>
          <w:sz w:val="24"/>
          <w:szCs w:val="24"/>
          <w:color w:val="auto"/>
        </w:rPr>
      </w:pPr>
    </w:p>
    <w:p>
      <w:pPr>
        <w:spacing w:after="0"/>
        <w:rPr>
          <w:sz w:val="20"/>
          <w:szCs w:val="20"/>
          <w:color w:val="auto"/>
        </w:rPr>
      </w:pPr>
      <w:r>
        <w:rPr>
          <w:rFonts w:ascii="Arial" w:cs="Arial" w:eastAsia="Arial" w:hAnsi="Arial"/>
          <w:sz w:val="22"/>
          <w:szCs w:val="22"/>
          <w:color w:val="auto"/>
          <w:vertAlign w:val="superscript"/>
        </w:rPr>
        <w:t>†</w:t>
      </w:r>
      <w:r>
        <w:rPr>
          <w:rFonts w:ascii="Arial" w:cs="Arial" w:eastAsia="Arial" w:hAnsi="Arial"/>
          <w:sz w:val="13"/>
          <w:szCs w:val="13"/>
          <w:color w:val="auto"/>
        </w:rPr>
        <w:t>Subject to postponement</w:t>
      </w:r>
    </w:p>
    <w:p>
      <w:pPr>
        <w:ind w:right="160"/>
        <w:spacing w:after="0" w:line="238" w:lineRule="auto"/>
        <w:rPr>
          <w:sz w:val="20"/>
          <w:szCs w:val="20"/>
          <w:color w:val="auto"/>
        </w:rPr>
      </w:pPr>
      <w:r>
        <w:rPr>
          <w:rFonts w:ascii="Arial" w:cs="Arial" w:eastAsia="Arial" w:hAnsi="Arial"/>
          <w:sz w:val="13"/>
          <w:szCs w:val="13"/>
          <w:color w:val="auto"/>
        </w:rPr>
        <w:t>The estimated value of the securities on the pricing date will be provided in the pricing supplement and will not be less than $930.00 per $1,000 stated principal amount security. For information about the estimated value of the securities, which likely will be lower than the price you paid for the securities, please see the hyperlink above.</w:t>
      </w:r>
    </w:p>
    <w:p>
      <w:pPr>
        <w:spacing w:after="0" w:line="1" w:lineRule="exact"/>
        <w:rPr>
          <w:sz w:val="24"/>
          <w:szCs w:val="24"/>
          <w:color w:val="auto"/>
        </w:rPr>
      </w:pPr>
    </w:p>
    <w:p>
      <w:pPr>
        <w:ind w:right="100"/>
        <w:spacing w:after="0" w:line="253" w:lineRule="auto"/>
        <w:rPr>
          <w:sz w:val="20"/>
          <w:szCs w:val="20"/>
          <w:color w:val="auto"/>
        </w:rPr>
      </w:pPr>
      <w:r>
        <w:rPr>
          <w:rFonts w:ascii="Arial" w:cs="Arial" w:eastAsia="Arial" w:hAnsi="Arial"/>
          <w:sz w:val="13"/>
          <w:szCs w:val="13"/>
          <w:color w:val="auto"/>
        </w:rPr>
        <w:t>Any payment on the securities is subject to the credit risk of JPMorgan Financial, as issuer of the securities, and the credit risk of JPMorgan Chase &amp; Co., as guarantor of the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3488690" cy="5829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88690" cy="582930"/>
                    </a:xfrm>
                    <a:prstGeom prst="rect">
                      <a:avLst/>
                    </a:prstGeom>
                    <a:noFill/>
                  </pic:spPr>
                </pic:pic>
              </a:graphicData>
            </a:graphic>
          </wp:anchor>
        </w:drawing>
      </w:r>
    </w:p>
    <w:p>
      <w:pPr>
        <w:spacing w:after="0" w:line="22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FFFFFF"/>
        </w:rPr>
        <w:t>Hypothetical Payout at Maturity</w:t>
      </w:r>
    </w:p>
    <w:p>
      <w:pPr>
        <w:spacing w:after="0" w:line="55"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FFFFFF"/>
        </w:rPr>
        <w:t>(if the securities have not previously been redeemed)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2580" w:type="dxa"/>
            <w:vAlign w:val="bottom"/>
            <w:vMerge w:val="restart"/>
          </w:tcPr>
          <w:p>
            <w:pPr>
              <w:ind w:left="680"/>
              <w:spacing w:after="0"/>
              <w:rPr>
                <w:sz w:val="20"/>
                <w:szCs w:val="20"/>
                <w:color w:val="auto"/>
              </w:rPr>
            </w:pPr>
            <w:r>
              <w:rPr>
                <w:rFonts w:ascii="Arial" w:cs="Arial" w:eastAsia="Arial" w:hAnsi="Arial"/>
                <w:sz w:val="14"/>
                <w:szCs w:val="14"/>
                <w:b w:val="1"/>
                <w:bCs w:val="1"/>
                <w:color w:val="FFFFFF"/>
              </w:rPr>
              <w:t>Change in ETF Shares</w:t>
            </w:r>
          </w:p>
        </w:tc>
        <w:tc>
          <w:tcPr>
            <w:tcW w:w="2900" w:type="dxa"/>
            <w:vAlign w:val="bottom"/>
          </w:tcPr>
          <w:p>
            <w:pPr>
              <w:jc w:val="center"/>
              <w:ind w:left="228"/>
              <w:spacing w:after="0"/>
              <w:rPr>
                <w:sz w:val="20"/>
                <w:szCs w:val="20"/>
                <w:color w:val="auto"/>
              </w:rPr>
            </w:pPr>
            <w:r>
              <w:rPr>
                <w:rFonts w:ascii="Arial" w:cs="Arial" w:eastAsia="Arial" w:hAnsi="Arial"/>
                <w:sz w:val="14"/>
                <w:szCs w:val="14"/>
                <w:b w:val="1"/>
                <w:bCs w:val="1"/>
                <w:color w:val="FFFFFF"/>
              </w:rPr>
              <w:t>Payment at Maturity (excluding any</w:t>
            </w:r>
          </w:p>
        </w:tc>
        <w:tc>
          <w:tcPr>
            <w:tcW w:w="0" w:type="dxa"/>
            <w:vAlign w:val="bottom"/>
          </w:tcPr>
          <w:p>
            <w:pPr>
              <w:spacing w:after="0"/>
              <w:rPr>
                <w:sz w:val="1"/>
                <w:szCs w:val="1"/>
                <w:color w:val="auto"/>
              </w:rPr>
            </w:pPr>
          </w:p>
        </w:tc>
      </w:tr>
      <w:tr>
        <w:trPr>
          <w:trHeight w:val="115"/>
        </w:trPr>
        <w:tc>
          <w:tcPr>
            <w:tcW w:w="2580" w:type="dxa"/>
            <w:vAlign w:val="bottom"/>
            <w:vMerge w:val="continue"/>
          </w:tcPr>
          <w:p>
            <w:pPr>
              <w:spacing w:after="0"/>
              <w:rPr>
                <w:sz w:val="10"/>
                <w:szCs w:val="10"/>
                <w:color w:val="auto"/>
              </w:rPr>
            </w:pPr>
          </w:p>
        </w:tc>
        <w:tc>
          <w:tcPr>
            <w:tcW w:w="2900" w:type="dxa"/>
            <w:vAlign w:val="bottom"/>
            <w:vMerge w:val="restart"/>
          </w:tcPr>
          <w:p>
            <w:pPr>
              <w:jc w:val="center"/>
              <w:ind w:left="228"/>
              <w:spacing w:after="0"/>
              <w:rPr>
                <w:sz w:val="20"/>
                <w:szCs w:val="20"/>
                <w:color w:val="auto"/>
              </w:rPr>
            </w:pPr>
            <w:r>
              <w:rPr>
                <w:rFonts w:ascii="Arial" w:cs="Arial" w:eastAsia="Arial" w:hAnsi="Arial"/>
                <w:sz w:val="14"/>
                <w:szCs w:val="14"/>
                <w:b w:val="1"/>
                <w:bCs w:val="1"/>
                <w:color w:val="FFFFFF"/>
              </w:rPr>
              <w:t>coupon payable at maturity)</w:t>
            </w:r>
          </w:p>
        </w:tc>
        <w:tc>
          <w:tcPr>
            <w:tcW w:w="0" w:type="dxa"/>
            <w:vAlign w:val="bottom"/>
          </w:tcPr>
          <w:p>
            <w:pPr>
              <w:spacing w:after="0"/>
              <w:rPr>
                <w:sz w:val="1"/>
                <w:szCs w:val="1"/>
                <w:color w:val="auto"/>
              </w:rPr>
            </w:pPr>
          </w:p>
        </w:tc>
      </w:tr>
      <w:tr>
        <w:trPr>
          <w:trHeight w:val="81"/>
        </w:trPr>
        <w:tc>
          <w:tcPr>
            <w:tcW w:w="258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25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580" w:type="dxa"/>
            <w:vAlign w:val="bottom"/>
            <w:shd w:val="clear" w:color="auto" w:fill="D9D9D9"/>
          </w:tcPr>
          <w:p>
            <w:pPr>
              <w:jc w:val="center"/>
              <w:ind w:left="228"/>
              <w:spacing w:after="0"/>
              <w:rPr>
                <w:sz w:val="20"/>
                <w:szCs w:val="20"/>
                <w:color w:val="auto"/>
              </w:rPr>
            </w:pPr>
            <w:r>
              <w:rPr>
                <w:rFonts w:ascii="Arial" w:cs="Arial" w:eastAsia="Arial" w:hAnsi="Arial"/>
                <w:sz w:val="14"/>
                <w:szCs w:val="14"/>
                <w:color w:val="auto"/>
              </w:rPr>
              <w:t>50.00%</w:t>
            </w:r>
          </w:p>
        </w:tc>
        <w:tc>
          <w:tcPr>
            <w:tcW w:w="2900" w:type="dxa"/>
            <w:vAlign w:val="bottom"/>
            <w:shd w:val="clear" w:color="auto" w:fill="D9D9D9"/>
          </w:tcPr>
          <w:p>
            <w:pPr>
              <w:jc w:val="center"/>
              <w:ind w:left="228"/>
              <w:spacing w:after="0"/>
              <w:rPr>
                <w:sz w:val="20"/>
                <w:szCs w:val="20"/>
                <w:color w:val="auto"/>
              </w:rPr>
            </w:pPr>
            <w:r>
              <w:rPr>
                <w:rFonts w:ascii="Arial" w:cs="Arial" w:eastAsia="Arial" w:hAnsi="Arial"/>
                <w:sz w:val="14"/>
                <w:szCs w:val="14"/>
                <w:color w:val="auto"/>
              </w:rPr>
              <w:t>$1,020.00</w:t>
            </w:r>
          </w:p>
        </w:tc>
        <w:tc>
          <w:tcPr>
            <w:tcW w:w="0" w:type="dxa"/>
            <w:vAlign w:val="bottom"/>
          </w:tcPr>
          <w:p>
            <w:pPr>
              <w:spacing w:after="0"/>
              <w:rPr>
                <w:sz w:val="1"/>
                <w:szCs w:val="1"/>
                <w:color w:val="auto"/>
              </w:rPr>
            </w:pPr>
          </w:p>
        </w:tc>
      </w:tr>
      <w:tr>
        <w:trPr>
          <w:trHeight w:val="162"/>
        </w:trPr>
        <w:tc>
          <w:tcPr>
            <w:tcW w:w="2580" w:type="dxa"/>
            <w:vAlign w:val="bottom"/>
          </w:tcPr>
          <w:p>
            <w:pPr>
              <w:jc w:val="center"/>
              <w:ind w:left="228"/>
              <w:spacing w:after="0"/>
              <w:rPr>
                <w:sz w:val="20"/>
                <w:szCs w:val="20"/>
                <w:color w:val="auto"/>
              </w:rPr>
            </w:pPr>
            <w:r>
              <w:rPr>
                <w:rFonts w:ascii="Arial" w:cs="Arial" w:eastAsia="Arial" w:hAnsi="Arial"/>
                <w:sz w:val="14"/>
                <w:szCs w:val="14"/>
                <w:color w:val="auto"/>
              </w:rPr>
              <w:t>40.00%</w:t>
            </w:r>
          </w:p>
        </w:tc>
        <w:tc>
          <w:tcPr>
            <w:tcW w:w="2900" w:type="dxa"/>
            <w:vAlign w:val="bottom"/>
          </w:tcPr>
          <w:p>
            <w:pPr>
              <w:jc w:val="center"/>
              <w:ind w:left="228"/>
              <w:spacing w:after="0"/>
              <w:rPr>
                <w:sz w:val="20"/>
                <w:szCs w:val="20"/>
                <w:color w:val="auto"/>
              </w:rPr>
            </w:pPr>
            <w:r>
              <w:rPr>
                <w:rFonts w:ascii="Arial" w:cs="Arial" w:eastAsia="Arial" w:hAnsi="Arial"/>
                <w:sz w:val="14"/>
                <w:szCs w:val="14"/>
                <w:color w:val="auto"/>
              </w:rPr>
              <w:t>$1,020.00</w:t>
            </w:r>
          </w:p>
        </w:tc>
        <w:tc>
          <w:tcPr>
            <w:tcW w:w="0" w:type="dxa"/>
            <w:vAlign w:val="bottom"/>
          </w:tcPr>
          <w:p>
            <w:pPr>
              <w:spacing w:after="0"/>
              <w:rPr>
                <w:sz w:val="1"/>
                <w:szCs w:val="1"/>
                <w:color w:val="auto"/>
              </w:rPr>
            </w:pPr>
          </w:p>
        </w:tc>
      </w:tr>
      <w:tr>
        <w:trPr>
          <w:trHeight w:val="162"/>
        </w:trPr>
        <w:tc>
          <w:tcPr>
            <w:tcW w:w="2580" w:type="dxa"/>
            <w:vAlign w:val="bottom"/>
            <w:shd w:val="clear" w:color="auto" w:fill="D9D9D9"/>
          </w:tcPr>
          <w:p>
            <w:pPr>
              <w:jc w:val="center"/>
              <w:ind w:left="228"/>
              <w:spacing w:after="0"/>
              <w:rPr>
                <w:sz w:val="20"/>
                <w:szCs w:val="20"/>
                <w:color w:val="auto"/>
              </w:rPr>
            </w:pPr>
            <w:r>
              <w:rPr>
                <w:rFonts w:ascii="Arial" w:cs="Arial" w:eastAsia="Arial" w:hAnsi="Arial"/>
                <w:sz w:val="14"/>
                <w:szCs w:val="14"/>
                <w:color w:val="auto"/>
              </w:rPr>
              <w:t>30.00%</w:t>
            </w:r>
          </w:p>
        </w:tc>
        <w:tc>
          <w:tcPr>
            <w:tcW w:w="2900" w:type="dxa"/>
            <w:vAlign w:val="bottom"/>
            <w:shd w:val="clear" w:color="auto" w:fill="D9D9D9"/>
          </w:tcPr>
          <w:p>
            <w:pPr>
              <w:jc w:val="center"/>
              <w:ind w:left="228"/>
              <w:spacing w:after="0"/>
              <w:rPr>
                <w:sz w:val="20"/>
                <w:szCs w:val="20"/>
                <w:color w:val="auto"/>
              </w:rPr>
            </w:pPr>
            <w:r>
              <w:rPr>
                <w:rFonts w:ascii="Arial" w:cs="Arial" w:eastAsia="Arial" w:hAnsi="Arial"/>
                <w:sz w:val="14"/>
                <w:szCs w:val="14"/>
                <w:color w:val="auto"/>
              </w:rPr>
              <w:t>$1,020.00</w:t>
            </w:r>
          </w:p>
        </w:tc>
        <w:tc>
          <w:tcPr>
            <w:tcW w:w="0" w:type="dxa"/>
            <w:vAlign w:val="bottom"/>
          </w:tcPr>
          <w:p>
            <w:pPr>
              <w:spacing w:after="0"/>
              <w:rPr>
                <w:sz w:val="1"/>
                <w:szCs w:val="1"/>
                <w:color w:val="auto"/>
              </w:rPr>
            </w:pPr>
          </w:p>
        </w:tc>
      </w:tr>
      <w:tr>
        <w:trPr>
          <w:trHeight w:val="162"/>
        </w:trPr>
        <w:tc>
          <w:tcPr>
            <w:tcW w:w="2580" w:type="dxa"/>
            <w:vAlign w:val="bottom"/>
          </w:tcPr>
          <w:p>
            <w:pPr>
              <w:jc w:val="center"/>
              <w:ind w:left="228"/>
              <w:spacing w:after="0"/>
              <w:rPr>
                <w:sz w:val="20"/>
                <w:szCs w:val="20"/>
                <w:color w:val="auto"/>
              </w:rPr>
            </w:pPr>
            <w:r>
              <w:rPr>
                <w:rFonts w:ascii="Arial" w:cs="Arial" w:eastAsia="Arial" w:hAnsi="Arial"/>
                <w:sz w:val="14"/>
                <w:szCs w:val="14"/>
                <w:color w:val="auto"/>
              </w:rPr>
              <w:t>20.00%</w:t>
            </w:r>
          </w:p>
        </w:tc>
        <w:tc>
          <w:tcPr>
            <w:tcW w:w="2900" w:type="dxa"/>
            <w:vAlign w:val="bottom"/>
          </w:tcPr>
          <w:p>
            <w:pPr>
              <w:jc w:val="center"/>
              <w:ind w:left="228"/>
              <w:spacing w:after="0"/>
              <w:rPr>
                <w:sz w:val="20"/>
                <w:szCs w:val="20"/>
                <w:color w:val="auto"/>
              </w:rPr>
            </w:pPr>
            <w:r>
              <w:rPr>
                <w:rFonts w:ascii="Arial" w:cs="Arial" w:eastAsia="Arial" w:hAnsi="Arial"/>
                <w:sz w:val="14"/>
                <w:szCs w:val="14"/>
                <w:color w:val="auto"/>
              </w:rPr>
              <w:t>$1,020.00</w:t>
            </w:r>
          </w:p>
        </w:tc>
        <w:tc>
          <w:tcPr>
            <w:tcW w:w="0" w:type="dxa"/>
            <w:vAlign w:val="bottom"/>
          </w:tcPr>
          <w:p>
            <w:pPr>
              <w:spacing w:after="0"/>
              <w:rPr>
                <w:sz w:val="1"/>
                <w:szCs w:val="1"/>
                <w:color w:val="auto"/>
              </w:rPr>
            </w:pPr>
          </w:p>
        </w:tc>
      </w:tr>
      <w:tr>
        <w:trPr>
          <w:trHeight w:val="162"/>
        </w:trPr>
        <w:tc>
          <w:tcPr>
            <w:tcW w:w="2580" w:type="dxa"/>
            <w:vAlign w:val="bottom"/>
            <w:shd w:val="clear" w:color="auto" w:fill="D9D9D9"/>
          </w:tcPr>
          <w:p>
            <w:pPr>
              <w:jc w:val="center"/>
              <w:ind w:left="228"/>
              <w:spacing w:after="0"/>
              <w:rPr>
                <w:sz w:val="20"/>
                <w:szCs w:val="20"/>
                <w:color w:val="auto"/>
              </w:rPr>
            </w:pPr>
            <w:r>
              <w:rPr>
                <w:rFonts w:ascii="Arial" w:cs="Arial" w:eastAsia="Arial" w:hAnsi="Arial"/>
                <w:sz w:val="14"/>
                <w:szCs w:val="14"/>
                <w:color w:val="auto"/>
              </w:rPr>
              <w:t>10.00%</w:t>
            </w:r>
          </w:p>
        </w:tc>
        <w:tc>
          <w:tcPr>
            <w:tcW w:w="2900" w:type="dxa"/>
            <w:vAlign w:val="bottom"/>
            <w:shd w:val="clear" w:color="auto" w:fill="D9D9D9"/>
          </w:tcPr>
          <w:p>
            <w:pPr>
              <w:jc w:val="center"/>
              <w:ind w:left="228"/>
              <w:spacing w:after="0"/>
              <w:rPr>
                <w:sz w:val="20"/>
                <w:szCs w:val="20"/>
                <w:color w:val="auto"/>
              </w:rPr>
            </w:pPr>
            <w:r>
              <w:rPr>
                <w:rFonts w:ascii="Arial" w:cs="Arial" w:eastAsia="Arial" w:hAnsi="Arial"/>
                <w:sz w:val="14"/>
                <w:szCs w:val="14"/>
                <w:color w:val="auto"/>
              </w:rPr>
              <w:t>$1,020.00</w:t>
            </w:r>
          </w:p>
        </w:tc>
        <w:tc>
          <w:tcPr>
            <w:tcW w:w="0" w:type="dxa"/>
            <w:vAlign w:val="bottom"/>
          </w:tcPr>
          <w:p>
            <w:pPr>
              <w:spacing w:after="0"/>
              <w:rPr>
                <w:sz w:val="1"/>
                <w:szCs w:val="1"/>
                <w:color w:val="auto"/>
              </w:rPr>
            </w:pPr>
          </w:p>
        </w:tc>
      </w:tr>
      <w:tr>
        <w:trPr>
          <w:trHeight w:val="162"/>
        </w:trPr>
        <w:tc>
          <w:tcPr>
            <w:tcW w:w="2580" w:type="dxa"/>
            <w:vAlign w:val="bottom"/>
          </w:tcPr>
          <w:p>
            <w:pPr>
              <w:jc w:val="center"/>
              <w:ind w:left="228"/>
              <w:spacing w:after="0"/>
              <w:rPr>
                <w:sz w:val="20"/>
                <w:szCs w:val="20"/>
                <w:color w:val="auto"/>
              </w:rPr>
            </w:pPr>
            <w:r>
              <w:rPr>
                <w:rFonts w:ascii="Arial" w:cs="Arial" w:eastAsia="Arial" w:hAnsi="Arial"/>
                <w:sz w:val="14"/>
                <w:szCs w:val="14"/>
                <w:color w:val="auto"/>
              </w:rPr>
              <w:t>5.00%</w:t>
            </w:r>
          </w:p>
        </w:tc>
        <w:tc>
          <w:tcPr>
            <w:tcW w:w="2900" w:type="dxa"/>
            <w:vAlign w:val="bottom"/>
          </w:tcPr>
          <w:p>
            <w:pPr>
              <w:jc w:val="center"/>
              <w:ind w:left="228"/>
              <w:spacing w:after="0"/>
              <w:rPr>
                <w:sz w:val="20"/>
                <w:szCs w:val="20"/>
                <w:color w:val="auto"/>
              </w:rPr>
            </w:pPr>
            <w:r>
              <w:rPr>
                <w:rFonts w:ascii="Arial" w:cs="Arial" w:eastAsia="Arial" w:hAnsi="Arial"/>
                <w:sz w:val="14"/>
                <w:szCs w:val="14"/>
                <w:color w:val="auto"/>
              </w:rPr>
              <w:t>$1,020.00</w:t>
            </w:r>
          </w:p>
        </w:tc>
        <w:tc>
          <w:tcPr>
            <w:tcW w:w="0" w:type="dxa"/>
            <w:vAlign w:val="bottom"/>
          </w:tcPr>
          <w:p>
            <w:pPr>
              <w:spacing w:after="0"/>
              <w:rPr>
                <w:sz w:val="1"/>
                <w:szCs w:val="1"/>
                <w:color w:val="auto"/>
              </w:rPr>
            </w:pPr>
          </w:p>
        </w:tc>
      </w:tr>
      <w:tr>
        <w:trPr>
          <w:trHeight w:val="162"/>
        </w:trPr>
        <w:tc>
          <w:tcPr>
            <w:tcW w:w="2580" w:type="dxa"/>
            <w:vAlign w:val="bottom"/>
            <w:shd w:val="clear" w:color="auto" w:fill="D9D9D9"/>
          </w:tcPr>
          <w:p>
            <w:pPr>
              <w:jc w:val="center"/>
              <w:ind w:left="228"/>
              <w:spacing w:after="0"/>
              <w:rPr>
                <w:sz w:val="20"/>
                <w:szCs w:val="20"/>
                <w:color w:val="auto"/>
              </w:rPr>
            </w:pPr>
            <w:r>
              <w:rPr>
                <w:rFonts w:ascii="Arial" w:cs="Arial" w:eastAsia="Arial" w:hAnsi="Arial"/>
                <w:sz w:val="14"/>
                <w:szCs w:val="14"/>
                <w:color w:val="auto"/>
              </w:rPr>
              <w:t>0.00%</w:t>
            </w:r>
          </w:p>
        </w:tc>
        <w:tc>
          <w:tcPr>
            <w:tcW w:w="2900" w:type="dxa"/>
            <w:vAlign w:val="bottom"/>
            <w:shd w:val="clear" w:color="auto" w:fill="D9D9D9"/>
          </w:tcPr>
          <w:p>
            <w:pPr>
              <w:jc w:val="center"/>
              <w:ind w:left="228"/>
              <w:spacing w:after="0"/>
              <w:rPr>
                <w:sz w:val="20"/>
                <w:szCs w:val="20"/>
                <w:color w:val="auto"/>
              </w:rPr>
            </w:pPr>
            <w:r>
              <w:rPr>
                <w:rFonts w:ascii="Arial" w:cs="Arial" w:eastAsia="Arial" w:hAnsi="Arial"/>
                <w:sz w:val="14"/>
                <w:szCs w:val="14"/>
                <w:color w:val="auto"/>
              </w:rPr>
              <w:t>$1,020.00</w:t>
            </w:r>
          </w:p>
        </w:tc>
        <w:tc>
          <w:tcPr>
            <w:tcW w:w="0" w:type="dxa"/>
            <w:vAlign w:val="bottom"/>
          </w:tcPr>
          <w:p>
            <w:pPr>
              <w:spacing w:after="0"/>
              <w:rPr>
                <w:sz w:val="1"/>
                <w:szCs w:val="1"/>
                <w:color w:val="auto"/>
              </w:rPr>
            </w:pPr>
          </w:p>
        </w:tc>
      </w:tr>
      <w:tr>
        <w:trPr>
          <w:trHeight w:val="162"/>
        </w:trPr>
        <w:tc>
          <w:tcPr>
            <w:tcW w:w="2580" w:type="dxa"/>
            <w:vAlign w:val="bottom"/>
          </w:tcPr>
          <w:p>
            <w:pPr>
              <w:jc w:val="center"/>
              <w:ind w:left="208"/>
              <w:spacing w:after="0"/>
              <w:rPr>
                <w:sz w:val="20"/>
                <w:szCs w:val="20"/>
                <w:color w:val="auto"/>
              </w:rPr>
            </w:pPr>
            <w:r>
              <w:rPr>
                <w:rFonts w:ascii="Arial" w:cs="Arial" w:eastAsia="Arial" w:hAnsi="Arial"/>
                <w:sz w:val="14"/>
                <w:szCs w:val="14"/>
                <w:color w:val="auto"/>
              </w:rPr>
              <w:t>-10.00%</w:t>
            </w:r>
          </w:p>
        </w:tc>
        <w:tc>
          <w:tcPr>
            <w:tcW w:w="2900" w:type="dxa"/>
            <w:vAlign w:val="bottom"/>
          </w:tcPr>
          <w:p>
            <w:pPr>
              <w:jc w:val="center"/>
              <w:ind w:left="228"/>
              <w:spacing w:after="0"/>
              <w:rPr>
                <w:sz w:val="20"/>
                <w:szCs w:val="20"/>
                <w:color w:val="auto"/>
              </w:rPr>
            </w:pPr>
            <w:r>
              <w:rPr>
                <w:rFonts w:ascii="Arial" w:cs="Arial" w:eastAsia="Arial" w:hAnsi="Arial"/>
                <w:sz w:val="14"/>
                <w:szCs w:val="14"/>
                <w:color w:val="auto"/>
              </w:rPr>
              <w:t>$1,020.00</w:t>
            </w:r>
          </w:p>
        </w:tc>
        <w:tc>
          <w:tcPr>
            <w:tcW w:w="0" w:type="dxa"/>
            <w:vAlign w:val="bottom"/>
          </w:tcPr>
          <w:p>
            <w:pPr>
              <w:spacing w:after="0"/>
              <w:rPr>
                <w:sz w:val="1"/>
                <w:szCs w:val="1"/>
                <w:color w:val="auto"/>
              </w:rPr>
            </w:pPr>
          </w:p>
        </w:tc>
      </w:tr>
      <w:tr>
        <w:trPr>
          <w:trHeight w:val="162"/>
        </w:trPr>
        <w:tc>
          <w:tcPr>
            <w:tcW w:w="2580" w:type="dxa"/>
            <w:vAlign w:val="bottom"/>
            <w:shd w:val="clear" w:color="auto" w:fill="D9D9D9"/>
          </w:tcPr>
          <w:p>
            <w:pPr>
              <w:jc w:val="center"/>
              <w:ind w:left="208"/>
              <w:spacing w:after="0"/>
              <w:rPr>
                <w:sz w:val="20"/>
                <w:szCs w:val="20"/>
                <w:color w:val="auto"/>
              </w:rPr>
            </w:pPr>
            <w:r>
              <w:rPr>
                <w:rFonts w:ascii="Arial" w:cs="Arial" w:eastAsia="Arial" w:hAnsi="Arial"/>
                <w:sz w:val="14"/>
                <w:szCs w:val="14"/>
                <w:color w:val="auto"/>
              </w:rPr>
              <w:t>-20.00%</w:t>
            </w:r>
          </w:p>
        </w:tc>
        <w:tc>
          <w:tcPr>
            <w:tcW w:w="2900" w:type="dxa"/>
            <w:vAlign w:val="bottom"/>
            <w:shd w:val="clear" w:color="auto" w:fill="D9D9D9"/>
          </w:tcPr>
          <w:p>
            <w:pPr>
              <w:jc w:val="center"/>
              <w:ind w:left="228"/>
              <w:spacing w:after="0"/>
              <w:rPr>
                <w:sz w:val="20"/>
                <w:szCs w:val="20"/>
                <w:color w:val="auto"/>
              </w:rPr>
            </w:pPr>
            <w:r>
              <w:rPr>
                <w:rFonts w:ascii="Arial" w:cs="Arial" w:eastAsia="Arial" w:hAnsi="Arial"/>
                <w:sz w:val="14"/>
                <w:szCs w:val="14"/>
                <w:color w:val="auto"/>
              </w:rPr>
              <w:t>$1,020.00</w:t>
            </w:r>
          </w:p>
        </w:tc>
        <w:tc>
          <w:tcPr>
            <w:tcW w:w="0" w:type="dxa"/>
            <w:vAlign w:val="bottom"/>
          </w:tcPr>
          <w:p>
            <w:pPr>
              <w:spacing w:after="0"/>
              <w:rPr>
                <w:sz w:val="1"/>
                <w:szCs w:val="1"/>
                <w:color w:val="auto"/>
              </w:rPr>
            </w:pPr>
          </w:p>
        </w:tc>
      </w:tr>
      <w:tr>
        <w:trPr>
          <w:trHeight w:val="162"/>
        </w:trPr>
        <w:tc>
          <w:tcPr>
            <w:tcW w:w="2580" w:type="dxa"/>
            <w:vAlign w:val="bottom"/>
          </w:tcPr>
          <w:p>
            <w:pPr>
              <w:jc w:val="center"/>
              <w:ind w:left="208"/>
              <w:spacing w:after="0"/>
              <w:rPr>
                <w:sz w:val="20"/>
                <w:szCs w:val="20"/>
                <w:color w:val="auto"/>
              </w:rPr>
            </w:pPr>
            <w:r>
              <w:rPr>
                <w:rFonts w:ascii="Arial" w:cs="Arial" w:eastAsia="Arial" w:hAnsi="Arial"/>
                <w:sz w:val="14"/>
                <w:szCs w:val="14"/>
                <w:color w:val="auto"/>
              </w:rPr>
              <w:t>-25.00%</w:t>
            </w:r>
          </w:p>
        </w:tc>
        <w:tc>
          <w:tcPr>
            <w:tcW w:w="2900" w:type="dxa"/>
            <w:vAlign w:val="bottom"/>
          </w:tcPr>
          <w:p>
            <w:pPr>
              <w:jc w:val="center"/>
              <w:ind w:left="228"/>
              <w:spacing w:after="0"/>
              <w:rPr>
                <w:sz w:val="20"/>
                <w:szCs w:val="20"/>
                <w:color w:val="auto"/>
              </w:rPr>
            </w:pPr>
            <w:r>
              <w:rPr>
                <w:rFonts w:ascii="Arial" w:cs="Arial" w:eastAsia="Arial" w:hAnsi="Arial"/>
                <w:sz w:val="14"/>
                <w:szCs w:val="14"/>
                <w:color w:val="auto"/>
              </w:rPr>
              <w:t>$1,020.00</w:t>
            </w:r>
          </w:p>
        </w:tc>
        <w:tc>
          <w:tcPr>
            <w:tcW w:w="0" w:type="dxa"/>
            <w:vAlign w:val="bottom"/>
          </w:tcPr>
          <w:p>
            <w:pPr>
              <w:spacing w:after="0"/>
              <w:rPr>
                <w:sz w:val="1"/>
                <w:szCs w:val="1"/>
                <w:color w:val="auto"/>
              </w:rPr>
            </w:pPr>
          </w:p>
        </w:tc>
      </w:tr>
      <w:tr>
        <w:trPr>
          <w:trHeight w:val="162"/>
        </w:trPr>
        <w:tc>
          <w:tcPr>
            <w:tcW w:w="2580" w:type="dxa"/>
            <w:vAlign w:val="bottom"/>
            <w:shd w:val="clear" w:color="auto" w:fill="D9D9D9"/>
          </w:tcPr>
          <w:p>
            <w:pPr>
              <w:jc w:val="center"/>
              <w:ind w:left="208"/>
              <w:spacing w:after="0"/>
              <w:rPr>
                <w:sz w:val="20"/>
                <w:szCs w:val="20"/>
                <w:color w:val="auto"/>
              </w:rPr>
            </w:pPr>
            <w:r>
              <w:rPr>
                <w:rFonts w:ascii="Arial" w:cs="Arial" w:eastAsia="Arial" w:hAnsi="Arial"/>
                <w:sz w:val="14"/>
                <w:szCs w:val="14"/>
                <w:color w:val="auto"/>
              </w:rPr>
              <w:t>-25.01%</w:t>
            </w:r>
          </w:p>
        </w:tc>
        <w:tc>
          <w:tcPr>
            <w:tcW w:w="2900" w:type="dxa"/>
            <w:vAlign w:val="bottom"/>
            <w:shd w:val="clear" w:color="auto" w:fill="D9D9D9"/>
          </w:tcPr>
          <w:p>
            <w:pPr>
              <w:jc w:val="center"/>
              <w:ind w:left="22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62"/>
        </w:trPr>
        <w:tc>
          <w:tcPr>
            <w:tcW w:w="2580" w:type="dxa"/>
            <w:vAlign w:val="bottom"/>
          </w:tcPr>
          <w:p>
            <w:pPr>
              <w:jc w:val="center"/>
              <w:ind w:left="208"/>
              <w:spacing w:after="0"/>
              <w:rPr>
                <w:sz w:val="20"/>
                <w:szCs w:val="20"/>
                <w:color w:val="auto"/>
              </w:rPr>
            </w:pPr>
            <w:r>
              <w:rPr>
                <w:rFonts w:ascii="Arial" w:cs="Arial" w:eastAsia="Arial" w:hAnsi="Arial"/>
                <w:sz w:val="14"/>
                <w:szCs w:val="14"/>
                <w:color w:val="auto"/>
              </w:rPr>
              <w:t>-30.00%</w:t>
            </w:r>
          </w:p>
        </w:tc>
        <w:tc>
          <w:tcPr>
            <w:tcW w:w="2900" w:type="dxa"/>
            <w:vAlign w:val="bottom"/>
          </w:tcPr>
          <w:p>
            <w:pPr>
              <w:jc w:val="center"/>
              <w:ind w:left="22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62"/>
        </w:trPr>
        <w:tc>
          <w:tcPr>
            <w:tcW w:w="2580" w:type="dxa"/>
            <w:vAlign w:val="bottom"/>
            <w:shd w:val="clear" w:color="auto" w:fill="D9D9D9"/>
          </w:tcPr>
          <w:p>
            <w:pPr>
              <w:jc w:val="center"/>
              <w:ind w:left="208"/>
              <w:spacing w:after="0"/>
              <w:rPr>
                <w:sz w:val="20"/>
                <w:szCs w:val="20"/>
                <w:color w:val="auto"/>
              </w:rPr>
            </w:pPr>
            <w:r>
              <w:rPr>
                <w:rFonts w:ascii="Arial" w:cs="Arial" w:eastAsia="Arial" w:hAnsi="Arial"/>
                <w:sz w:val="14"/>
                <w:szCs w:val="14"/>
                <w:color w:val="auto"/>
              </w:rPr>
              <w:t>-35.00%</w:t>
            </w:r>
          </w:p>
        </w:tc>
        <w:tc>
          <w:tcPr>
            <w:tcW w:w="2900" w:type="dxa"/>
            <w:vAlign w:val="bottom"/>
            <w:shd w:val="clear" w:color="auto" w:fill="D9D9D9"/>
          </w:tcPr>
          <w:p>
            <w:pPr>
              <w:jc w:val="center"/>
              <w:ind w:left="22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62"/>
        </w:trPr>
        <w:tc>
          <w:tcPr>
            <w:tcW w:w="2580" w:type="dxa"/>
            <w:vAlign w:val="bottom"/>
          </w:tcPr>
          <w:p>
            <w:pPr>
              <w:jc w:val="center"/>
              <w:ind w:left="208"/>
              <w:spacing w:after="0"/>
              <w:rPr>
                <w:sz w:val="20"/>
                <w:szCs w:val="20"/>
                <w:color w:val="auto"/>
              </w:rPr>
            </w:pPr>
            <w:r>
              <w:rPr>
                <w:rFonts w:ascii="Arial" w:cs="Arial" w:eastAsia="Arial" w:hAnsi="Arial"/>
                <w:sz w:val="14"/>
                <w:szCs w:val="14"/>
                <w:color w:val="auto"/>
              </w:rPr>
              <w:t>-35.01%</w:t>
            </w:r>
          </w:p>
        </w:tc>
        <w:tc>
          <w:tcPr>
            <w:tcW w:w="2900" w:type="dxa"/>
            <w:vAlign w:val="bottom"/>
          </w:tcPr>
          <w:p>
            <w:pPr>
              <w:jc w:val="center"/>
              <w:ind w:left="228"/>
              <w:spacing w:after="0"/>
              <w:rPr>
                <w:sz w:val="20"/>
                <w:szCs w:val="20"/>
                <w:color w:val="auto"/>
              </w:rPr>
            </w:pPr>
            <w:r>
              <w:rPr>
                <w:rFonts w:ascii="Arial" w:cs="Arial" w:eastAsia="Arial" w:hAnsi="Arial"/>
                <w:sz w:val="14"/>
                <w:szCs w:val="14"/>
                <w:color w:val="auto"/>
              </w:rPr>
              <w:t>$649.90</w:t>
            </w:r>
          </w:p>
        </w:tc>
        <w:tc>
          <w:tcPr>
            <w:tcW w:w="0" w:type="dxa"/>
            <w:vAlign w:val="bottom"/>
          </w:tcPr>
          <w:p>
            <w:pPr>
              <w:spacing w:after="0"/>
              <w:rPr>
                <w:sz w:val="1"/>
                <w:szCs w:val="1"/>
                <w:color w:val="auto"/>
              </w:rPr>
            </w:pPr>
          </w:p>
        </w:tc>
      </w:tr>
      <w:tr>
        <w:trPr>
          <w:trHeight w:val="162"/>
        </w:trPr>
        <w:tc>
          <w:tcPr>
            <w:tcW w:w="2580" w:type="dxa"/>
            <w:vAlign w:val="bottom"/>
            <w:shd w:val="clear" w:color="auto" w:fill="D9D9D9"/>
          </w:tcPr>
          <w:p>
            <w:pPr>
              <w:jc w:val="center"/>
              <w:ind w:left="208"/>
              <w:spacing w:after="0"/>
              <w:rPr>
                <w:sz w:val="20"/>
                <w:szCs w:val="20"/>
                <w:color w:val="auto"/>
              </w:rPr>
            </w:pPr>
            <w:r>
              <w:rPr>
                <w:rFonts w:ascii="Arial" w:cs="Arial" w:eastAsia="Arial" w:hAnsi="Arial"/>
                <w:sz w:val="14"/>
                <w:szCs w:val="14"/>
                <w:color w:val="auto"/>
              </w:rPr>
              <w:t>-40.00%</w:t>
            </w:r>
          </w:p>
        </w:tc>
        <w:tc>
          <w:tcPr>
            <w:tcW w:w="2900" w:type="dxa"/>
            <w:vAlign w:val="bottom"/>
            <w:shd w:val="clear" w:color="auto" w:fill="D9D9D9"/>
          </w:tcPr>
          <w:p>
            <w:pPr>
              <w:jc w:val="center"/>
              <w:ind w:left="228"/>
              <w:spacing w:after="0"/>
              <w:rPr>
                <w:sz w:val="20"/>
                <w:szCs w:val="20"/>
                <w:color w:val="auto"/>
              </w:rPr>
            </w:pPr>
            <w:r>
              <w:rPr>
                <w:rFonts w:ascii="Arial" w:cs="Arial" w:eastAsia="Arial" w:hAnsi="Arial"/>
                <w:sz w:val="14"/>
                <w:szCs w:val="14"/>
                <w:color w:val="auto"/>
              </w:rPr>
              <w:t>$600.00</w:t>
            </w:r>
          </w:p>
        </w:tc>
        <w:tc>
          <w:tcPr>
            <w:tcW w:w="0" w:type="dxa"/>
            <w:vAlign w:val="bottom"/>
          </w:tcPr>
          <w:p>
            <w:pPr>
              <w:spacing w:after="0"/>
              <w:rPr>
                <w:sz w:val="1"/>
                <w:szCs w:val="1"/>
                <w:color w:val="auto"/>
              </w:rPr>
            </w:pPr>
          </w:p>
        </w:tc>
      </w:tr>
      <w:tr>
        <w:trPr>
          <w:trHeight w:val="162"/>
        </w:trPr>
        <w:tc>
          <w:tcPr>
            <w:tcW w:w="2580" w:type="dxa"/>
            <w:vAlign w:val="bottom"/>
          </w:tcPr>
          <w:p>
            <w:pPr>
              <w:jc w:val="center"/>
              <w:ind w:left="208"/>
              <w:spacing w:after="0"/>
              <w:rPr>
                <w:sz w:val="20"/>
                <w:szCs w:val="20"/>
                <w:color w:val="auto"/>
              </w:rPr>
            </w:pPr>
            <w:r>
              <w:rPr>
                <w:rFonts w:ascii="Arial" w:cs="Arial" w:eastAsia="Arial" w:hAnsi="Arial"/>
                <w:sz w:val="14"/>
                <w:szCs w:val="14"/>
                <w:color w:val="auto"/>
              </w:rPr>
              <w:t>-50.00%</w:t>
            </w:r>
          </w:p>
        </w:tc>
        <w:tc>
          <w:tcPr>
            <w:tcW w:w="2900" w:type="dxa"/>
            <w:vAlign w:val="bottom"/>
          </w:tcPr>
          <w:p>
            <w:pPr>
              <w:jc w:val="center"/>
              <w:ind w:left="228"/>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62"/>
        </w:trPr>
        <w:tc>
          <w:tcPr>
            <w:tcW w:w="2580" w:type="dxa"/>
            <w:vAlign w:val="bottom"/>
            <w:shd w:val="clear" w:color="auto" w:fill="D9D9D9"/>
          </w:tcPr>
          <w:p>
            <w:pPr>
              <w:jc w:val="center"/>
              <w:ind w:left="208"/>
              <w:spacing w:after="0"/>
              <w:rPr>
                <w:sz w:val="20"/>
                <w:szCs w:val="20"/>
                <w:color w:val="auto"/>
              </w:rPr>
            </w:pPr>
            <w:r>
              <w:rPr>
                <w:rFonts w:ascii="Arial" w:cs="Arial" w:eastAsia="Arial" w:hAnsi="Arial"/>
                <w:sz w:val="14"/>
                <w:szCs w:val="14"/>
                <w:color w:val="auto"/>
              </w:rPr>
              <w:t>-60.00%</w:t>
            </w:r>
          </w:p>
        </w:tc>
        <w:tc>
          <w:tcPr>
            <w:tcW w:w="2900" w:type="dxa"/>
            <w:vAlign w:val="bottom"/>
            <w:shd w:val="clear" w:color="auto" w:fill="D9D9D9"/>
          </w:tcPr>
          <w:p>
            <w:pPr>
              <w:jc w:val="center"/>
              <w:ind w:left="228"/>
              <w:spacing w:after="0"/>
              <w:rPr>
                <w:sz w:val="20"/>
                <w:szCs w:val="20"/>
                <w:color w:val="auto"/>
              </w:rPr>
            </w:pPr>
            <w:r>
              <w:rPr>
                <w:rFonts w:ascii="Arial" w:cs="Arial" w:eastAsia="Arial" w:hAnsi="Arial"/>
                <w:sz w:val="14"/>
                <w:szCs w:val="14"/>
                <w:color w:val="auto"/>
              </w:rPr>
              <w:t>$400.00</w:t>
            </w:r>
          </w:p>
        </w:tc>
        <w:tc>
          <w:tcPr>
            <w:tcW w:w="0" w:type="dxa"/>
            <w:vAlign w:val="bottom"/>
          </w:tcPr>
          <w:p>
            <w:pPr>
              <w:spacing w:after="0"/>
              <w:rPr>
                <w:sz w:val="1"/>
                <w:szCs w:val="1"/>
                <w:color w:val="auto"/>
              </w:rPr>
            </w:pPr>
          </w:p>
        </w:tc>
      </w:tr>
      <w:tr>
        <w:trPr>
          <w:trHeight w:val="134"/>
        </w:trPr>
        <w:tc>
          <w:tcPr>
            <w:tcW w:w="2580" w:type="dxa"/>
            <w:vAlign w:val="bottom"/>
          </w:tcPr>
          <w:p>
            <w:pPr>
              <w:jc w:val="center"/>
              <w:ind w:left="208"/>
              <w:spacing w:after="0" w:line="135" w:lineRule="exact"/>
              <w:rPr>
                <w:sz w:val="20"/>
                <w:szCs w:val="20"/>
                <w:color w:val="auto"/>
              </w:rPr>
            </w:pPr>
            <w:r>
              <w:rPr>
                <w:rFonts w:ascii="Arial" w:cs="Arial" w:eastAsia="Arial" w:hAnsi="Arial"/>
                <w:sz w:val="14"/>
                <w:szCs w:val="14"/>
                <w:color w:val="auto"/>
              </w:rPr>
              <w:t>-80.00%</w:t>
            </w:r>
          </w:p>
        </w:tc>
        <w:tc>
          <w:tcPr>
            <w:tcW w:w="2900" w:type="dxa"/>
            <w:vAlign w:val="bottom"/>
          </w:tcPr>
          <w:p>
            <w:pPr>
              <w:jc w:val="center"/>
              <w:ind w:left="228"/>
              <w:spacing w:after="0" w:line="135" w:lineRule="exact"/>
              <w:rPr>
                <w:sz w:val="20"/>
                <w:szCs w:val="20"/>
                <w:color w:val="auto"/>
              </w:rPr>
            </w:pPr>
            <w:r>
              <w:rPr>
                <w:rFonts w:ascii="Arial" w:cs="Arial" w:eastAsia="Arial" w:hAnsi="Arial"/>
                <w:sz w:val="14"/>
                <w:szCs w:val="14"/>
                <w:color w:val="auto"/>
              </w:rPr>
              <w:t>$200.00</w:t>
            </w:r>
          </w:p>
        </w:tc>
        <w:tc>
          <w:tcPr>
            <w:tcW w:w="0" w:type="dxa"/>
            <w:vAlign w:val="bottom"/>
          </w:tcPr>
          <w:p>
            <w:pPr>
              <w:spacing w:after="0"/>
              <w:rPr>
                <w:sz w:val="1"/>
                <w:szCs w:val="1"/>
                <w:color w:val="auto"/>
              </w:rPr>
            </w:pPr>
          </w:p>
        </w:tc>
      </w:tr>
    </w:tbl>
    <w:p>
      <w:pPr>
        <w:spacing w:after="0" w:line="1" w:lineRule="exact"/>
        <w:rPr>
          <w:sz w:val="24"/>
          <w:szCs w:val="24"/>
          <w:color w:val="auto"/>
        </w:rPr>
      </w:pPr>
    </w:p>
    <w:p>
      <w:pPr>
        <w:sectPr>
          <w:pgSz w:w="11900" w:h="16838" w:orient="portrait"/>
          <w:cols w:equalWidth="0" w:num="3">
            <w:col w:w="1320" w:space="60"/>
            <w:col w:w="4120" w:space="240"/>
            <w:col w:w="5500"/>
          </w:cols>
          <w:pgMar w:left="320" w:top="219" w:right="339" w:bottom="1440" w:gutter="0" w:footer="0" w:header="0"/>
          <w:type w:val="continuous"/>
        </w:sectPr>
      </w:pPr>
    </w:p>
    <w:p>
      <w:pPr>
        <w:ind w:left="100"/>
        <w:spacing w:after="0"/>
        <w:tabs>
          <w:tab w:leader="none" w:pos="1360" w:val="left"/>
        </w:tabs>
        <w:rPr>
          <w:sz w:val="20"/>
          <w:szCs w:val="20"/>
          <w:color w:val="auto"/>
        </w:rPr>
      </w:pPr>
      <w:r>
        <w:rPr>
          <w:rFonts w:ascii="Arial" w:cs="Arial" w:eastAsia="Arial" w:hAnsi="Arial"/>
          <w:sz w:val="13"/>
          <w:szCs w:val="13"/>
          <w:b w:val="1"/>
          <w:bCs w:val="1"/>
          <w:color w:val="296DC1"/>
        </w:rPr>
        <w:t>Downside</w:t>
      </w:r>
      <w:r>
        <w:rPr>
          <w:sz w:val="20"/>
          <w:szCs w:val="20"/>
          <w:color w:val="auto"/>
        </w:rPr>
        <w:tab/>
      </w:r>
      <w:r>
        <w:rPr>
          <w:rFonts w:ascii="Arial" w:cs="Arial" w:eastAsia="Arial" w:hAnsi="Arial"/>
          <w:sz w:val="13"/>
          <w:szCs w:val="13"/>
          <w:color w:val="auto"/>
        </w:rPr>
        <w:t>65% of the initial share price</w:t>
      </w:r>
    </w:p>
    <w:p>
      <w:pPr>
        <w:ind w:left="100"/>
        <w:spacing w:after="0"/>
        <w:rPr>
          <w:sz w:val="20"/>
          <w:szCs w:val="20"/>
          <w:color w:val="auto"/>
        </w:rPr>
      </w:pPr>
      <w:r>
        <w:rPr>
          <w:rFonts w:ascii="Arial" w:cs="Arial" w:eastAsia="Arial" w:hAnsi="Arial"/>
          <w:sz w:val="13"/>
          <w:szCs w:val="13"/>
          <w:b w:val="1"/>
          <w:bCs w:val="1"/>
          <w:color w:val="296DC1"/>
        </w:rPr>
        <w:t>threshold level:</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880" w:type="dxa"/>
            <w:vAlign w:val="bottom"/>
            <w:shd w:val="clear" w:color="auto" w:fill="D9D9D9"/>
          </w:tcPr>
          <w:p>
            <w:pPr>
              <w:jc w:val="right"/>
              <w:ind w:right="1068"/>
              <w:spacing w:after="0"/>
              <w:rPr>
                <w:sz w:val="20"/>
                <w:szCs w:val="20"/>
                <w:color w:val="auto"/>
              </w:rPr>
            </w:pPr>
            <w:r>
              <w:rPr>
                <w:rFonts w:ascii="Arial" w:cs="Arial" w:eastAsia="Arial" w:hAnsi="Arial"/>
                <w:sz w:val="14"/>
                <w:szCs w:val="14"/>
                <w:color w:val="auto"/>
              </w:rPr>
              <w:t>-100.00%</w:t>
            </w:r>
          </w:p>
        </w:tc>
        <w:tc>
          <w:tcPr>
            <w:tcW w:w="2600" w:type="dxa"/>
            <w:vAlign w:val="bottom"/>
            <w:shd w:val="clear" w:color="auto" w:fill="D9D9D9"/>
          </w:tcPr>
          <w:p>
            <w:pPr>
              <w:jc w:val="right"/>
              <w:ind w:right="1048"/>
              <w:spacing w:after="0"/>
              <w:rPr>
                <w:sz w:val="20"/>
                <w:szCs w:val="20"/>
                <w:color w:val="auto"/>
              </w:rPr>
            </w:pPr>
            <w:r>
              <w:rPr>
                <w:rFonts w:ascii="Arial" w:cs="Arial" w:eastAsia="Arial" w:hAnsi="Arial"/>
                <w:sz w:val="14"/>
                <w:szCs w:val="14"/>
                <w:color w:val="auto"/>
              </w:rPr>
              <w:t>$0.00</w:t>
            </w:r>
          </w:p>
        </w:tc>
      </w:tr>
    </w:tbl>
    <w:p>
      <w:pPr>
        <w:sectPr>
          <w:pgSz w:w="11900" w:h="16838" w:orient="portrait"/>
          <w:cols w:equalWidth="0" w:num="2">
            <w:col w:w="5020" w:space="720"/>
            <w:col w:w="5500"/>
          </w:cols>
          <w:pgMar w:left="320" w:top="21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808080"/>
        </w:rPr>
        <w:t>JPMorgan Chase Financial Company LLC</w:t>
      </w:r>
    </w:p>
    <w:p>
      <w:pPr>
        <w:spacing w:after="0" w:line="14" w:lineRule="exact"/>
        <w:rPr>
          <w:sz w:val="20"/>
          <w:szCs w:val="20"/>
          <w:color w:val="auto"/>
        </w:rPr>
      </w:pPr>
    </w:p>
    <w:p>
      <w:pPr>
        <w:spacing w:after="0"/>
        <w:rPr>
          <w:sz w:val="20"/>
          <w:szCs w:val="20"/>
          <w:color w:val="auto"/>
        </w:rPr>
      </w:pPr>
      <w:r>
        <w:rPr>
          <w:rFonts w:ascii="Arial" w:cs="Arial" w:eastAsia="Arial" w:hAnsi="Arial"/>
          <w:sz w:val="29"/>
          <w:szCs w:val="29"/>
          <w:color w:val="296DC1"/>
        </w:rPr>
        <w:t>3yrNC6m XLE Contingent Income Auto-Callable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25"/>
          <w:szCs w:val="25"/>
          <w:color w:val="296DC1"/>
        </w:rPr>
        <w:t>ETF Shares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about the ETF Shares, including historical performance information, see the accompanying preliminary pricing supplement.</w:t>
      </w:r>
    </w:p>
    <w:p>
      <w:pPr>
        <w:spacing w:after="0" w:line="64" w:lineRule="exact"/>
        <w:rPr>
          <w:sz w:val="20"/>
          <w:szCs w:val="20"/>
          <w:color w:val="auto"/>
        </w:rPr>
      </w:pPr>
    </w:p>
    <w:p>
      <w:pPr>
        <w:spacing w:after="0"/>
        <w:rPr>
          <w:sz w:val="20"/>
          <w:szCs w:val="20"/>
          <w:color w:val="auto"/>
        </w:rPr>
      </w:pPr>
      <w:r>
        <w:rPr>
          <w:rFonts w:ascii="Arial" w:cs="Arial" w:eastAsia="Arial" w:hAnsi="Arial"/>
          <w:sz w:val="25"/>
          <w:szCs w:val="25"/>
          <w:color w:val="296DC1"/>
        </w:rPr>
        <w:t>Risk Considerations</w:t>
      </w:r>
    </w:p>
    <w:p>
      <w:pPr>
        <w:spacing w:after="0" w:line="72" w:lineRule="exact"/>
        <w:rPr>
          <w:sz w:val="20"/>
          <w:szCs w:val="20"/>
          <w:color w:val="auto"/>
        </w:rPr>
      </w:pPr>
    </w:p>
    <w:p>
      <w:pPr>
        <w:ind w:left="340" w:right="480" w:hanging="323"/>
        <w:spacing w:after="0" w:line="255" w:lineRule="auto"/>
        <w:rPr>
          <w:sz w:val="20"/>
          <w:szCs w:val="20"/>
          <w:color w:val="auto"/>
        </w:rPr>
      </w:pPr>
      <w:r>
        <w:rPr>
          <w:rFonts w:ascii="Arial" w:cs="Arial" w:eastAsia="Arial" w:hAnsi="Arial"/>
          <w:sz w:val="16"/>
          <w:szCs w:val="16"/>
          <w:color w:val="auto"/>
        </w:rPr>
        <w:t>The risks identified below are not exhaustive. Please see “Risk Factors” in the accompanying prospectus supplement, product supplement, underlying supplement and preliminary pricing supplement and Annex A to the accompanying prospectus addendum for additional information.</w:t>
      </w:r>
    </w:p>
    <w:p>
      <w:pPr>
        <w:spacing w:after="0" w:line="230" w:lineRule="auto"/>
        <w:rPr>
          <w:sz w:val="20"/>
          <w:szCs w:val="20"/>
          <w:color w:val="auto"/>
        </w:rPr>
      </w:pPr>
      <w:r>
        <w:rPr>
          <w:rFonts w:ascii="Arial" w:cs="Arial" w:eastAsia="Arial" w:hAnsi="Arial"/>
          <w:sz w:val="18"/>
          <w:szCs w:val="18"/>
          <w:color w:val="296DC1"/>
        </w:rPr>
        <w:t>Risks Relating to the Securities Generally</w:t>
      </w:r>
    </w:p>
    <w:p>
      <w:pPr>
        <w:ind w:left="340" w:hanging="332"/>
        <w:spacing w:after="0" w:line="185" w:lineRule="auto"/>
        <w:tabs>
          <w:tab w:leader="none" w:pos="340" w:val="left"/>
        </w:tabs>
        <w:numPr>
          <w:ilvl w:val="0"/>
          <w:numId w:val="3"/>
        </w:numPr>
        <w:rPr>
          <w:rFonts w:ascii="Wingdings" w:cs="Wingdings" w:eastAsia="Wingdings" w:hAnsi="Wingdings"/>
          <w:sz w:val="24"/>
          <w:szCs w:val="24"/>
          <w:b w:val="1"/>
          <w:bCs w:val="1"/>
          <w:color w:val="A3C4EB"/>
          <w:vertAlign w:val="subscript"/>
        </w:rPr>
      </w:pPr>
      <w:r>
        <w:rPr>
          <w:rFonts w:ascii="Arial" w:cs="Arial" w:eastAsia="Arial" w:hAnsi="Arial"/>
          <w:sz w:val="12"/>
          <w:szCs w:val="12"/>
          <w:color w:val="auto"/>
        </w:rPr>
        <w:t>The securities do not guarantee the return of any principal and your investment in the securities may result in a loss.</w:t>
      </w:r>
    </w:p>
    <w:p>
      <w:pPr>
        <w:spacing w:after="0" w:line="31" w:lineRule="exact"/>
        <w:rPr>
          <w:rFonts w:ascii="Wingdings" w:cs="Wingdings" w:eastAsia="Wingdings" w:hAnsi="Wingdings"/>
          <w:sz w:val="24"/>
          <w:szCs w:val="24"/>
          <w:b w:val="1"/>
          <w:bCs w:val="1"/>
          <w:color w:val="A3C4EB"/>
          <w:vertAlign w:val="subscript"/>
        </w:rPr>
      </w:pPr>
    </w:p>
    <w:p>
      <w:pPr>
        <w:ind w:left="340" w:right="360" w:hanging="332"/>
        <w:spacing w:after="0" w:line="188" w:lineRule="auto"/>
        <w:tabs>
          <w:tab w:leader="none" w:pos="340" w:val="left"/>
        </w:tabs>
        <w:numPr>
          <w:ilvl w:val="0"/>
          <w:numId w:val="3"/>
        </w:numPr>
        <w:rPr>
          <w:rFonts w:ascii="Wingdings" w:cs="Wingdings" w:eastAsia="Wingdings" w:hAnsi="Wingdings"/>
          <w:sz w:val="30"/>
          <w:szCs w:val="30"/>
          <w:b w:val="1"/>
          <w:bCs w:val="1"/>
          <w:color w:val="A3C4EB"/>
          <w:vertAlign w:val="subscript"/>
        </w:rPr>
      </w:pPr>
      <w:r>
        <w:rPr>
          <w:rFonts w:ascii="Arial" w:cs="Arial" w:eastAsia="Arial" w:hAnsi="Arial"/>
          <w:sz w:val="13"/>
          <w:szCs w:val="13"/>
          <w:color w:val="auto"/>
        </w:rPr>
        <w:t>You will not receive any contingent quarterly payment for a quarterly monitoring period if the closing price of one ETF Share is less than the coupon barrier level on any day during that quarterly monitoring period.</w:t>
      </w:r>
    </w:p>
    <w:p>
      <w:pPr>
        <w:ind w:left="340" w:hanging="332"/>
        <w:spacing w:after="0" w:line="195" w:lineRule="auto"/>
        <w:tabs>
          <w:tab w:leader="none" w:pos="340" w:val="left"/>
        </w:tabs>
        <w:numPr>
          <w:ilvl w:val="0"/>
          <w:numId w:val="3"/>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contingent quarterly payment is based on the closing prices of one ETF Share during the quarterly monitoring periods.</w:t>
      </w:r>
    </w:p>
    <w:p>
      <w:pPr>
        <w:spacing w:after="0" w:line="31" w:lineRule="exact"/>
        <w:rPr>
          <w:rFonts w:ascii="Wingdings" w:cs="Wingdings" w:eastAsia="Wingdings" w:hAnsi="Wingdings"/>
          <w:sz w:val="22"/>
          <w:szCs w:val="22"/>
          <w:b w:val="1"/>
          <w:bCs w:val="1"/>
          <w:color w:val="A3C4EB"/>
          <w:vertAlign w:val="subscript"/>
        </w:rPr>
      </w:pPr>
    </w:p>
    <w:p>
      <w:pPr>
        <w:ind w:left="340" w:right="580" w:hanging="332"/>
        <w:spacing w:after="0" w:line="188" w:lineRule="auto"/>
        <w:tabs>
          <w:tab w:leader="none" w:pos="340" w:val="left"/>
        </w:tabs>
        <w:numPr>
          <w:ilvl w:val="0"/>
          <w:numId w:val="3"/>
        </w:numPr>
        <w:rPr>
          <w:rFonts w:ascii="Wingdings" w:cs="Wingdings" w:eastAsia="Wingdings" w:hAnsi="Wingdings"/>
          <w:sz w:val="30"/>
          <w:szCs w:val="30"/>
          <w:b w:val="1"/>
          <w:bCs w:val="1"/>
          <w:color w:val="A3C4EB"/>
          <w:vertAlign w:val="subscript"/>
        </w:rPr>
      </w:pPr>
      <w:r>
        <w:rPr>
          <w:rFonts w:ascii="Arial" w:cs="Arial" w:eastAsia="Arial" w:hAnsi="Arial"/>
          <w:sz w:val="13"/>
          <w:szCs w:val="13"/>
          <w:color w:val="auto"/>
        </w:rPr>
        <w:t>The securities are subject to the credit risks of JPMorgan Financial and JPMorgan Chase &amp; Co., and any actual or anticipated changes to our or JPMorgan Chase &amp; Co.’s credit ratings or credit spreads may adversely affect the market value of the securities.</w:t>
      </w:r>
    </w:p>
    <w:p>
      <w:pPr>
        <w:ind w:left="340" w:hanging="332"/>
        <w:spacing w:after="0" w:line="195" w:lineRule="auto"/>
        <w:tabs>
          <w:tab w:leader="none" w:pos="340" w:val="left"/>
        </w:tabs>
        <w:numPr>
          <w:ilvl w:val="0"/>
          <w:numId w:val="3"/>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As a finance subsidiary, JPMorgan Financial has no independent operations and has limited assets.</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3"/>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Investors will not participate in any appreciation of the ETF Shares.</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3"/>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Early redemption risk.</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3"/>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Secondary trading may be limited.</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3"/>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final terms and estimated valuation of the securities will be provided in the pricing supplement.</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3"/>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U.S. federal income tax consequences of an investment in the securities are uncertain.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296DC1"/>
        </w:rPr>
        <w:t>Risks Relating to Conflicts of Interest</w:t>
      </w:r>
    </w:p>
    <w:p>
      <w:pPr>
        <w:ind w:left="340" w:right="140" w:hanging="332"/>
        <w:spacing w:after="0" w:line="182" w:lineRule="auto"/>
        <w:tabs>
          <w:tab w:leader="none" w:pos="340" w:val="left"/>
        </w:tabs>
        <w:numPr>
          <w:ilvl w:val="0"/>
          <w:numId w:val="4"/>
        </w:numPr>
        <w:rPr>
          <w:rFonts w:ascii="Wingdings" w:cs="Wingdings" w:eastAsia="Wingdings" w:hAnsi="Wingdings"/>
          <w:sz w:val="31"/>
          <w:szCs w:val="31"/>
          <w:b w:val="1"/>
          <w:bCs w:val="1"/>
          <w:color w:val="A3C4EB"/>
          <w:vertAlign w:val="subscript"/>
        </w:rPr>
      </w:pPr>
      <w:r>
        <w:rPr>
          <w:rFonts w:ascii="Arial" w:cs="Arial" w:eastAsia="Arial" w:hAnsi="Arial"/>
          <w:sz w:val="14"/>
          <w:szCs w:val="14"/>
          <w:color w:val="auto"/>
        </w:rPr>
        <w:t>Economic interests of the issuer, the guarantor, the calculation agent, the agent of the offering of the securities and other affiliates of the issuer may be different from those of investors.</w:t>
      </w:r>
    </w:p>
    <w:p>
      <w:pPr>
        <w:spacing w:after="0" w:line="2" w:lineRule="exact"/>
        <w:rPr>
          <w:rFonts w:ascii="Wingdings" w:cs="Wingdings" w:eastAsia="Wingdings" w:hAnsi="Wingdings"/>
          <w:sz w:val="31"/>
          <w:szCs w:val="31"/>
          <w:b w:val="1"/>
          <w:bCs w:val="1"/>
          <w:color w:val="A3C4EB"/>
          <w:vertAlign w:val="subscript"/>
        </w:rPr>
      </w:pPr>
    </w:p>
    <w:p>
      <w:pPr>
        <w:ind w:left="340" w:hanging="332"/>
        <w:spacing w:after="0" w:line="195" w:lineRule="auto"/>
        <w:tabs>
          <w:tab w:leader="none" w:pos="340" w:val="left"/>
        </w:tabs>
        <w:numPr>
          <w:ilvl w:val="0"/>
          <w:numId w:val="4"/>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Hedging and trading activities by the issuer and its affiliates could potentially affect the value of the securities.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296DC1"/>
        </w:rPr>
        <w:t>Risks Relating to the Estimated Value and Secondary Market Prices of the Securities</w:t>
      </w:r>
    </w:p>
    <w:p>
      <w:pPr>
        <w:ind w:left="340" w:hanging="332"/>
        <w:spacing w:after="0" w:line="185" w:lineRule="auto"/>
        <w:tabs>
          <w:tab w:leader="none" w:pos="340" w:val="left"/>
        </w:tabs>
        <w:numPr>
          <w:ilvl w:val="0"/>
          <w:numId w:val="5"/>
        </w:numPr>
        <w:rPr>
          <w:rFonts w:ascii="Wingdings" w:cs="Wingdings" w:eastAsia="Wingdings" w:hAnsi="Wingdings"/>
          <w:sz w:val="24"/>
          <w:szCs w:val="24"/>
          <w:b w:val="1"/>
          <w:bCs w:val="1"/>
          <w:color w:val="A3C4EB"/>
          <w:vertAlign w:val="subscript"/>
        </w:rPr>
      </w:pPr>
      <w:r>
        <w:rPr>
          <w:rFonts w:ascii="Arial" w:cs="Arial" w:eastAsia="Arial" w:hAnsi="Arial"/>
          <w:sz w:val="12"/>
          <w:szCs w:val="12"/>
          <w:color w:val="auto"/>
        </w:rPr>
        <w:t>The estimated value of the securities will be lower than the original issue price (price to public) of the securities.</w:t>
      </w:r>
    </w:p>
    <w:p>
      <w:pPr>
        <w:spacing w:after="0" w:line="31" w:lineRule="exact"/>
        <w:rPr>
          <w:rFonts w:ascii="Wingdings" w:cs="Wingdings" w:eastAsia="Wingdings" w:hAnsi="Wingdings"/>
          <w:sz w:val="24"/>
          <w:szCs w:val="24"/>
          <w:b w:val="1"/>
          <w:bCs w:val="1"/>
          <w:color w:val="A3C4EB"/>
          <w:vertAlign w:val="subscript"/>
        </w:rPr>
      </w:pPr>
    </w:p>
    <w:p>
      <w:pPr>
        <w:ind w:left="340" w:hanging="332"/>
        <w:spacing w:after="0" w:line="180" w:lineRule="auto"/>
        <w:tabs>
          <w:tab w:leader="none" w:pos="340" w:val="left"/>
        </w:tabs>
        <w:numPr>
          <w:ilvl w:val="0"/>
          <w:numId w:val="5"/>
        </w:numPr>
        <w:rPr>
          <w:rFonts w:ascii="Wingdings" w:cs="Wingdings" w:eastAsia="Wingdings" w:hAnsi="Wingdings"/>
          <w:sz w:val="24"/>
          <w:szCs w:val="24"/>
          <w:b w:val="1"/>
          <w:bCs w:val="1"/>
          <w:color w:val="A3C4EB"/>
          <w:vertAlign w:val="subscript"/>
        </w:rPr>
      </w:pPr>
      <w:r>
        <w:rPr>
          <w:rFonts w:ascii="Arial" w:cs="Arial" w:eastAsia="Arial" w:hAnsi="Arial"/>
          <w:sz w:val="12"/>
          <w:szCs w:val="12"/>
          <w:color w:val="auto"/>
        </w:rPr>
        <w:t>The estimated value of the securities does not represent future values of the securities and may differ from others’ estimates.</w:t>
      </w:r>
    </w:p>
    <w:p>
      <w:pPr>
        <w:spacing w:after="0" w:line="29" w:lineRule="exact"/>
        <w:rPr>
          <w:rFonts w:ascii="Wingdings" w:cs="Wingdings" w:eastAsia="Wingdings" w:hAnsi="Wingdings"/>
          <w:sz w:val="24"/>
          <w:szCs w:val="24"/>
          <w:b w:val="1"/>
          <w:bCs w:val="1"/>
          <w:color w:val="A3C4EB"/>
          <w:vertAlign w:val="subscript"/>
        </w:rPr>
      </w:pPr>
    </w:p>
    <w:p>
      <w:pPr>
        <w:ind w:left="340" w:hanging="332"/>
        <w:spacing w:after="0" w:line="195" w:lineRule="auto"/>
        <w:tabs>
          <w:tab w:leader="none" w:pos="340" w:val="left"/>
        </w:tabs>
        <w:numPr>
          <w:ilvl w:val="0"/>
          <w:numId w:val="5"/>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estimated value of the securities is derived by reference to an internal funding rate.</w:t>
      </w:r>
    </w:p>
    <w:p>
      <w:pPr>
        <w:spacing w:after="0" w:line="31" w:lineRule="exact"/>
        <w:rPr>
          <w:rFonts w:ascii="Wingdings" w:cs="Wingdings" w:eastAsia="Wingdings" w:hAnsi="Wingdings"/>
          <w:sz w:val="22"/>
          <w:szCs w:val="22"/>
          <w:b w:val="1"/>
          <w:bCs w:val="1"/>
          <w:color w:val="A3C4EB"/>
          <w:vertAlign w:val="subscript"/>
        </w:rPr>
      </w:pPr>
    </w:p>
    <w:p>
      <w:pPr>
        <w:ind w:left="340" w:right="240" w:hanging="332"/>
        <w:spacing w:after="0" w:line="188" w:lineRule="auto"/>
        <w:tabs>
          <w:tab w:leader="none" w:pos="340" w:val="left"/>
        </w:tabs>
        <w:numPr>
          <w:ilvl w:val="0"/>
          <w:numId w:val="5"/>
        </w:numPr>
        <w:rPr>
          <w:rFonts w:ascii="Wingdings" w:cs="Wingdings" w:eastAsia="Wingdings" w:hAnsi="Wingdings"/>
          <w:sz w:val="30"/>
          <w:szCs w:val="30"/>
          <w:b w:val="1"/>
          <w:bCs w:val="1"/>
          <w:color w:val="A3C4EB"/>
          <w:vertAlign w:val="subscript"/>
        </w:rPr>
      </w:pPr>
      <w:r>
        <w:rPr>
          <w:rFonts w:ascii="Arial" w:cs="Arial" w:eastAsia="Arial" w:hAnsi="Arial"/>
          <w:sz w:val="13"/>
          <w:szCs w:val="13"/>
          <w:color w:val="auto"/>
        </w:rPr>
        <w:t>The value of the securities as published by J.P. Morgan Securities LLC (and which may be reflected on customer account statements) may be higher than the then-current estimated value of the securities for a limited time period.</w:t>
      </w:r>
    </w:p>
    <w:p>
      <w:pPr>
        <w:ind w:left="340" w:hanging="332"/>
        <w:spacing w:after="0" w:line="195" w:lineRule="auto"/>
        <w:tabs>
          <w:tab w:leader="none" w:pos="340" w:val="left"/>
        </w:tabs>
        <w:numPr>
          <w:ilvl w:val="0"/>
          <w:numId w:val="5"/>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Secondary market prices of the securities will likely be lower than the original issue price of the securities.</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5"/>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Secondary market prices of the securities will be impacted by many economic and market factors.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296DC1"/>
        </w:rPr>
        <w:t>Risks Relating to the ETF Shares</w:t>
      </w:r>
    </w:p>
    <w:p>
      <w:pPr>
        <w:ind w:left="340" w:hanging="332"/>
        <w:spacing w:after="0" w:line="185" w:lineRule="auto"/>
        <w:tabs>
          <w:tab w:leader="none" w:pos="340" w:val="left"/>
        </w:tabs>
        <w:numPr>
          <w:ilvl w:val="0"/>
          <w:numId w:val="6"/>
        </w:numPr>
        <w:rPr>
          <w:rFonts w:ascii="Wingdings" w:cs="Wingdings" w:eastAsia="Wingdings" w:hAnsi="Wingdings"/>
          <w:sz w:val="24"/>
          <w:szCs w:val="24"/>
          <w:b w:val="1"/>
          <w:bCs w:val="1"/>
          <w:color w:val="A3C4EB"/>
          <w:vertAlign w:val="subscript"/>
        </w:rPr>
      </w:pPr>
      <w:r>
        <w:rPr>
          <w:rFonts w:ascii="Arial" w:cs="Arial" w:eastAsia="Arial" w:hAnsi="Arial"/>
          <w:sz w:val="12"/>
          <w:szCs w:val="12"/>
          <w:color w:val="auto"/>
        </w:rPr>
        <w:t>Investing in the secruties is not equivalent to investing in the ETF Shares</w:t>
      </w:r>
    </w:p>
    <w:p>
      <w:pPr>
        <w:spacing w:after="0" w:line="31" w:lineRule="exact"/>
        <w:rPr>
          <w:rFonts w:ascii="Wingdings" w:cs="Wingdings" w:eastAsia="Wingdings" w:hAnsi="Wingdings"/>
          <w:sz w:val="24"/>
          <w:szCs w:val="24"/>
          <w:b w:val="1"/>
          <w:bCs w:val="1"/>
          <w:color w:val="A3C4EB"/>
          <w:vertAlign w:val="subscript"/>
        </w:rPr>
      </w:pPr>
    </w:p>
    <w:p>
      <w:pPr>
        <w:ind w:left="340" w:hanging="332"/>
        <w:spacing w:after="0" w:line="195" w:lineRule="auto"/>
        <w:tabs>
          <w:tab w:leader="none" w:pos="340" w:val="left"/>
        </w:tabs>
        <w:numPr>
          <w:ilvl w:val="0"/>
          <w:numId w:val="6"/>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Adjustments to the ETF Shares or the underlying index could adversely affect the value of the securities.</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6"/>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There are risks associated with the ETF Shares.</w:t>
      </w:r>
    </w:p>
    <w:p>
      <w:pPr>
        <w:spacing w:after="0" w:line="31" w:lineRule="exact"/>
        <w:rPr>
          <w:rFonts w:ascii="Wingdings" w:cs="Wingdings" w:eastAsia="Wingdings" w:hAnsi="Wingdings"/>
          <w:sz w:val="22"/>
          <w:szCs w:val="22"/>
          <w:b w:val="1"/>
          <w:bCs w:val="1"/>
          <w:color w:val="A3C4EB"/>
          <w:vertAlign w:val="subscript"/>
        </w:rPr>
      </w:pPr>
    </w:p>
    <w:p>
      <w:pPr>
        <w:ind w:left="340" w:right="380" w:hanging="332"/>
        <w:spacing w:after="0" w:line="188" w:lineRule="auto"/>
        <w:tabs>
          <w:tab w:leader="none" w:pos="340" w:val="left"/>
        </w:tabs>
        <w:numPr>
          <w:ilvl w:val="0"/>
          <w:numId w:val="6"/>
        </w:numPr>
        <w:rPr>
          <w:rFonts w:ascii="Wingdings" w:cs="Wingdings" w:eastAsia="Wingdings" w:hAnsi="Wingdings"/>
          <w:sz w:val="30"/>
          <w:szCs w:val="30"/>
          <w:b w:val="1"/>
          <w:bCs w:val="1"/>
          <w:color w:val="A3C4EB"/>
          <w:vertAlign w:val="subscript"/>
        </w:rPr>
      </w:pPr>
      <w:r>
        <w:rPr>
          <w:rFonts w:ascii="Arial" w:cs="Arial" w:eastAsia="Arial" w:hAnsi="Arial"/>
          <w:sz w:val="13"/>
          <w:szCs w:val="13"/>
          <w:color w:val="auto"/>
        </w:rPr>
        <w:t>The performance and market value of the ETF Shares, particularly during periods of market volatility, may not correlate with the performance of the underlying index as well as the net asset value per ETF Share.</w:t>
      </w:r>
    </w:p>
    <w:p>
      <w:pPr>
        <w:ind w:left="340" w:hanging="332"/>
        <w:spacing w:after="0" w:line="195" w:lineRule="auto"/>
        <w:tabs>
          <w:tab w:leader="none" w:pos="340" w:val="left"/>
        </w:tabs>
        <w:numPr>
          <w:ilvl w:val="0"/>
          <w:numId w:val="6"/>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securities are subject to risks associated with the energy sector.</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6"/>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Governmental legislative and regulatory actions, including sanctions, could adversely affect your investment in the securities.</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6"/>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anti-dilution protection for the ETF Shares is limited.</w:t>
      </w:r>
    </w:p>
    <w:p>
      <w:pPr>
        <w:spacing w:after="0" w:line="115" w:lineRule="exact"/>
        <w:rPr>
          <w:sz w:val="20"/>
          <w:szCs w:val="20"/>
          <w:color w:val="auto"/>
        </w:rPr>
      </w:pPr>
    </w:p>
    <w:p>
      <w:pPr>
        <w:spacing w:after="0"/>
        <w:rPr>
          <w:sz w:val="20"/>
          <w:szCs w:val="20"/>
          <w:color w:val="auto"/>
        </w:rPr>
      </w:pPr>
      <w:r>
        <w:rPr>
          <w:rFonts w:ascii="Arial" w:cs="Arial" w:eastAsia="Arial" w:hAnsi="Arial"/>
          <w:sz w:val="25"/>
          <w:szCs w:val="25"/>
          <w:color w:val="296DC1"/>
        </w:rPr>
        <w:t>Tax Considerations</w:t>
      </w:r>
    </w:p>
    <w:p>
      <w:pPr>
        <w:spacing w:after="0" w:line="72"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You should review carefully the discussion in the accompanying preliminary pricing supplement under “Additional Information about the Securities — Tax considerations” concerning the U.S. federal income tax consequences of an investment in the securities, and you should consult your tax adviser.</w:t>
      </w:r>
    </w:p>
    <w:p>
      <w:pPr>
        <w:spacing w:after="0" w:line="6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-861060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67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emdash "/>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16" Type="http://schemas.openxmlformats.org/officeDocument/2006/relationships/hyperlink" Target="https://www.sec.gov/Archives/edgar/data/19617/000121390025122853/ea0270129-01_424b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2025-12-18T05:19:46Z</dcterms:created>
  <dcterms:modified xsi:type="dcterms:W3CDTF">2025-12-18T05:19:46Z</dcterms:modified>
</cp:coreProperties>
</file>